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8" w:lineRule="auto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附件2-1</w:t>
      </w:r>
    </w:p>
    <w:p>
      <w:pPr>
        <w:spacing w:line="348" w:lineRule="auto"/>
        <w:jc w:val="center"/>
        <w:rPr>
          <w:rFonts w:eastAsia="方正小标宋简体"/>
          <w:bCs/>
          <w:sz w:val="42"/>
          <w:szCs w:val="42"/>
        </w:rPr>
      </w:pPr>
    </w:p>
    <w:p>
      <w:pPr>
        <w:spacing w:line="800" w:lineRule="exact"/>
        <w:jc w:val="center"/>
        <w:rPr>
          <w:rFonts w:eastAsia="方正小标宋简体"/>
          <w:bCs/>
          <w:sz w:val="46"/>
          <w:szCs w:val="46"/>
        </w:rPr>
      </w:pPr>
      <w:r>
        <w:rPr>
          <w:rFonts w:hint="eastAsia" w:eastAsia="方正小标宋简体"/>
          <w:bCs/>
          <w:sz w:val="46"/>
          <w:szCs w:val="46"/>
        </w:rPr>
        <w:t>岳阳县</w:t>
      </w:r>
      <w:r>
        <w:rPr>
          <w:rFonts w:eastAsia="方正小标宋简体"/>
          <w:bCs/>
          <w:sz w:val="46"/>
          <w:szCs w:val="46"/>
        </w:rPr>
        <w:t>20</w:t>
      </w:r>
      <w:r>
        <w:rPr>
          <w:rFonts w:hint="eastAsia" w:eastAsia="方正小标宋简体"/>
          <w:bCs/>
          <w:sz w:val="46"/>
          <w:szCs w:val="46"/>
          <w:u w:val="single"/>
        </w:rPr>
        <w:t>20</w:t>
      </w:r>
      <w:r>
        <w:rPr>
          <w:rFonts w:hint="eastAsia" w:eastAsia="方正小标宋简体"/>
          <w:bCs/>
          <w:sz w:val="46"/>
          <w:szCs w:val="46"/>
        </w:rPr>
        <w:t>年度部门整体支出</w:t>
      </w:r>
    </w:p>
    <w:p>
      <w:pPr>
        <w:spacing w:line="800" w:lineRule="exact"/>
        <w:jc w:val="center"/>
        <w:rPr>
          <w:rFonts w:eastAsia="方正小标宋简体"/>
          <w:bCs/>
          <w:sz w:val="46"/>
          <w:szCs w:val="46"/>
        </w:rPr>
      </w:pPr>
      <w:r>
        <w:rPr>
          <w:rFonts w:hint="eastAsia" w:eastAsia="方正小标宋简体"/>
          <w:bCs/>
          <w:sz w:val="46"/>
          <w:szCs w:val="46"/>
        </w:rPr>
        <w:t>绩效评价自评报告</w:t>
      </w:r>
    </w:p>
    <w:p>
      <w:pPr>
        <w:rPr>
          <w:rFonts w:eastAsia="仿宋_GB2312"/>
          <w:b/>
          <w:sz w:val="32"/>
        </w:rPr>
      </w:pPr>
    </w:p>
    <w:p>
      <w:pPr>
        <w:rPr>
          <w:rFonts w:eastAsia="仿宋_GB2312"/>
          <w:b/>
          <w:sz w:val="32"/>
        </w:rPr>
      </w:pPr>
    </w:p>
    <w:p>
      <w:pPr>
        <w:rPr>
          <w:rFonts w:eastAsia="仿宋_GB2312"/>
          <w:b/>
          <w:sz w:val="32"/>
        </w:rPr>
      </w:pPr>
    </w:p>
    <w:p>
      <w:pPr>
        <w:spacing w:beforeLines="50" w:line="348" w:lineRule="auto"/>
        <w:ind w:firstLine="476" w:firstLineChars="150"/>
        <w:rPr>
          <w:rFonts w:eastAsia="仿宋_GB2312"/>
          <w:sz w:val="32"/>
          <w:szCs w:val="32"/>
          <w:u w:val="single"/>
        </w:rPr>
      </w:pPr>
      <w:r>
        <w:rPr>
          <w:rFonts w:hint="eastAsia" w:eastAsia="仿宋_GB2312"/>
          <w:sz w:val="32"/>
          <w:szCs w:val="32"/>
        </w:rPr>
        <w:t>部门</w:t>
      </w:r>
      <w:r>
        <w:rPr>
          <w:rFonts w:eastAsia="仿宋_GB2312"/>
          <w:sz w:val="32"/>
          <w:szCs w:val="32"/>
        </w:rPr>
        <w:t>(</w:t>
      </w:r>
      <w:r>
        <w:rPr>
          <w:rFonts w:hint="eastAsia" w:eastAsia="仿宋_GB2312"/>
          <w:sz w:val="32"/>
          <w:szCs w:val="32"/>
        </w:rPr>
        <w:t>单位</w:t>
      </w:r>
      <w:r>
        <w:rPr>
          <w:rFonts w:eastAsia="仿宋_GB2312"/>
          <w:sz w:val="32"/>
          <w:szCs w:val="32"/>
        </w:rPr>
        <w:t>)</w:t>
      </w:r>
      <w:r>
        <w:rPr>
          <w:rFonts w:hint="eastAsia" w:eastAsia="仿宋_GB2312"/>
          <w:sz w:val="32"/>
          <w:szCs w:val="32"/>
        </w:rPr>
        <w:t>名称：</w:t>
      </w:r>
      <w:r>
        <w:rPr>
          <w:rFonts w:eastAsia="仿宋_GB2312"/>
          <w:sz w:val="32"/>
          <w:szCs w:val="32"/>
          <w:u w:val="single"/>
        </w:rPr>
        <w:t xml:space="preserve">     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岳阳县工业和信息化局 </w:t>
      </w:r>
      <w:r>
        <w:rPr>
          <w:rFonts w:eastAsia="仿宋_GB2312"/>
          <w:sz w:val="32"/>
          <w:szCs w:val="32"/>
          <w:u w:val="single"/>
        </w:rPr>
        <w:t xml:space="preserve">         </w:t>
      </w:r>
    </w:p>
    <w:p>
      <w:pPr>
        <w:spacing w:beforeLines="50" w:line="348" w:lineRule="auto"/>
        <w:ind w:firstLine="476" w:firstLineChars="150"/>
        <w:rPr>
          <w:rFonts w:eastAsia="仿宋_GB2312"/>
          <w:spacing w:val="20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预</w:t>
      </w:r>
      <w:r>
        <w:rPr>
          <w:rFonts w:eastAsia="仿宋_GB2312"/>
          <w:spacing w:val="30"/>
          <w:sz w:val="32"/>
          <w:szCs w:val="32"/>
        </w:rPr>
        <w:t xml:space="preserve"> </w:t>
      </w:r>
      <w:r>
        <w:rPr>
          <w:rFonts w:hint="eastAsia" w:eastAsia="仿宋_GB2312"/>
          <w:spacing w:val="30"/>
          <w:sz w:val="32"/>
          <w:szCs w:val="32"/>
        </w:rPr>
        <w:t>算</w:t>
      </w:r>
      <w:r>
        <w:rPr>
          <w:rFonts w:eastAsia="仿宋_GB2312"/>
          <w:spacing w:val="30"/>
          <w:sz w:val="32"/>
          <w:szCs w:val="32"/>
        </w:rPr>
        <w:t xml:space="preserve"> </w:t>
      </w:r>
      <w:r>
        <w:rPr>
          <w:rFonts w:hint="eastAsia" w:eastAsia="仿宋_GB2312"/>
          <w:spacing w:val="30"/>
          <w:sz w:val="32"/>
          <w:szCs w:val="32"/>
        </w:rPr>
        <w:t>编</w:t>
      </w:r>
      <w:r>
        <w:rPr>
          <w:rFonts w:eastAsia="仿宋_GB2312"/>
          <w:spacing w:val="30"/>
          <w:sz w:val="32"/>
          <w:szCs w:val="32"/>
        </w:rPr>
        <w:t xml:space="preserve"> </w:t>
      </w:r>
      <w:r>
        <w:rPr>
          <w:rFonts w:hint="eastAsia" w:eastAsia="仿宋_GB2312"/>
          <w:spacing w:val="30"/>
          <w:sz w:val="32"/>
          <w:szCs w:val="32"/>
        </w:rPr>
        <w:t>码：</w:t>
      </w:r>
      <w:r>
        <w:rPr>
          <w:rFonts w:eastAsia="仿宋_GB2312"/>
          <w:spacing w:val="20"/>
          <w:sz w:val="32"/>
          <w:szCs w:val="32"/>
          <w:u w:val="single"/>
        </w:rPr>
        <w:t xml:space="preserve">         </w:t>
      </w:r>
      <w:r>
        <w:rPr>
          <w:rFonts w:hint="eastAsia" w:eastAsia="仿宋_GB2312"/>
          <w:sz w:val="32"/>
          <w:u w:val="single"/>
          <w:lang w:val="en-US" w:eastAsia="zh-CN"/>
        </w:rPr>
        <w:t>YYX147</w:t>
      </w:r>
      <w:r>
        <w:rPr>
          <w:rFonts w:eastAsia="仿宋_GB2312"/>
          <w:spacing w:val="20"/>
          <w:sz w:val="32"/>
          <w:szCs w:val="32"/>
          <w:u w:val="single"/>
        </w:rPr>
        <w:t xml:space="preserve">              </w:t>
      </w:r>
    </w:p>
    <w:p>
      <w:pPr>
        <w:spacing w:beforeLines="50" w:line="348" w:lineRule="auto"/>
        <w:ind w:firstLine="476" w:firstLineChars="15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评价方式：部门（单位）绩效自评</w:t>
      </w:r>
    </w:p>
    <w:p>
      <w:pPr>
        <w:spacing w:beforeLines="50" w:line="348" w:lineRule="auto"/>
        <w:ind w:firstLine="476" w:firstLineChars="15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评价机构：部门（单位）评价组</w:t>
      </w:r>
      <w:r>
        <w:rPr>
          <w:rFonts w:eastAsia="仿宋_GB2312"/>
          <w:sz w:val="32"/>
          <w:szCs w:val="32"/>
        </w:rPr>
        <w:t xml:space="preserve">   </w:t>
      </w:r>
    </w:p>
    <w:p>
      <w:pPr>
        <w:spacing w:line="720" w:lineRule="exact"/>
        <w:ind w:firstLine="2188" w:firstLineChars="690"/>
        <w:rPr>
          <w:rFonts w:eastAsia="仿宋_GB2312"/>
          <w:sz w:val="32"/>
        </w:rPr>
      </w:pPr>
    </w:p>
    <w:p>
      <w:pPr>
        <w:spacing w:line="720" w:lineRule="exact"/>
        <w:ind w:firstLine="2188" w:firstLineChars="690"/>
        <w:rPr>
          <w:rFonts w:eastAsia="仿宋_GB2312"/>
          <w:sz w:val="32"/>
        </w:rPr>
      </w:pPr>
    </w:p>
    <w:p>
      <w:pPr>
        <w:spacing w:line="720" w:lineRule="exact"/>
        <w:ind w:firstLine="2188" w:firstLineChars="690"/>
        <w:rPr>
          <w:rFonts w:eastAsia="仿宋_GB2312"/>
          <w:sz w:val="32"/>
        </w:rPr>
      </w:pPr>
    </w:p>
    <w:p>
      <w:pPr>
        <w:spacing w:line="348" w:lineRule="auto"/>
        <w:jc w:val="center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报告日期：</w:t>
      </w:r>
      <w:r>
        <w:rPr>
          <w:rFonts w:hint="eastAsia" w:eastAsia="仿宋_GB2312"/>
          <w:sz w:val="32"/>
          <w:lang w:val="en-US" w:eastAsia="zh-CN"/>
        </w:rPr>
        <w:t>2021</w:t>
      </w:r>
      <w:r>
        <w:rPr>
          <w:rFonts w:hint="eastAsia" w:eastAsia="仿宋_GB2312"/>
          <w:sz w:val="32"/>
        </w:rPr>
        <w:t>年</w:t>
      </w:r>
      <w:r>
        <w:rPr>
          <w:rFonts w:hint="eastAsia" w:eastAsia="仿宋_GB2312"/>
          <w:sz w:val="32"/>
          <w:lang w:val="en-US" w:eastAsia="zh-CN"/>
        </w:rPr>
        <w:t>7</w:t>
      </w:r>
      <w:r>
        <w:rPr>
          <w:rFonts w:hint="eastAsia" w:eastAsia="仿宋_GB2312"/>
          <w:sz w:val="32"/>
        </w:rPr>
        <w:t>月</w:t>
      </w:r>
      <w:r>
        <w:rPr>
          <w:rFonts w:hint="eastAsia" w:eastAsia="仿宋_GB2312"/>
          <w:sz w:val="32"/>
          <w:lang w:val="en-US" w:eastAsia="zh-CN"/>
        </w:rPr>
        <w:t>20</w:t>
      </w:r>
      <w:r>
        <w:rPr>
          <w:rFonts w:hint="eastAsia" w:eastAsia="仿宋_GB2312"/>
          <w:sz w:val="32"/>
        </w:rPr>
        <w:t>日</w:t>
      </w:r>
    </w:p>
    <w:p>
      <w:pPr>
        <w:autoSpaceDN w:val="0"/>
        <w:jc w:val="center"/>
        <w:textAlignment w:val="center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</w:rPr>
        <w:t>岳阳县财政</w:t>
      </w:r>
      <w:r>
        <w:rPr>
          <w:rFonts w:hint="eastAsia" w:eastAsia="仿宋_GB2312"/>
          <w:sz w:val="32"/>
          <w:szCs w:val="32"/>
        </w:rPr>
        <w:t>局（制）</w:t>
      </w:r>
    </w:p>
    <w:p>
      <w:pPr>
        <w:widowControl/>
        <w:jc w:val="left"/>
        <w:rPr>
          <w:rFonts w:eastAsia="仿宋_GB2312"/>
          <w:sz w:val="32"/>
          <w:szCs w:val="32"/>
        </w:rPr>
        <w:sectPr>
          <w:pgSz w:w="11906" w:h="16838"/>
          <w:pgMar w:top="1588" w:right="1588" w:bottom="1588" w:left="1588" w:header="851" w:footer="992" w:gutter="0"/>
          <w:pgNumType w:start="1"/>
          <w:cols w:space="720" w:num="1"/>
          <w:docGrid w:type="linesAndChars" w:linePitch="602" w:charSpace="-782"/>
        </w:sectPr>
      </w:pPr>
    </w:p>
    <w:tbl>
      <w:tblPr>
        <w:tblStyle w:val="2"/>
        <w:tblW w:w="980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1"/>
        <w:gridCol w:w="213"/>
        <w:gridCol w:w="46"/>
        <w:gridCol w:w="1080"/>
        <w:gridCol w:w="210"/>
        <w:gridCol w:w="1145"/>
        <w:gridCol w:w="272"/>
        <w:gridCol w:w="808"/>
        <w:gridCol w:w="1479"/>
        <w:gridCol w:w="226"/>
        <w:gridCol w:w="196"/>
        <w:gridCol w:w="259"/>
        <w:gridCol w:w="1080"/>
        <w:gridCol w:w="265"/>
        <w:gridCol w:w="139"/>
        <w:gridCol w:w="316"/>
        <w:gridCol w:w="6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00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一、部门（单位）基本概况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联系人</w:t>
            </w:r>
          </w:p>
        </w:tc>
        <w:tc>
          <w:tcPr>
            <w:tcW w:w="356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陈果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联络电话</w:t>
            </w:r>
          </w:p>
        </w:tc>
        <w:tc>
          <w:tcPr>
            <w:tcW w:w="310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07307651138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人员编制</w:t>
            </w:r>
          </w:p>
        </w:tc>
        <w:tc>
          <w:tcPr>
            <w:tcW w:w="356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38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实有人数</w:t>
            </w:r>
          </w:p>
        </w:tc>
        <w:tc>
          <w:tcPr>
            <w:tcW w:w="310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38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6" w:hRule="atLeast"/>
          <w:jc w:val="center"/>
        </w:trPr>
        <w:tc>
          <w:tcPr>
            <w:tcW w:w="16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职能职责概述</w:t>
            </w:r>
          </w:p>
        </w:tc>
        <w:tc>
          <w:tcPr>
            <w:tcW w:w="8146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主要负责全县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工业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经济运行、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联手帮扶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企业、电力行政执法、个体私营经济及新型墙体材料等工作的管理。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4" w:hRule="atLeast"/>
          <w:jc w:val="center"/>
        </w:trPr>
        <w:tc>
          <w:tcPr>
            <w:tcW w:w="16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年度主要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工作内容</w:t>
            </w:r>
          </w:p>
        </w:tc>
        <w:tc>
          <w:tcPr>
            <w:tcW w:w="8146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任务1：扎实推进工业新兴优势产业链建设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任务2：扎实推进中小企业高质量发展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任务3：扎实推进转型升级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任务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4：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扎实推进数字经济和“两化融合”发展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任务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5：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扎实推进工业经济平稳增长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任务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扎实推进企业复工复产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任务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7：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扎实推进党的建设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任务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8：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扎实推进县委政府中心工作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0" w:hRule="atLeast"/>
          <w:jc w:val="center"/>
        </w:trPr>
        <w:tc>
          <w:tcPr>
            <w:tcW w:w="16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sz w:val="24"/>
              </w:rPr>
              <w:t>年度部门（单位）总体运行情况及取得的成绩</w:t>
            </w:r>
          </w:p>
        </w:tc>
        <w:tc>
          <w:tcPr>
            <w:tcW w:w="8146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完成四上企业申报12家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；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完成规模工业企业总产值 309.73亿元，同比增长4.3 %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；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开展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企业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帮扶活动70多次，收集困难和问题130个，解决问题90多个，有力地推动了企业复工复产、达标达产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；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申报省中小企业发展专项、制造强省专项资金等项目37个，目前已有26个项目落地，到位资金2587万元。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00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二、部门（单位）收支情况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00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年度收入情况（万元）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机构名称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收入合计</w:t>
            </w:r>
          </w:p>
        </w:tc>
        <w:tc>
          <w:tcPr>
            <w:tcW w:w="7020" w:type="dxa"/>
            <w:gridSpan w:val="1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其中：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  <w:jc w:val="center"/>
        </w:trPr>
        <w:tc>
          <w:tcPr>
            <w:tcW w:w="170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上年结转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公共财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政拨款</w:t>
            </w:r>
          </w:p>
        </w:tc>
        <w:tc>
          <w:tcPr>
            <w:tcW w:w="1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政府基金拨款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纳入专户管理的非税收入拨款</w:t>
            </w: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其他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收入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17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局机关及二级机构汇总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792.81</w:t>
            </w:r>
          </w:p>
        </w:tc>
        <w:tc>
          <w:tcPr>
            <w:tcW w:w="135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792.81</w:t>
            </w:r>
          </w:p>
        </w:tc>
        <w:tc>
          <w:tcPr>
            <w:tcW w:w="1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1、局机关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792.81</w:t>
            </w:r>
          </w:p>
        </w:tc>
        <w:tc>
          <w:tcPr>
            <w:tcW w:w="135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792.81</w:t>
            </w:r>
          </w:p>
        </w:tc>
        <w:tc>
          <w:tcPr>
            <w:tcW w:w="1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2、二级机构1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3、二级机构2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800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部门（单位）年度支出和结余情况（万元）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机构名称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支出合计</w:t>
            </w:r>
          </w:p>
        </w:tc>
        <w:tc>
          <w:tcPr>
            <w:tcW w:w="5675" w:type="dxa"/>
            <w:gridSpan w:val="9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其中：</w:t>
            </w:r>
          </w:p>
        </w:tc>
        <w:tc>
          <w:tcPr>
            <w:tcW w:w="1345" w:type="dxa"/>
            <w:gridSpan w:val="4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结余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基本支出</w:t>
            </w:r>
          </w:p>
        </w:tc>
        <w:tc>
          <w:tcPr>
            <w:tcW w:w="3240" w:type="dxa"/>
            <w:gridSpan w:val="6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其中：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项目支出</w:t>
            </w:r>
          </w:p>
        </w:tc>
        <w:tc>
          <w:tcPr>
            <w:tcW w:w="72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当年结余</w:t>
            </w:r>
          </w:p>
        </w:tc>
        <w:tc>
          <w:tcPr>
            <w:tcW w:w="6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累计结余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人员支出</w:t>
            </w:r>
          </w:p>
        </w:tc>
        <w:tc>
          <w:tcPr>
            <w:tcW w:w="21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公用支出</w:t>
            </w: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  <w:jc w:val="center"/>
        </w:trPr>
        <w:tc>
          <w:tcPr>
            <w:tcW w:w="17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局机关及二级机构汇总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792.81</w:t>
            </w:r>
          </w:p>
        </w:tc>
        <w:tc>
          <w:tcPr>
            <w:tcW w:w="135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792.81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604.94</w:t>
            </w:r>
          </w:p>
        </w:tc>
        <w:tc>
          <w:tcPr>
            <w:tcW w:w="21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187.87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1、局机关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792.81</w:t>
            </w:r>
          </w:p>
        </w:tc>
        <w:tc>
          <w:tcPr>
            <w:tcW w:w="135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792.81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604.94</w:t>
            </w:r>
          </w:p>
        </w:tc>
        <w:tc>
          <w:tcPr>
            <w:tcW w:w="21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187.87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2、二级机构1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1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3、二级机构2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1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机构名称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三公经费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合计</w:t>
            </w:r>
          </w:p>
        </w:tc>
        <w:tc>
          <w:tcPr>
            <w:tcW w:w="7020" w:type="dxa"/>
            <w:gridSpan w:val="1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其中：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公务接待费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公务用车运维费</w:t>
            </w:r>
          </w:p>
        </w:tc>
        <w:tc>
          <w:tcPr>
            <w:tcW w:w="21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公务用车购置费</w:t>
            </w:r>
          </w:p>
        </w:tc>
        <w:tc>
          <w:tcPr>
            <w:tcW w:w="24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因公出国费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17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局机关及二级机构汇总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5.5</w:t>
            </w:r>
          </w:p>
        </w:tc>
        <w:tc>
          <w:tcPr>
            <w:tcW w:w="135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5.5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1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4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1、局机关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5.5</w:t>
            </w:r>
          </w:p>
        </w:tc>
        <w:tc>
          <w:tcPr>
            <w:tcW w:w="135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5.5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1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4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2、二级机构1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1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4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3、二级机构2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1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4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机构名称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固定资产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合计</w:t>
            </w:r>
          </w:p>
        </w:tc>
        <w:tc>
          <w:tcPr>
            <w:tcW w:w="6079" w:type="dxa"/>
            <w:gridSpan w:val="11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其中：</w:t>
            </w:r>
          </w:p>
        </w:tc>
        <w:tc>
          <w:tcPr>
            <w:tcW w:w="941" w:type="dxa"/>
            <w:gridSpan w:val="2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435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在用固定资产</w:t>
            </w:r>
          </w:p>
        </w:tc>
        <w:tc>
          <w:tcPr>
            <w:tcW w:w="364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出租固定资产</w:t>
            </w:r>
          </w:p>
        </w:tc>
        <w:tc>
          <w:tcPr>
            <w:tcW w:w="941" w:type="dxa"/>
            <w:gridSpan w:val="2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7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局机关及二级机构汇总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98.4</w:t>
            </w:r>
          </w:p>
        </w:tc>
        <w:tc>
          <w:tcPr>
            <w:tcW w:w="2435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98.4</w:t>
            </w:r>
          </w:p>
        </w:tc>
        <w:tc>
          <w:tcPr>
            <w:tcW w:w="364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1、局机关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98.4</w:t>
            </w:r>
          </w:p>
        </w:tc>
        <w:tc>
          <w:tcPr>
            <w:tcW w:w="2435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98.4</w:t>
            </w:r>
          </w:p>
        </w:tc>
        <w:tc>
          <w:tcPr>
            <w:tcW w:w="364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2、二级机构1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435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64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3、二级机构2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435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64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00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三、部门（单位）整体支出绩效自评情况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  <w:jc w:val="center"/>
        </w:trPr>
        <w:tc>
          <w:tcPr>
            <w:tcW w:w="14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整体支出绩效定性目标及实施计划完成情况</w:t>
            </w:r>
          </w:p>
        </w:tc>
        <w:tc>
          <w:tcPr>
            <w:tcW w:w="377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预期目标</w:t>
            </w:r>
          </w:p>
        </w:tc>
        <w:tc>
          <w:tcPr>
            <w:tcW w:w="458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实际完成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  <w:jc w:val="center"/>
        </w:trPr>
        <w:tc>
          <w:tcPr>
            <w:tcW w:w="14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77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目标1：全年预算申请到位和下达数量在97%以上，三公经费变动率≤0。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目标2：社会效益、经济效益、生态效益、可持续影响和社会公众满意度达到预期目标。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458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全部完成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整体支出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绩效定量目标及实施计划完成情况</w:t>
            </w:r>
          </w:p>
        </w:tc>
        <w:tc>
          <w:tcPr>
            <w:tcW w:w="296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评价内容</w:t>
            </w:r>
          </w:p>
        </w:tc>
        <w:tc>
          <w:tcPr>
            <w:tcW w:w="27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绩效目标</w:t>
            </w:r>
          </w:p>
        </w:tc>
        <w:tc>
          <w:tcPr>
            <w:tcW w:w="26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完成情况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49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产出目标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（部门工作实绩，包含上级部门和市委市政府布置的重点工作、实事任务等，根据部门实际进行调整细化）</w:t>
            </w:r>
          </w:p>
        </w:tc>
        <w:tc>
          <w:tcPr>
            <w:tcW w:w="141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质量指标</w:t>
            </w:r>
          </w:p>
        </w:tc>
        <w:tc>
          <w:tcPr>
            <w:tcW w:w="27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三公经费控制率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100%</w:t>
            </w:r>
          </w:p>
        </w:tc>
        <w:tc>
          <w:tcPr>
            <w:tcW w:w="26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7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政府采购执行率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100%</w:t>
            </w:r>
          </w:p>
        </w:tc>
        <w:tc>
          <w:tcPr>
            <w:tcW w:w="26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数量指标</w:t>
            </w:r>
          </w:p>
        </w:tc>
        <w:tc>
          <w:tcPr>
            <w:tcW w:w="27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财政供养人员控制率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100%</w:t>
            </w:r>
          </w:p>
        </w:tc>
        <w:tc>
          <w:tcPr>
            <w:tcW w:w="26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4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7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三公经费变动率≤0</w:t>
            </w:r>
          </w:p>
        </w:tc>
        <w:tc>
          <w:tcPr>
            <w:tcW w:w="26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≤0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时效指标</w:t>
            </w:r>
          </w:p>
        </w:tc>
        <w:tc>
          <w:tcPr>
            <w:tcW w:w="27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专项资金到位率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100%</w:t>
            </w:r>
          </w:p>
        </w:tc>
        <w:tc>
          <w:tcPr>
            <w:tcW w:w="26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成本指标</w:t>
            </w:r>
          </w:p>
        </w:tc>
        <w:tc>
          <w:tcPr>
            <w:tcW w:w="27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财政支出绩效目标</w:t>
            </w:r>
          </w:p>
        </w:tc>
        <w:tc>
          <w:tcPr>
            <w:tcW w:w="26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  <w:t>792.81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49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效益目标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（预期实现的效益）</w:t>
            </w: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社会效益</w:t>
            </w:r>
          </w:p>
        </w:tc>
        <w:tc>
          <w:tcPr>
            <w:tcW w:w="27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全面统筹、科学调度，使工业再创佳绩</w:t>
            </w:r>
          </w:p>
        </w:tc>
        <w:tc>
          <w:tcPr>
            <w:tcW w:w="26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  <w:t>效益明显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经济效益</w:t>
            </w:r>
          </w:p>
        </w:tc>
        <w:tc>
          <w:tcPr>
            <w:tcW w:w="27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发展工业产业，促进经济发展</w:t>
            </w:r>
          </w:p>
        </w:tc>
        <w:tc>
          <w:tcPr>
            <w:tcW w:w="26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  <w:t>效益明显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生态效益</w:t>
            </w:r>
          </w:p>
        </w:tc>
        <w:tc>
          <w:tcPr>
            <w:tcW w:w="27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强基固本、切实加强干部队伍建设</w:t>
            </w:r>
          </w:p>
        </w:tc>
        <w:tc>
          <w:tcPr>
            <w:tcW w:w="26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  <w:t>效益明显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社会公众或服务对象满意度</w:t>
            </w:r>
          </w:p>
        </w:tc>
        <w:tc>
          <w:tcPr>
            <w:tcW w:w="27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社会公众或服务对象基本满意</w:t>
            </w:r>
          </w:p>
        </w:tc>
        <w:tc>
          <w:tcPr>
            <w:tcW w:w="26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  <w:t>94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  <w:t>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绩效自评综合得分</w:t>
            </w:r>
          </w:p>
        </w:tc>
        <w:tc>
          <w:tcPr>
            <w:tcW w:w="681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98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评价等次</w:t>
            </w:r>
          </w:p>
        </w:tc>
        <w:tc>
          <w:tcPr>
            <w:tcW w:w="681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优秀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00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四、评价人员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姓  名</w:t>
            </w:r>
          </w:p>
        </w:tc>
        <w:tc>
          <w:tcPr>
            <w:tcW w:w="356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职务/职称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单  位</w:t>
            </w:r>
          </w:p>
        </w:tc>
        <w:tc>
          <w:tcPr>
            <w:tcW w:w="310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签  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汪洋</w:t>
            </w:r>
          </w:p>
        </w:tc>
        <w:tc>
          <w:tcPr>
            <w:tcW w:w="356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副局长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工信局</w:t>
            </w:r>
          </w:p>
        </w:tc>
        <w:tc>
          <w:tcPr>
            <w:tcW w:w="310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汪洋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谢森桃</w:t>
            </w:r>
          </w:p>
        </w:tc>
        <w:tc>
          <w:tcPr>
            <w:tcW w:w="356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办公室主任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工信局</w:t>
            </w:r>
          </w:p>
        </w:tc>
        <w:tc>
          <w:tcPr>
            <w:tcW w:w="310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谢森桃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陈果</w:t>
            </w:r>
          </w:p>
        </w:tc>
        <w:tc>
          <w:tcPr>
            <w:tcW w:w="356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财务股长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工信局</w:t>
            </w:r>
          </w:p>
        </w:tc>
        <w:tc>
          <w:tcPr>
            <w:tcW w:w="310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陈果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56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10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2" w:hRule="atLeast"/>
          <w:jc w:val="center"/>
        </w:trPr>
        <w:tc>
          <w:tcPr>
            <w:tcW w:w="9800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评价组组长（签字）：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汪洋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                                                            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                            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2020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2" w:hRule="atLeast"/>
          <w:jc w:val="center"/>
        </w:trPr>
        <w:tc>
          <w:tcPr>
            <w:tcW w:w="9800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部门（单位）意见：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 xml:space="preserve">    同意并公开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                                     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                                     部门（单位）负责人（签章）：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梁续望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                   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2020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日</w:t>
            </w:r>
          </w:p>
        </w:tc>
      </w:tr>
    </w:tbl>
    <w:p>
      <w:pPr>
        <w:rPr>
          <w:rFonts w:hint="default" w:eastAsia="仿宋_GB2312" w:cs="仿宋_GB2312"/>
          <w:bCs/>
          <w:sz w:val="28"/>
          <w:szCs w:val="28"/>
          <w:lang w:val="en-US" w:eastAsia="zh-CN"/>
        </w:rPr>
      </w:pPr>
      <w:r>
        <w:rPr>
          <w:rFonts w:hint="eastAsia" w:eastAsia="仿宋_GB2312" w:cs="仿宋_GB2312"/>
          <w:bCs/>
          <w:sz w:val="28"/>
          <w:szCs w:val="28"/>
        </w:rPr>
        <w:t>填报人（签名）：</w:t>
      </w:r>
      <w:r>
        <w:rPr>
          <w:rFonts w:eastAsia="仿宋_GB2312" w:cs="仿宋_GB2312"/>
          <w:bCs/>
          <w:sz w:val="28"/>
          <w:szCs w:val="28"/>
        </w:rPr>
        <w:t xml:space="preserve"> </w:t>
      </w:r>
      <w:r>
        <w:rPr>
          <w:rFonts w:hint="eastAsia" w:eastAsia="仿宋_GB2312" w:cs="仿宋_GB2312"/>
          <w:bCs/>
          <w:sz w:val="28"/>
          <w:szCs w:val="28"/>
          <w:lang w:val="en-US" w:eastAsia="zh-CN"/>
        </w:rPr>
        <w:t>陈果</w:t>
      </w:r>
      <w:r>
        <w:rPr>
          <w:rFonts w:eastAsia="仿宋_GB2312" w:cs="仿宋_GB2312"/>
          <w:bCs/>
          <w:sz w:val="28"/>
          <w:szCs w:val="28"/>
        </w:rPr>
        <w:t xml:space="preserve">                     </w:t>
      </w:r>
      <w:r>
        <w:rPr>
          <w:rFonts w:hint="eastAsia" w:eastAsia="仿宋_GB2312" w:cs="仿宋_GB2312"/>
          <w:bCs/>
          <w:sz w:val="28"/>
          <w:szCs w:val="28"/>
        </w:rPr>
        <w:t>联系电话：</w:t>
      </w:r>
      <w:r>
        <w:rPr>
          <w:rFonts w:hint="eastAsia" w:eastAsia="仿宋_GB2312" w:cs="仿宋_GB2312"/>
          <w:bCs/>
          <w:sz w:val="28"/>
          <w:szCs w:val="28"/>
          <w:lang w:val="en-US" w:eastAsia="zh-CN"/>
        </w:rPr>
        <w:t>07307651138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8" w:hRule="atLeast"/>
          <w:jc w:val="center"/>
        </w:trPr>
        <w:tc>
          <w:tcPr>
            <w:tcW w:w="9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五、评价报告综述（文字部分）</w:t>
            </w:r>
          </w:p>
          <w:p>
            <w:pPr>
              <w:spacing w:line="440" w:lineRule="exact"/>
              <w:ind w:firstLine="640" w:firstLineChars="200"/>
              <w:rPr>
                <w:rFonts w:eastAsia="仿宋_GB2312"/>
                <w:sz w:val="32"/>
                <w:szCs w:val="32"/>
              </w:rPr>
            </w:pPr>
          </w:p>
          <w:p>
            <w:pPr>
              <w:spacing w:line="560" w:lineRule="exact"/>
              <w:ind w:firstLine="560" w:firstLineChars="200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一、部门（单位）概况</w:t>
            </w:r>
          </w:p>
          <w:p>
            <w:pPr>
              <w:spacing w:line="560" w:lineRule="exact"/>
              <w:ind w:firstLine="560" w:firstLineChars="20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（一）部门（单位）基本情况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560" w:firstLineChars="200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岳阳县工业和信息化局（原岳阳县工业局）于2011年7月正式设立，为县人民政府工作部门，主要负责全县工业经济运行、电力行政执法、信息化推进及新型墙体材料等工作的管理。全局共有干部职工82名，共设9个职能股室。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 xml:space="preserve">局机关在职行政编制 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17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 xml:space="preserve">人，工勤编制2人，事业编制21人， 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2020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年12月，机关共有退休人员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31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人，二轻退休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人.</w:t>
            </w:r>
          </w:p>
          <w:p>
            <w:pPr>
              <w:numPr>
                <w:ilvl w:val="0"/>
                <w:numId w:val="1"/>
              </w:numPr>
              <w:spacing w:line="560" w:lineRule="exact"/>
              <w:ind w:firstLine="560" w:firstLineChars="20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部门（单位）整体支出规模、使用方向和主要内容、涉及范围等</w:t>
            </w:r>
          </w:p>
          <w:p>
            <w:pPr>
              <w:numPr>
                <w:ilvl w:val="0"/>
                <w:numId w:val="0"/>
              </w:numPr>
              <w:spacing w:line="560" w:lineRule="exact"/>
              <w:ind w:firstLine="560" w:firstLineChars="20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2020年度，我局全年支出总计792.81万元。其中，工资福利支出432.67万元；商品和服务支出95.61万元；对个人及家庭的补助172.27万元;资本性支出1.5万元；对企业的补助55.5万元；其他支出35.26万元。</w:t>
            </w:r>
          </w:p>
          <w:p>
            <w:pPr>
              <w:spacing w:line="560" w:lineRule="exact"/>
              <w:ind w:firstLine="560" w:firstLineChars="200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二、部门（单位）整体支出管理及使用情况</w:t>
            </w:r>
          </w:p>
          <w:p>
            <w:pPr>
              <w:spacing w:line="560" w:lineRule="exact"/>
              <w:ind w:firstLine="560" w:firstLineChars="20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（一）基本支出</w:t>
            </w:r>
          </w:p>
          <w:p>
            <w:pPr>
              <w:spacing w:line="560" w:lineRule="exact"/>
              <w:ind w:firstLine="560" w:firstLineChars="20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2020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公共决算财政拨款支出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792.81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  <w:t>万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元，其中：基本支出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792.81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  <w:t>万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元，其中人员经费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604.94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  <w:t>万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元，日常公用经费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187.87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  <w:t>万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元。本单位支出系保障我局在职、退休职工工资、津补贴、社会保障缴费、食堂职工伙食补助等人员支出；职工办公用品购置、报刊杂志书报、图书宣传资料、电视宣传、水电费、职工下乡、外出学习培训、系统会议培训、小车运行维护费等一般商品服务支出；对职工和家庭个人补助；办公设备购置维修等其他资本性支出。</w:t>
            </w:r>
          </w:p>
          <w:p>
            <w:pPr>
              <w:spacing w:line="560" w:lineRule="exact"/>
              <w:ind w:firstLine="560" w:firstLineChars="200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（二）专项支出</w:t>
            </w:r>
          </w:p>
          <w:p>
            <w:pPr>
              <w:spacing w:line="560" w:lineRule="exact"/>
              <w:ind w:firstLine="560" w:firstLineChars="20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无</w:t>
            </w:r>
          </w:p>
          <w:p>
            <w:pPr>
              <w:spacing w:line="560" w:lineRule="exact"/>
              <w:ind w:firstLine="560" w:firstLineChars="200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三、部门（单位）专项组织实施情况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560" w:firstLineChars="200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1.所有支出条据必须用正式发票报账，白条不予报账，财务由国库统一集中支付，原则上不接受现金报账，款项只能打入开具发票的当事人账户。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560" w:firstLineChars="200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2.机关（含工会）所有支出条据都要具备经手人、分管领导和分管财务领导签字三个基本要素，超过500元的条据局长要审签。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560" w:firstLineChars="200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3.报账条据的附件必须齐全，尤其是办公用品、资料费、印刷费的明细必须加盖开具发票单位的印章</w:t>
            </w:r>
            <w:r>
              <w:rPr>
                <w:rFonts w:hint="eastAsia" w:ascii="仿宋_GB2312" w:eastAsia="仿宋_GB2312"/>
                <w:sz w:val="28"/>
                <w:szCs w:val="28"/>
              </w:rPr>
              <w:t>。</w:t>
            </w:r>
          </w:p>
          <w:p>
            <w:pPr>
              <w:spacing w:line="560" w:lineRule="exact"/>
              <w:ind w:firstLine="560" w:firstLineChars="200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四、部门（单位）整体支出绩效情况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560" w:firstLineChars="200"/>
              <w:textAlignment w:val="auto"/>
              <w:rPr>
                <w:rFonts w:hint="default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2020年共计收入792.81万元，支出792.81万元，达到收支平衡。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三公经费控制率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政府采购执行率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财政供养人员控制率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均达到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100%。严格贯彻执行党政机关厉行节约、反对铺张浪费、精打细算的原则，采取了“三公”经费限额管理，减少了不必要的开支。认真贯彻执行党政机关公务接待管理办法，强化公务接待审批制度，严格执行公务卡结算制度。</w:t>
            </w:r>
          </w:p>
          <w:p>
            <w:pPr>
              <w:numPr>
                <w:ilvl w:val="0"/>
                <w:numId w:val="2"/>
              </w:numPr>
              <w:spacing w:line="560" w:lineRule="exact"/>
              <w:ind w:firstLine="560" w:firstLineChars="200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存在的主要问题</w:t>
            </w:r>
          </w:p>
          <w:p>
            <w:pPr>
              <w:numPr>
                <w:ilvl w:val="0"/>
                <w:numId w:val="0"/>
              </w:numPr>
              <w:spacing w:line="560" w:lineRule="exact"/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1、财务监督管理机制有待加强。</w:t>
            </w:r>
          </w:p>
          <w:p>
            <w:pPr>
              <w:numPr>
                <w:ilvl w:val="0"/>
                <w:numId w:val="0"/>
              </w:numPr>
              <w:spacing w:line="560" w:lineRule="exact"/>
              <w:ind w:firstLine="560" w:firstLineChars="200"/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2、财务工作是一个单位的命脉，创新机制正在逐步加强，财务工作者水平有待提高。</w:t>
            </w:r>
          </w:p>
          <w:p>
            <w:pPr>
              <w:spacing w:line="560" w:lineRule="exact"/>
              <w:ind w:firstLine="560" w:firstLineChars="200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六、改进措施和有关建议</w:t>
            </w:r>
          </w:p>
          <w:p>
            <w:pPr>
              <w:ind w:firstLine="560" w:firstLineChars="200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1、加强监管，做到监管机制环环相扣，不出现断层、漏洞，坚决把权力关进制度的笼子。</w:t>
            </w:r>
          </w:p>
          <w:p>
            <w:pPr>
              <w:ind w:firstLine="560" w:firstLineChars="200"/>
              <w:rPr>
                <w:rFonts w:eastAsia="楷体_GB2312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2、进一步完善财务制度，规范财经纪律，财务工作人员的业务能力要与时俱进，不断加强学习。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02A3432"/>
    <w:multiLevelType w:val="singleLevel"/>
    <w:tmpl w:val="202A3432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DA11542"/>
    <w:multiLevelType w:val="singleLevel"/>
    <w:tmpl w:val="3DA11542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9A7A7B"/>
    <w:rsid w:val="12B95990"/>
    <w:rsid w:val="14FF1BA9"/>
    <w:rsid w:val="32C048F5"/>
    <w:rsid w:val="3F73474F"/>
    <w:rsid w:val="489A7A7B"/>
    <w:rsid w:val="4A28469E"/>
    <w:rsid w:val="57DE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2021-07-19T01:28:00Z</dcterms:created>
  <dc:creator>843065779@qq.com</dc:creator>
  <cp:lastModifiedBy>843065779@qq.com</cp:lastModifiedBy>
  <dcterms:modified xsi:type="dcterms:W3CDTF">2021-07-22T01:55:24Z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D0E59EB9FC984BFAB6EDC68D86513BEC</vt:lpwstr>
  </property>
</Properties>
</file>