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eastAsia="zh-CN"/>
        </w:rPr>
        <w:t>岳阳县司法局</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009001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8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熊丽娟</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7620391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numPr>
                <w:ilvl w:val="0"/>
                <w:numId w:val="2"/>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贯彻执行党和国家、省、市有关司法行政工作的方针、政策和法律、法规及规章；拟定全县司法行政规范性文件，编制全县司法行政工作的中长期规划、年度工作计划，并组织和监督实施。</w:t>
            </w:r>
          </w:p>
          <w:p>
            <w:pPr>
              <w:widowControl/>
              <w:numPr>
                <w:ilvl w:val="0"/>
                <w:numId w:val="0"/>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 指导管理全县基层司法所及村（居）人民调解委员会、社区矫正、基层法律服务机构的工作。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3.负责对全县刑满释放和解除劳教人员的安置帮教工作。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4.监督管理全县法律援助工作。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5. 拟订全县法制宣传教育和依法治理规划并组织实施；指导全县的依法治理工作；会同有关部门指导对外法制宣传工作。拟订全县依法治理规划和实施方案；指导、组织、协调全县依法治理工作；负责法律法规的编缉和普法学法检查考核工作；拟订全县法制宣传教育规划并组织实施；参与指导基层民主法制建设。</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6. 指导管理全县法律服务机构和法律服务市场；指导律师队伍的行业管理，负责对公证、律师机构及其从业人员的相关管理工作，检查监督律师、公证机构及其人员依法执业情况，对其违法违纪行为进行查处。</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7.管理全县涉毒人员特殊人群收治工作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8. 组织起草全县司法行政规范性文件；负责全县司法行政执法与本系统执法检查工作，指导基层法制建设工作，承办本局行政复议、应诉工作；组织有关法律、政策实施情况和司法行政业务的调研活动。</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9. 指导和管理全县司法行政系统队伍建设、党组织建设和思想政治工作；指导管理司法行政系统的教育培训、考核奖励和警务工作。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 xml:space="preserve"> 10. 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任务1：深入开展法治宣传教育，营造浓厚法治氛围</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任务2：加强法律服务工作，提供坚强法律保障</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任务3：深化人民调解工作，提供稳定社会氛围</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做好特殊人群管理，消极因素转化为积极作用</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积极主动作为，为全县中心工作贡献力量</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注重教育管理，打造素质过硬队伍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2020年年度总收入</w:t>
            </w:r>
            <w:r>
              <w:rPr>
                <w:rFonts w:hint="eastAsia" w:ascii="仿宋_GB2312" w:hAnsi="仿宋_GB2312" w:eastAsia="仿宋_GB2312" w:cs="仿宋_GB2312"/>
                <w:color w:val="000000"/>
                <w:sz w:val="24"/>
                <w:lang w:val="en-US" w:eastAsia="zh-CN"/>
              </w:rPr>
              <w:t>1690.6376</w:t>
            </w:r>
            <w:r>
              <w:rPr>
                <w:rFonts w:hint="eastAsia" w:ascii="仿宋_GB2312" w:hAnsi="仿宋_GB2312" w:eastAsia="仿宋_GB2312" w:cs="仿宋_GB2312"/>
                <w:b w:val="0"/>
                <w:color w:val="000000"/>
                <w:kern w:val="2"/>
                <w:sz w:val="24"/>
                <w:szCs w:val="24"/>
                <w:lang w:val="en-US" w:eastAsia="zh-CN" w:bidi="ar-SA"/>
              </w:rPr>
              <w:t>万元，其中：公共财政拨款收入</w:t>
            </w:r>
            <w:r>
              <w:rPr>
                <w:rFonts w:hint="eastAsia" w:ascii="仿宋_GB2312" w:hAnsi="仿宋_GB2312" w:eastAsia="仿宋_GB2312" w:cs="仿宋_GB2312"/>
                <w:color w:val="000000"/>
                <w:sz w:val="24"/>
                <w:lang w:val="en-US" w:eastAsia="zh-CN"/>
              </w:rPr>
              <w:t>1480.4456</w:t>
            </w:r>
            <w:r>
              <w:rPr>
                <w:rFonts w:hint="eastAsia" w:ascii="仿宋_GB2312" w:hAnsi="仿宋_GB2312" w:eastAsia="仿宋_GB2312" w:cs="仿宋_GB2312"/>
                <w:b w:val="0"/>
                <w:color w:val="000000"/>
                <w:kern w:val="2"/>
                <w:sz w:val="24"/>
                <w:szCs w:val="24"/>
                <w:lang w:val="en-US" w:eastAsia="zh-CN" w:bidi="ar-SA"/>
              </w:rPr>
              <w:t>万元，其他收入</w:t>
            </w:r>
            <w:r>
              <w:rPr>
                <w:rFonts w:hint="eastAsia" w:ascii="仿宋_GB2312" w:hAnsi="仿宋_GB2312" w:eastAsia="仿宋_GB2312" w:cs="仿宋_GB2312"/>
                <w:color w:val="000000"/>
                <w:sz w:val="24"/>
                <w:lang w:val="en-US" w:eastAsia="zh-CN"/>
              </w:rPr>
              <w:t>210.1920</w:t>
            </w:r>
            <w:r>
              <w:rPr>
                <w:rFonts w:hint="eastAsia" w:ascii="仿宋_GB2312" w:hAnsi="仿宋_GB2312" w:eastAsia="仿宋_GB2312" w:cs="仿宋_GB2312"/>
                <w:b w:val="0"/>
                <w:color w:val="000000"/>
                <w:kern w:val="2"/>
                <w:sz w:val="24"/>
                <w:szCs w:val="24"/>
                <w:lang w:val="en-US" w:eastAsia="zh-CN" w:bidi="ar-SA"/>
              </w:rPr>
              <w:t xml:space="preserve">万元. </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2020年公共预算财政拨款支出</w:t>
            </w:r>
            <w:r>
              <w:rPr>
                <w:rFonts w:hint="eastAsia" w:ascii="仿宋_GB2312" w:hAnsi="仿宋_GB2312" w:eastAsia="仿宋_GB2312" w:cs="仿宋_GB2312"/>
                <w:color w:val="000000"/>
                <w:sz w:val="24"/>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14462</w:t>
            </w:r>
            <w:r>
              <w:rPr>
                <w:rFonts w:hint="eastAsia" w:ascii="仿宋_GB2312" w:hAnsi="仿宋_GB2312" w:eastAsia="仿宋_GB2312" w:cs="仿宋_GB2312"/>
                <w:b w:val="0"/>
                <w:color w:val="000000"/>
                <w:kern w:val="2"/>
                <w:sz w:val="24"/>
                <w:szCs w:val="24"/>
                <w:lang w:val="en-US" w:eastAsia="zh-CN" w:bidi="ar-SA"/>
              </w:rPr>
              <w:t>万元，其中基本支出</w:t>
            </w:r>
            <w:r>
              <w:rPr>
                <w:rFonts w:hint="eastAsia" w:ascii="仿宋_GB2312" w:hAnsi="仿宋_GB2312" w:eastAsia="仿宋_GB2312" w:cs="仿宋_GB2312"/>
                <w:color w:val="000000"/>
                <w:sz w:val="24"/>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13435</w:t>
            </w:r>
            <w:r>
              <w:rPr>
                <w:rFonts w:hint="eastAsia" w:ascii="仿宋_GB2312" w:hAnsi="仿宋_GB2312" w:eastAsia="仿宋_GB2312" w:cs="仿宋_GB2312"/>
                <w:b w:val="0"/>
                <w:color w:val="000000"/>
                <w:kern w:val="2"/>
                <w:sz w:val="24"/>
                <w:szCs w:val="24"/>
                <w:lang w:val="en-US" w:eastAsia="zh-CN" w:bidi="ar-SA"/>
              </w:rPr>
              <w:t>万元，基本支出又分人员经费</w:t>
            </w:r>
            <w:r>
              <w:rPr>
                <w:rFonts w:hint="eastAsia" w:ascii="仿宋_GB2312" w:hAnsi="仿宋_GB2312" w:eastAsia="仿宋_GB2312" w:cs="仿宋_GB2312"/>
                <w:color w:val="000000"/>
                <w:sz w:val="24"/>
              </w:rPr>
              <w:t>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538829</w:t>
            </w:r>
            <w:r>
              <w:rPr>
                <w:rFonts w:hint="eastAsia" w:ascii="仿宋_GB2312" w:hAnsi="仿宋_GB2312" w:eastAsia="仿宋_GB2312" w:cs="仿宋_GB2312"/>
                <w:b w:val="0"/>
                <w:color w:val="000000"/>
                <w:kern w:val="2"/>
                <w:sz w:val="24"/>
                <w:szCs w:val="24"/>
                <w:lang w:val="en-US" w:eastAsia="zh-CN" w:bidi="ar-SA"/>
              </w:rPr>
              <w:t>万元，日常公用经费</w:t>
            </w:r>
            <w:r>
              <w:rPr>
                <w:rFonts w:hint="eastAsia" w:ascii="仿宋_GB2312" w:hAnsi="仿宋_GB2312" w:eastAsia="仿宋_GB2312" w:cs="仿宋_GB2312"/>
                <w:color w:val="000000"/>
                <w:sz w:val="24"/>
              </w:rPr>
              <w:t>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595521</w:t>
            </w:r>
            <w:r>
              <w:rPr>
                <w:rFonts w:hint="eastAsia" w:ascii="仿宋_GB2312" w:hAnsi="仿宋_GB2312" w:eastAsia="仿宋_GB2312" w:cs="仿宋_GB2312"/>
                <w:b w:val="0"/>
                <w:color w:val="000000"/>
                <w:kern w:val="2"/>
                <w:sz w:val="24"/>
                <w:szCs w:val="24"/>
                <w:lang w:val="en-US" w:eastAsia="zh-CN" w:bidi="ar-SA"/>
              </w:rPr>
              <w:t>万元。项目支出</w:t>
            </w:r>
            <w:r>
              <w:rPr>
                <w:rFonts w:hint="eastAsia" w:ascii="仿宋_GB2312" w:hAnsi="仿宋_GB2312" w:eastAsia="仿宋_GB2312" w:cs="仿宋_GB2312"/>
                <w:color w:val="000000"/>
                <w:sz w:val="24"/>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01027</w:t>
            </w:r>
            <w:r>
              <w:rPr>
                <w:rFonts w:hint="eastAsia" w:ascii="仿宋_GB2312" w:hAnsi="仿宋_GB2312" w:eastAsia="仿宋_GB2312" w:cs="仿宋_GB2312"/>
                <w:b w:val="0"/>
                <w:color w:val="000000"/>
                <w:kern w:val="2"/>
                <w:sz w:val="24"/>
                <w:szCs w:val="24"/>
                <w:lang w:val="en-US" w:eastAsia="zh-CN" w:bidi="ar-SA"/>
              </w:rPr>
              <w:t>万元。</w:t>
            </w: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1690.6376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1480.4456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210.1920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14462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13435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538829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595521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01027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901349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859025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5020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357025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995.3247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995.3247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2020年年度总收入</w:t>
            </w:r>
            <w:r>
              <w:rPr>
                <w:rFonts w:hint="eastAsia" w:ascii="仿宋_GB2312" w:hAnsi="仿宋_GB2312" w:eastAsia="仿宋_GB2312" w:cs="仿宋_GB2312"/>
                <w:color w:val="000000"/>
                <w:sz w:val="24"/>
                <w:lang w:val="en-US" w:eastAsia="zh-CN"/>
              </w:rPr>
              <w:t>1690.6376</w:t>
            </w:r>
            <w:r>
              <w:rPr>
                <w:rFonts w:hint="eastAsia" w:ascii="仿宋_GB2312" w:hAnsi="仿宋_GB2312" w:eastAsia="仿宋_GB2312" w:cs="仿宋_GB2312"/>
                <w:b w:val="0"/>
                <w:color w:val="000000"/>
                <w:kern w:val="2"/>
                <w:sz w:val="24"/>
                <w:szCs w:val="24"/>
                <w:lang w:val="en-US" w:eastAsia="zh-CN" w:bidi="ar-SA"/>
              </w:rPr>
              <w:t>万元，其中：公共财政拨款收入</w:t>
            </w:r>
            <w:r>
              <w:rPr>
                <w:rFonts w:hint="eastAsia" w:ascii="仿宋_GB2312" w:hAnsi="仿宋_GB2312" w:eastAsia="仿宋_GB2312" w:cs="仿宋_GB2312"/>
                <w:color w:val="000000"/>
                <w:sz w:val="24"/>
                <w:lang w:val="en-US" w:eastAsia="zh-CN"/>
              </w:rPr>
              <w:t>1480.4456</w:t>
            </w:r>
            <w:r>
              <w:rPr>
                <w:rFonts w:hint="eastAsia" w:ascii="仿宋_GB2312" w:hAnsi="仿宋_GB2312" w:eastAsia="仿宋_GB2312" w:cs="仿宋_GB2312"/>
                <w:b w:val="0"/>
                <w:color w:val="000000"/>
                <w:kern w:val="2"/>
                <w:sz w:val="24"/>
                <w:szCs w:val="24"/>
                <w:lang w:val="en-US" w:eastAsia="zh-CN" w:bidi="ar-SA"/>
              </w:rPr>
              <w:t>万元，其他收入</w:t>
            </w:r>
            <w:r>
              <w:rPr>
                <w:rFonts w:hint="eastAsia" w:ascii="仿宋_GB2312" w:hAnsi="仿宋_GB2312" w:eastAsia="仿宋_GB2312" w:cs="仿宋_GB2312"/>
                <w:color w:val="000000"/>
                <w:sz w:val="24"/>
                <w:lang w:val="en-US" w:eastAsia="zh-CN"/>
              </w:rPr>
              <w:t>210.1920</w:t>
            </w:r>
            <w:r>
              <w:rPr>
                <w:rFonts w:hint="eastAsia" w:ascii="仿宋_GB2312" w:hAnsi="仿宋_GB2312" w:eastAsia="仿宋_GB2312" w:cs="仿宋_GB2312"/>
                <w:b w:val="0"/>
                <w:color w:val="000000"/>
                <w:kern w:val="2"/>
                <w:sz w:val="24"/>
                <w:szCs w:val="24"/>
                <w:lang w:val="en-US" w:eastAsia="zh-CN" w:bidi="ar-SA"/>
              </w:rPr>
              <w:t>万元. 2020年公共预算财政拨款支出</w:t>
            </w:r>
            <w:r>
              <w:rPr>
                <w:rFonts w:hint="eastAsia" w:ascii="仿宋_GB2312" w:hAnsi="仿宋_GB2312" w:eastAsia="仿宋_GB2312" w:cs="仿宋_GB2312"/>
                <w:color w:val="000000"/>
                <w:sz w:val="24"/>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14462</w:t>
            </w:r>
            <w:r>
              <w:rPr>
                <w:rFonts w:hint="eastAsia" w:ascii="仿宋_GB2312" w:hAnsi="仿宋_GB2312" w:eastAsia="仿宋_GB2312" w:cs="仿宋_GB2312"/>
                <w:b w:val="0"/>
                <w:color w:val="000000"/>
                <w:kern w:val="2"/>
                <w:sz w:val="24"/>
                <w:szCs w:val="24"/>
                <w:lang w:val="en-US" w:eastAsia="zh-CN" w:bidi="ar-SA"/>
              </w:rPr>
              <w:t>万元，其中基本支出</w:t>
            </w:r>
            <w:r>
              <w:rPr>
                <w:rFonts w:hint="eastAsia" w:ascii="仿宋_GB2312" w:hAnsi="仿宋_GB2312" w:eastAsia="仿宋_GB2312" w:cs="仿宋_GB2312"/>
                <w:color w:val="000000"/>
                <w:sz w:val="24"/>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13435</w:t>
            </w:r>
            <w:r>
              <w:rPr>
                <w:rFonts w:hint="eastAsia" w:ascii="仿宋_GB2312" w:hAnsi="仿宋_GB2312" w:eastAsia="仿宋_GB2312" w:cs="仿宋_GB2312"/>
                <w:b w:val="0"/>
                <w:color w:val="000000"/>
                <w:kern w:val="2"/>
                <w:sz w:val="24"/>
                <w:szCs w:val="24"/>
                <w:lang w:val="en-US" w:eastAsia="zh-CN" w:bidi="ar-SA"/>
              </w:rPr>
              <w:t>万元，基本支出又分人员经费</w:t>
            </w:r>
            <w:r>
              <w:rPr>
                <w:rFonts w:hint="eastAsia" w:ascii="仿宋_GB2312" w:hAnsi="仿宋_GB2312" w:eastAsia="仿宋_GB2312" w:cs="仿宋_GB2312"/>
                <w:color w:val="000000"/>
                <w:sz w:val="24"/>
              </w:rPr>
              <w:t>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538829</w:t>
            </w:r>
            <w:r>
              <w:rPr>
                <w:rFonts w:hint="eastAsia" w:ascii="仿宋_GB2312" w:hAnsi="仿宋_GB2312" w:eastAsia="仿宋_GB2312" w:cs="仿宋_GB2312"/>
                <w:b w:val="0"/>
                <w:color w:val="000000"/>
                <w:kern w:val="2"/>
                <w:sz w:val="24"/>
                <w:szCs w:val="24"/>
                <w:lang w:val="en-US" w:eastAsia="zh-CN" w:bidi="ar-SA"/>
              </w:rPr>
              <w:t>万元，日常公用经费</w:t>
            </w:r>
            <w:r>
              <w:rPr>
                <w:rFonts w:hint="eastAsia" w:ascii="仿宋_GB2312" w:hAnsi="仿宋_GB2312" w:eastAsia="仿宋_GB2312" w:cs="仿宋_GB2312"/>
                <w:color w:val="000000"/>
                <w:sz w:val="24"/>
              </w:rPr>
              <w:t>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595521</w:t>
            </w:r>
            <w:r>
              <w:rPr>
                <w:rFonts w:hint="eastAsia" w:ascii="仿宋_GB2312" w:hAnsi="仿宋_GB2312" w:eastAsia="仿宋_GB2312" w:cs="仿宋_GB2312"/>
                <w:b w:val="0"/>
                <w:color w:val="000000"/>
                <w:kern w:val="2"/>
                <w:sz w:val="24"/>
                <w:szCs w:val="24"/>
                <w:lang w:val="en-US" w:eastAsia="zh-CN" w:bidi="ar-SA"/>
              </w:rPr>
              <w:t>万元。项目支出</w:t>
            </w:r>
            <w:r>
              <w:rPr>
                <w:rFonts w:hint="eastAsia" w:ascii="仿宋_GB2312" w:hAnsi="仿宋_GB2312" w:eastAsia="仿宋_GB2312" w:cs="仿宋_GB2312"/>
                <w:color w:val="000000"/>
                <w:sz w:val="24"/>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01027</w:t>
            </w:r>
            <w:r>
              <w:rPr>
                <w:rFonts w:hint="eastAsia" w:ascii="仿宋_GB2312" w:hAnsi="仿宋_GB2312" w:eastAsia="仿宋_GB2312" w:cs="仿宋_GB2312"/>
                <w:b w:val="0"/>
                <w:color w:val="000000"/>
                <w:kern w:val="2"/>
                <w:sz w:val="24"/>
                <w:szCs w:val="24"/>
                <w:lang w:val="en-US" w:eastAsia="zh-CN" w:bidi="ar-SA"/>
              </w:rPr>
              <w:t>万元。</w:t>
            </w: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3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大型学法普法活动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办理公证</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法律援助案件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管理社区矫正人员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人民调解案件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14项大型学法普法活动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法律援助案件220件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与预算保持一致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3"/>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维护社会稳定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2.支持经济发展；3.保障公民、法人的合法权益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促进经济发展与稳定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指标2：服务对象满意度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胡鹤鸣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孙  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政工室主任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高红霞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计财装备股长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易利秋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政工室副主任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兰江华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社区矫正股长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岳阳县司法局是岳阳县人民政府工作部门之一，主管全县司法行政工作。局机关内设11个职能股室，下辖1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个基层司法所、2个基层法律服务所。共有机关编制</w:t>
            </w:r>
            <w:r>
              <w:rPr>
                <w:rFonts w:hint="eastAsia" w:ascii="仿宋_GB2312" w:hAnsi="仿宋_GB2312" w:eastAsia="仿宋_GB2312" w:cs="仿宋_GB2312"/>
                <w:color w:val="000000"/>
                <w:sz w:val="24"/>
                <w:lang w:val="en-US" w:eastAsia="zh-CN"/>
              </w:rPr>
              <w:t>79</w:t>
            </w:r>
            <w:r>
              <w:rPr>
                <w:rFonts w:hint="eastAsia" w:ascii="仿宋_GB2312" w:hAnsi="仿宋_GB2312" w:eastAsia="仿宋_GB2312" w:cs="仿宋_GB2312"/>
                <w:color w:val="000000"/>
                <w:sz w:val="24"/>
                <w:lang w:eastAsia="zh-CN"/>
              </w:rPr>
              <w:t>人，其中在职人数</w:t>
            </w:r>
            <w:r>
              <w:rPr>
                <w:rFonts w:hint="eastAsia" w:ascii="仿宋_GB2312" w:hAnsi="仿宋_GB2312" w:eastAsia="仿宋_GB2312" w:cs="仿宋_GB2312"/>
                <w:color w:val="000000"/>
                <w:sz w:val="24"/>
                <w:lang w:val="en-US" w:eastAsia="zh-CN"/>
              </w:rPr>
              <w:t>76</w:t>
            </w:r>
            <w:r>
              <w:rPr>
                <w:rFonts w:hint="eastAsia" w:ascii="仿宋_GB2312" w:hAnsi="仿宋_GB2312" w:eastAsia="仿宋_GB2312" w:cs="仿宋_GB2312"/>
                <w:color w:val="000000"/>
                <w:sz w:val="24"/>
                <w:lang w:eastAsia="zh-CN"/>
              </w:rPr>
              <w:t>人，离退休人员10人。</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主要职能是：</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1、贯彻执行国家、省、市有关司法行政工作的法律、法规和方针、政策；会同有关部门监督检查司法行政方面的法律、法规和方针、政策的执行情况；拟订全县司法行政工作的发展规划和年度计划并监督实施。</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2、指导全县普法、依法治理工作。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3、组织指导全县社区矫正工作。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4、指导监督基层司法所建设、司法助理员和人民调解、基层法律服务所和刑释解教人员帮教安置工作；参与社会治安综合治理工作。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5、对符合法定条件和特殊案件的当事人提供法律援助。</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6、监督管理全县律师工作。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7、监督、指导全县公证业务工作，管理公证机构。</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8、指导管理全县面向社会服务的司法鉴定工作。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9、负责司法行政系统队伍建设、党组建设和思想政治工作；负责司法行政系统的教育培训和考核工作。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10、承办县委、县人民政府交办的其他工作。</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年司法局整体支出共计</w:t>
            </w:r>
            <w:r>
              <w:rPr>
                <w:rFonts w:hint="eastAsia" w:ascii="仿宋_GB2312" w:hAnsi="仿宋_GB2312" w:eastAsia="仿宋_GB2312" w:cs="仿宋_GB2312"/>
                <w:color w:val="000000"/>
                <w:sz w:val="24"/>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14462</w:t>
            </w:r>
            <w:r>
              <w:rPr>
                <w:rFonts w:hint="eastAsia" w:ascii="仿宋_GB2312" w:hAnsi="仿宋_GB2312" w:eastAsia="仿宋_GB2312" w:cs="仿宋_GB2312"/>
                <w:color w:val="000000"/>
                <w:sz w:val="24"/>
                <w:lang w:eastAsia="zh-CN"/>
              </w:rPr>
              <w:t>，主要用于基本支出和项目支出，基本支出包括人员支出和公用支出。项目支出包括普法宣传，法律援助，社区矫正。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2020年年度总收入</w:t>
            </w:r>
            <w:r>
              <w:rPr>
                <w:rFonts w:hint="eastAsia" w:ascii="仿宋_GB2312" w:hAnsi="仿宋_GB2312" w:eastAsia="仿宋_GB2312" w:cs="仿宋_GB2312"/>
                <w:color w:val="000000"/>
                <w:sz w:val="24"/>
                <w:lang w:val="en-US" w:eastAsia="zh-CN"/>
              </w:rPr>
              <w:t>1690.6376万元，其中：公共财政拨款收入</w:t>
            </w:r>
            <w:r>
              <w:rPr>
                <w:rFonts w:hint="eastAsia" w:ascii="仿宋_GB2312" w:hAnsi="仿宋_GB2312" w:eastAsia="仿宋_GB2312" w:cs="仿宋_GB2312"/>
                <w:color w:val="000000"/>
                <w:sz w:val="24"/>
                <w:lang w:val="en-US" w:eastAsia="zh-CN"/>
              </w:rPr>
              <w:t>1480.4456万元，其他收入</w:t>
            </w:r>
            <w:r>
              <w:rPr>
                <w:rFonts w:hint="eastAsia" w:ascii="仿宋_GB2312" w:hAnsi="仿宋_GB2312" w:eastAsia="仿宋_GB2312" w:cs="仿宋_GB2312"/>
                <w:color w:val="000000"/>
                <w:sz w:val="24"/>
                <w:lang w:val="en-US" w:eastAsia="zh-CN"/>
              </w:rPr>
              <w:t xml:space="preserve">210.1920万元. </w:t>
            </w:r>
          </w:p>
          <w:p>
            <w:pPr>
              <w:numPr>
                <w:ilvl w:val="0"/>
                <w:numId w:val="0"/>
              </w:numPr>
              <w:spacing w:line="56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2020年公共预算财政拨款支出</w:t>
            </w:r>
            <w:r>
              <w:rPr>
                <w:rFonts w:hint="eastAsia" w:ascii="仿宋_GB2312" w:hAnsi="仿宋_GB2312" w:eastAsia="仿宋_GB2312" w:cs="仿宋_GB2312"/>
                <w:color w:val="000000"/>
                <w:sz w:val="24"/>
                <w:lang w:eastAsia="zh-CN"/>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14462</w:t>
            </w:r>
            <w:r>
              <w:rPr>
                <w:rFonts w:hint="eastAsia" w:ascii="仿宋_GB2312" w:hAnsi="仿宋_GB2312" w:eastAsia="仿宋_GB2312" w:cs="仿宋_GB2312"/>
                <w:color w:val="000000"/>
                <w:sz w:val="24"/>
                <w:lang w:val="en-US" w:eastAsia="zh-CN"/>
              </w:rPr>
              <w:t>万元，其中基本支出</w:t>
            </w:r>
            <w:r>
              <w:rPr>
                <w:rFonts w:hint="eastAsia" w:ascii="仿宋_GB2312" w:hAnsi="仿宋_GB2312" w:eastAsia="仿宋_GB2312" w:cs="仿宋_GB2312"/>
                <w:color w:val="000000"/>
                <w:sz w:val="24"/>
                <w:lang w:eastAsia="zh-CN"/>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13435</w:t>
            </w:r>
            <w:r>
              <w:rPr>
                <w:rFonts w:hint="eastAsia" w:ascii="仿宋_GB2312" w:hAnsi="仿宋_GB2312" w:eastAsia="仿宋_GB2312" w:cs="仿宋_GB2312"/>
                <w:color w:val="000000"/>
                <w:sz w:val="24"/>
                <w:lang w:val="en-US" w:eastAsia="zh-CN"/>
              </w:rPr>
              <w:t>万元，基本支出又分人员经费</w:t>
            </w:r>
            <w:r>
              <w:rPr>
                <w:rFonts w:hint="eastAsia" w:ascii="仿宋_GB2312" w:hAnsi="仿宋_GB2312" w:eastAsia="仿宋_GB2312" w:cs="仿宋_GB2312"/>
                <w:color w:val="000000"/>
                <w:sz w:val="24"/>
                <w:lang w:eastAsia="zh-CN"/>
              </w:rPr>
              <w:t>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538829</w:t>
            </w:r>
            <w:r>
              <w:rPr>
                <w:rFonts w:hint="eastAsia" w:ascii="仿宋_GB2312" w:hAnsi="仿宋_GB2312" w:eastAsia="仿宋_GB2312" w:cs="仿宋_GB2312"/>
                <w:color w:val="000000"/>
                <w:sz w:val="24"/>
                <w:lang w:val="en-US" w:eastAsia="zh-CN"/>
              </w:rPr>
              <w:t>万元，日常公用经费</w:t>
            </w:r>
            <w:r>
              <w:rPr>
                <w:rFonts w:hint="eastAsia" w:ascii="仿宋_GB2312" w:hAnsi="仿宋_GB2312" w:eastAsia="仿宋_GB2312" w:cs="仿宋_GB2312"/>
                <w:color w:val="000000"/>
                <w:sz w:val="24"/>
                <w:lang w:eastAsia="zh-CN"/>
              </w:rPr>
              <w:t>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595521</w:t>
            </w:r>
            <w:r>
              <w:rPr>
                <w:rFonts w:hint="eastAsia" w:ascii="仿宋_GB2312" w:hAnsi="仿宋_GB2312" w:eastAsia="仿宋_GB2312" w:cs="仿宋_GB2312"/>
                <w:color w:val="000000"/>
                <w:sz w:val="24"/>
                <w:lang w:val="en-US" w:eastAsia="zh-CN"/>
              </w:rPr>
              <w:t>万元。项目支出</w:t>
            </w:r>
            <w:r>
              <w:rPr>
                <w:rFonts w:hint="eastAsia" w:ascii="仿宋_GB2312" w:hAnsi="仿宋_GB2312" w:eastAsia="仿宋_GB2312" w:cs="仿宋_GB2312"/>
                <w:color w:val="000000"/>
                <w:sz w:val="24"/>
                <w:lang w:eastAsia="zh-CN"/>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01027</w:t>
            </w:r>
            <w:r>
              <w:rPr>
                <w:rFonts w:hint="eastAsia" w:ascii="仿宋_GB2312" w:hAnsi="仿宋_GB2312" w:eastAsia="仿宋_GB2312" w:cs="仿宋_GB2312"/>
                <w:color w:val="000000"/>
                <w:sz w:val="24"/>
                <w:lang w:val="en-US" w:eastAsia="zh-CN"/>
              </w:rPr>
              <w:t>万元。</w:t>
            </w:r>
          </w:p>
          <w:p>
            <w:pPr>
              <w:numPr>
                <w:ilvl w:val="0"/>
                <w:numId w:val="0"/>
              </w:num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年财政预算安排司法局项目支出211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01027</w:t>
            </w:r>
            <w:bookmarkStart w:id="0" w:name="_GoBack"/>
            <w:bookmarkEnd w:id="0"/>
            <w:r>
              <w:rPr>
                <w:rFonts w:hint="eastAsia" w:ascii="仿宋_GB2312" w:hAnsi="仿宋_GB2312" w:eastAsia="仿宋_GB2312" w:cs="仿宋_GB2312"/>
                <w:color w:val="000000"/>
                <w:sz w:val="24"/>
                <w:lang w:eastAsia="zh-CN"/>
              </w:rPr>
              <w:t>万元，用于司法行政办案、装备、社区矫正、法律援助及建设戒毒所工程项目。专项资金实行了专款专用，与预算数保持一致。专项组织实施情况。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numPr>
                <w:ilvl w:val="0"/>
                <w:numId w:val="0"/>
              </w:numPr>
              <w:spacing w:line="5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社区矫正45万专项资金落实到位，全部投入于社区矫正日常工作使用。期中社矫对象的调查评估18.352万元、集训学习17.0159万元、装备购轩及维护8.1875万元、办公费1.4446万元。</w:t>
            </w:r>
          </w:p>
          <w:p>
            <w:pPr>
              <w:numPr>
                <w:ilvl w:val="0"/>
                <w:numId w:val="5"/>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社区矫正专项资金实际使用45万，主要用于社区矫正集中训练活动和社区矫正对象走访。</w:t>
            </w:r>
          </w:p>
          <w:p>
            <w:pPr>
              <w:numPr>
                <w:ilvl w:val="0"/>
                <w:numId w:val="5"/>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社区矫正资金严格按照批准用途专款专用，本着统筹安排、量入为出的原则进行日常管理。资金使用明细清晰，加强使用监督，发现问题及时纠正。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社区矫正专项资金实际使用45万，</w:t>
            </w:r>
            <w:r>
              <w:rPr>
                <w:rFonts w:hint="eastAsia" w:ascii="仿宋_GB2312" w:hAnsi="仿宋_GB2312" w:eastAsia="仿宋_GB2312" w:cs="仿宋_GB2312"/>
                <w:color w:val="000000"/>
                <w:sz w:val="24"/>
                <w:lang w:eastAsia="zh-CN"/>
              </w:rPr>
              <w:t>社矫对象的调查评估</w:t>
            </w:r>
            <w:r>
              <w:rPr>
                <w:rFonts w:hint="eastAsia" w:ascii="仿宋_GB2312" w:hAnsi="仿宋_GB2312" w:eastAsia="仿宋_GB2312" w:cs="仿宋_GB2312"/>
                <w:color w:val="000000"/>
                <w:sz w:val="24"/>
                <w:lang w:val="en-US" w:eastAsia="zh-CN"/>
              </w:rPr>
              <w:t>18.352</w:t>
            </w:r>
            <w:r>
              <w:rPr>
                <w:rFonts w:hint="eastAsia" w:ascii="仿宋_GB2312" w:hAnsi="仿宋_GB2312" w:eastAsia="仿宋_GB2312" w:cs="仿宋_GB2312"/>
                <w:color w:val="000000"/>
                <w:sz w:val="24"/>
                <w:lang w:eastAsia="zh-CN"/>
              </w:rPr>
              <w:t>万元。2019年，我各司法所接受委托机关的委托调查评估函后，进行调查，客观准确出具评估意见，并将调查评估报告在限定时间内送县局社区矫正股共补贴资金</w:t>
            </w:r>
            <w:r>
              <w:rPr>
                <w:rFonts w:hint="eastAsia" w:ascii="仿宋_GB2312" w:hAnsi="仿宋_GB2312" w:eastAsia="仿宋_GB2312" w:cs="仿宋_GB2312"/>
                <w:color w:val="000000"/>
                <w:sz w:val="24"/>
                <w:lang w:val="en-US" w:eastAsia="zh-CN"/>
              </w:rPr>
              <w:t>18.352</w:t>
            </w:r>
            <w:r>
              <w:rPr>
                <w:rFonts w:hint="eastAsia" w:ascii="仿宋_GB2312" w:hAnsi="仿宋_GB2312" w:eastAsia="仿宋_GB2312" w:cs="仿宋_GB2312"/>
                <w:color w:val="000000"/>
                <w:sz w:val="24"/>
                <w:lang w:eastAsia="zh-CN"/>
              </w:rPr>
              <w:t>万元，保证其基本运转经费。集训学习</w:t>
            </w:r>
            <w:r>
              <w:rPr>
                <w:rFonts w:hint="eastAsia" w:ascii="仿宋_GB2312" w:hAnsi="仿宋_GB2312" w:eastAsia="仿宋_GB2312" w:cs="仿宋_GB2312"/>
                <w:color w:val="000000"/>
                <w:sz w:val="24"/>
                <w:lang w:val="en-US" w:eastAsia="zh-CN"/>
              </w:rPr>
              <w:t>17.0159</w:t>
            </w:r>
            <w:r>
              <w:rPr>
                <w:rFonts w:hint="eastAsia" w:ascii="仿宋_GB2312" w:hAnsi="仿宋_GB2312" w:eastAsia="仿宋_GB2312" w:cs="仿宋_GB2312"/>
                <w:color w:val="000000"/>
                <w:sz w:val="24"/>
                <w:lang w:eastAsia="zh-CN"/>
              </w:rPr>
              <w:t>万元。社区矫正对象每月到司法所报到一次，要求有相关记录；司法所每月组织社区矫正对象集中学习、社区服务一天，要求有图片、有记录。装备购轩及维护</w:t>
            </w:r>
            <w:r>
              <w:rPr>
                <w:rFonts w:hint="eastAsia" w:ascii="仿宋_GB2312" w:hAnsi="仿宋_GB2312" w:eastAsia="仿宋_GB2312" w:cs="仿宋_GB2312"/>
                <w:color w:val="000000"/>
                <w:sz w:val="24"/>
                <w:lang w:val="en-US" w:eastAsia="zh-CN"/>
              </w:rPr>
              <w:t>8.1875</w:t>
            </w:r>
            <w:r>
              <w:rPr>
                <w:rFonts w:hint="eastAsia" w:ascii="仿宋_GB2312" w:hAnsi="仿宋_GB2312" w:eastAsia="仿宋_GB2312" w:cs="仿宋_GB2312"/>
                <w:color w:val="000000"/>
                <w:sz w:val="24"/>
                <w:lang w:eastAsia="zh-CN"/>
              </w:rPr>
              <w:t>万元。20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lang w:eastAsia="zh-CN"/>
              </w:rPr>
              <w:t>年，我们通过政府采购社矫对象监管、定位通迅设备，更好的管理好社矫对象。办公费</w:t>
            </w:r>
            <w:r>
              <w:rPr>
                <w:rFonts w:hint="eastAsia" w:ascii="仿宋_GB2312" w:hAnsi="仿宋_GB2312" w:eastAsia="仿宋_GB2312" w:cs="仿宋_GB2312"/>
                <w:color w:val="000000"/>
                <w:sz w:val="24"/>
                <w:lang w:val="en-US" w:eastAsia="zh-CN"/>
              </w:rPr>
              <w:t>1.4446</w:t>
            </w:r>
            <w:r>
              <w:rPr>
                <w:rFonts w:hint="eastAsia" w:ascii="仿宋_GB2312" w:hAnsi="仿宋_GB2312" w:eastAsia="仿宋_GB2312" w:cs="仿宋_GB2312"/>
                <w:color w:val="000000"/>
                <w:sz w:val="24"/>
                <w:lang w:eastAsia="zh-CN"/>
              </w:rPr>
              <w:t>万元。建立完整、规范的社区矫正对象工作档案和各类台帐。</w:t>
            </w:r>
          </w:p>
          <w:p>
            <w:pPr>
              <w:numPr>
                <w:ilvl w:val="0"/>
                <w:numId w:val="4"/>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社区矫正资金严格按照批准用途专款专用，本着统筹安排、量入为出的原则进行日常管理。资金使用明细清晰，加强使用监督，发现问题及时纠正。</w:t>
            </w:r>
          </w:p>
          <w:p>
            <w:pPr>
              <w:numPr>
                <w:ilvl w:val="0"/>
                <w:numId w:val="6"/>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2020年年度总收入</w:t>
            </w:r>
            <w:r>
              <w:rPr>
                <w:rFonts w:hint="eastAsia" w:ascii="仿宋_GB2312" w:hAnsi="仿宋_GB2312" w:eastAsia="仿宋_GB2312" w:cs="仿宋_GB2312"/>
                <w:color w:val="000000"/>
                <w:sz w:val="24"/>
                <w:lang w:val="en-US" w:eastAsia="zh-CN"/>
              </w:rPr>
              <w:t>1690.6376万元，其中：公共财政拨款收入</w:t>
            </w:r>
            <w:r>
              <w:rPr>
                <w:rFonts w:hint="eastAsia" w:ascii="仿宋_GB2312" w:hAnsi="仿宋_GB2312" w:eastAsia="仿宋_GB2312" w:cs="仿宋_GB2312"/>
                <w:color w:val="000000"/>
                <w:sz w:val="24"/>
                <w:lang w:val="en-US" w:eastAsia="zh-CN"/>
              </w:rPr>
              <w:t>1480.4456万元，其他收入</w:t>
            </w:r>
            <w:r>
              <w:rPr>
                <w:rFonts w:hint="eastAsia" w:ascii="仿宋_GB2312" w:hAnsi="仿宋_GB2312" w:eastAsia="仿宋_GB2312" w:cs="仿宋_GB2312"/>
                <w:color w:val="000000"/>
                <w:sz w:val="24"/>
                <w:lang w:val="en-US" w:eastAsia="zh-CN"/>
              </w:rPr>
              <w:t xml:space="preserve">210.1920万元. </w:t>
            </w:r>
          </w:p>
          <w:p>
            <w:pPr>
              <w:numPr>
                <w:ilvl w:val="0"/>
                <w:numId w:val="0"/>
              </w:numPr>
              <w:spacing w:line="56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2020年公共预算财政拨款支出</w:t>
            </w:r>
            <w:r>
              <w:rPr>
                <w:rFonts w:hint="eastAsia" w:ascii="仿宋_GB2312" w:hAnsi="仿宋_GB2312" w:eastAsia="仿宋_GB2312" w:cs="仿宋_GB2312"/>
                <w:color w:val="000000"/>
                <w:sz w:val="24"/>
                <w:lang w:eastAsia="zh-CN"/>
              </w:rPr>
              <w:t>1680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14462</w:t>
            </w:r>
            <w:r>
              <w:rPr>
                <w:rFonts w:hint="eastAsia" w:ascii="仿宋_GB2312" w:hAnsi="仿宋_GB2312" w:eastAsia="仿宋_GB2312" w:cs="仿宋_GB2312"/>
                <w:color w:val="000000"/>
                <w:sz w:val="24"/>
                <w:lang w:val="en-US" w:eastAsia="zh-CN"/>
              </w:rPr>
              <w:t>万元，其中基本支出</w:t>
            </w:r>
            <w:r>
              <w:rPr>
                <w:rFonts w:hint="eastAsia" w:ascii="仿宋_GB2312" w:hAnsi="仿宋_GB2312" w:eastAsia="仿宋_GB2312" w:cs="仿宋_GB2312"/>
                <w:color w:val="000000"/>
                <w:sz w:val="24"/>
                <w:lang w:eastAsia="zh-CN"/>
              </w:rPr>
              <w:t>1469</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13435</w:t>
            </w:r>
            <w:r>
              <w:rPr>
                <w:rFonts w:hint="eastAsia" w:ascii="仿宋_GB2312" w:hAnsi="仿宋_GB2312" w:eastAsia="仿宋_GB2312" w:cs="仿宋_GB2312"/>
                <w:color w:val="000000"/>
                <w:sz w:val="24"/>
                <w:lang w:val="en-US" w:eastAsia="zh-CN"/>
              </w:rPr>
              <w:t>万元，</w:t>
            </w:r>
            <w:r>
              <w:rPr>
                <w:rFonts w:hint="eastAsia" w:ascii="仿宋_GB2312" w:hAnsi="仿宋_GB2312" w:eastAsia="仿宋_GB2312" w:cs="仿宋_GB2312"/>
                <w:color w:val="000000"/>
                <w:sz w:val="24"/>
                <w:lang w:eastAsia="zh-CN"/>
              </w:rPr>
              <w:t>系保障我局各项支出，包括用于办公等日常公用经费，明细为工资福利支出1105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538829</w:t>
            </w:r>
            <w:r>
              <w:rPr>
                <w:rFonts w:hint="eastAsia" w:ascii="仿宋_GB2312" w:hAnsi="仿宋_GB2312" w:eastAsia="仿宋_GB2312" w:cs="仿宋_GB2312"/>
                <w:color w:val="000000"/>
                <w:sz w:val="24"/>
                <w:lang w:val="en-US" w:eastAsia="zh-CN"/>
              </w:rPr>
              <w:t>万元，</w:t>
            </w:r>
            <w:r>
              <w:rPr>
                <w:rFonts w:hint="eastAsia" w:ascii="仿宋_GB2312" w:hAnsi="仿宋_GB2312" w:eastAsia="仿宋_GB2312" w:cs="仿宋_GB2312"/>
                <w:color w:val="000000"/>
                <w:sz w:val="24"/>
                <w:lang w:eastAsia="zh-CN"/>
              </w:rPr>
              <w:t>一般商品和服务支出363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595521</w:t>
            </w:r>
            <w:r>
              <w:rPr>
                <w:rFonts w:hint="eastAsia" w:ascii="仿宋_GB2312" w:hAnsi="仿宋_GB2312" w:eastAsia="仿宋_GB2312" w:cs="仿宋_GB2312"/>
                <w:color w:val="000000"/>
                <w:sz w:val="24"/>
                <w:lang w:val="en-US" w:eastAsia="zh-CN"/>
              </w:rPr>
              <w:t>万元。项目支出</w:t>
            </w:r>
            <w:r>
              <w:rPr>
                <w:rFonts w:hint="eastAsia" w:ascii="仿宋_GB2312" w:hAnsi="仿宋_GB2312" w:eastAsia="仿宋_GB2312" w:cs="仿宋_GB2312"/>
                <w:color w:val="000000"/>
                <w:sz w:val="24"/>
                <w:lang w:eastAsia="zh-CN"/>
              </w:rPr>
              <w:t>211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eastAsia="zh-CN"/>
              </w:rPr>
              <w:t>01027</w:t>
            </w:r>
            <w:r>
              <w:rPr>
                <w:rFonts w:hint="eastAsia" w:ascii="仿宋_GB2312" w:hAnsi="仿宋_GB2312" w:eastAsia="仿宋_GB2312" w:cs="仿宋_GB2312"/>
                <w:color w:val="000000"/>
                <w:sz w:val="24"/>
                <w:lang w:val="en-US" w:eastAsia="zh-CN"/>
              </w:rPr>
              <w:t>万元。</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（一）统筹协调，法治建设取得新突破</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积极谋划，奋力推进了法治政府建设工作。结合我县实际，制定《2020年度法治政府建设考评方案》，提高法治政府建设在全县绩效考核分值占比，并设置了单项先进奖。成功召开了2020年度法治政府建设工作推进会议，并邀请省市专家会上对规范文件管理、政府合同管理和行政执法三项制度进行培训授课。</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认真开展普法工作，着力推进了法治社会建设。一年来开展“农村法治宣传月”、“国家安全日”、“青少年法治宣传周”、“宪法宣传周”等系列法制宣传活动40余场次，开展疫情防控、精准脱贫、法治乡村建设、生态环保、优化营商环境等方面普法宣传活动20余场次。2020年我县通过“如法网”网络平台报考8636人（不含县处级领导），应考8636人。实际参考8625人，参考率99.87%，考试通过8622人，合格率99.84%。</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全面建成了法治文化主题公园。投入资金40余万元，在县城南河小学旁，高标准建成法治文化主题公园，主题公园内含法治文化长廊、宪法广场、法治亭等元素，成为广大群众散步、休闲、学法、崇法的一个新去处。</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（二）积极作为，服务全县经济发展创造新业绩</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坚守岗位、严控疫情。面对新冠疫情的严重冲击，我们始终坚持人民至上、大局为重，认真对接省厅、市、县文件精神，加强值班值守，及时向上反馈信息，认真排查机关干部和管理对象是否存在“四类”人员，制定详细的应急处置预案。收治中心实行全封闭管理，所有工作人员按三班制轮流驻所执勤备勤，确保疫情不内传。在疫情关键期间，承担了新冠肺炎“三类人员”的隔离任务，得到了县疫情防控指挥部、县领导的充分肯定，为维护我县稳定发挥了积极作用。同时，积极推进“疫情防控 法治同行”法治宣传活动，印制2万余份《疫情防控读本》和《“疫情防控法治同行”App二维码》，发放到每个乡镇、社区、家庭，在全县城区、乡镇、村、社区广泛开展依法防控知识宣传，引导群众依法防控，为全县疫情防控做出了积极贡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把好法制关，当好政府法律参谋助手。严把涉法类文件的合法性审查关，一年来共审查各类规范性文件31余件、非规范性文件50余件、政府合同20余份，充分发挥司法行政部门在政府依法决策、依法行政中的法律参谋作用。2020年组织全县201名行政执法人员进行了考试，对考试合格的120人完成了资格审查和发证工作，全县行政执法队伍进一步加强。深入推进行政执法“三项制度”落实，加大对“三项制度”执行情况的考核力度。着力开展案卷评查，共抽查水利、住建、市场等15个执法部门的180余份执法案卷，逐一提出提出整改意见和建议。一年来办理行政复议案件19件、行政应诉案件16件。尽力为县委政府提供优质法律服务，与政府聘请的3名社会律师一同尽心尽职为县委政府担任法律顾问。2020年参与全县重要涉法会议议题100起以上，提出书面法律意见30余份，得到领导充分肯定与采纳。</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延展公共法律服务，提升人民群众满意度。开展司法所规范化建设，完成了筻口、新墙、杨林等所改造任务。努力提升法律援助成效，加大法律援助、公共法律服务宣传力度，2020年共受理法律援助案件229件，三大平台共接待群众法律咨询500余人次,岳阳县法援中心荣获“维护妇女儿童权益全进集体”荣誉称号。积极开展公证行业“群众满意服务窗口”创建活动，提升公证服务能力和水平，公证处共受理各类公证案件994件，其中法律援助公证48件；司法鉴定所共受理司法鉴定案件469件，继续保持案件“零投诉”，得到了社会的认可。</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（三）发挥职能，维护社会稳定取得新成效</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一是扎实开展人民调解工作。始终把加强人民调解工作作为建设和谐社会的有效途径，坚持以维护稳定为首任，以息访息诉为目标，以服务群众为根本，着力把各类矛盾纠纷解决在基层，解决在萌芽状态。2020年以来共排查调处各类民间矛盾纠纷987件，调解成功982件，调解率100%，调解成功率99.5%。 </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抓好社区矫正工作。截止目前，我县在矫对象391人(缓刑373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强化病残吸毒人员收治中心管理。始终坚持应收尽收、规范管理的原则，累计收治重症涉毒人员726人次，较好解决了我县重症涉毒人员收治难、管控难的问题，在打击涉毒违法犯罪方面发挥了积极作用。为适应当前社会发展要求，收治中心将进行扩容，规划高标准新建一个占地面积达1500平方米、可以容纳收治对象150人的病残吸毒人员收治中心。土地征收、土地调规、规划设计工作正在稳步推进中。</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（四）创新实践，队伍建设迈上新台阶</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将意识形态工作作为党的建设和政治建设的重要内容，做到“五个纳入”把意识形态工作情况纳入“德能勤绩廉”的干部考核标准中，并作为评价使用和奖惩的重要依据。配合做好了巡察工作，2020年10月30日至12月10日，县委第五巡察组对我局党组开展了为期30个工作日的集中巡察。巡察期间，局党组高度重视、认真对待、积极配合，局党组的工作和全体司法行政队伍整体形象得到了巡察组的充分肯定。</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为推进服务型党组织建设，带领全体党员联系帮扶困难群众，今年党员结对帮扶贫困户全部实现脱贫。为配合普法宣传活动，机关党员开展送法进校园、进企业、进乡村活动，开展司法公证、法律援助、人民调解、社区矫正、安置帮教等服务群众“最后一公里”优质创建活动。</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多形式开展主题党日活动，先后组织党员参观了张谷英廉政建设基地、湘西十八洞村、杨林革命英烈兰泽墓。年初突如其来的新冠肺炎疫情，作为党支部书记火速要求党员干部回归岗位并在小范围内召开会议，安排部署防疫值守工作。坚持疫情防控和本职工作齐头并进，形成防控工作常态化、制度化、长效化。</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过去的一年，尽管各项工作取得了较好成绩，但是我们也要清醒地认识到工作中还存在许多问题和不足：全县法治政府建设整体基础还不牢固；公共法律服务水平和质量与群众期盼还有差距；法律“六进”工作开展还不深入；行政执法领域问题很多，监管难以取得实效；为政府进行法律服务的水平和能力不足等等，这些问题都还要我们在后段的工作中认真研究，切实加以解决。</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财务监督管理机制还要加强。</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财务会计基础工作还要多加强。</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（一）加强监管财务监督及制度约束，对财务制度的执行情况进行全过程监督管理，维护财务制度的严肃性。</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（二）进一步加强</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"http://kuaijishixibaogao.unjs.com/"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会计</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基础工作，规范原始凭证和自制凭证的管理。</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（三）加强会计人员的</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"http://peixunxindetihui.unjs.com/"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培训</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 xml:space="preserve">，多组织参加业务方面的培训，提高自身的专业业务水平与责任心。 </w:t>
            </w:r>
          </w:p>
          <w:p>
            <w:pPr>
              <w:rPr>
                <w:rFonts w:eastAsia="楷体_GB2312"/>
                <w:bCs/>
                <w:sz w:val="28"/>
                <w:szCs w:val="28"/>
              </w:rPr>
            </w:pPr>
          </w:p>
        </w:tc>
      </w:tr>
    </w:tbl>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岳阳县2020年财政项目支出绩效评价自评报告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eastAsia="仿宋_GB2312"/>
          <w:sz w:val="32"/>
          <w:szCs w:val="32"/>
        </w:rPr>
        <w:t xml:space="preserve">   </w:t>
      </w:r>
      <w:r>
        <w:rPr>
          <w:rFonts w:hint="eastAsia" w:eastAsia="仿宋_GB2312"/>
          <w:sz w:val="32"/>
          <w:szCs w:val="32"/>
        </w:rPr>
        <w:t>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eastAsia="仿宋_GB2312"/>
          <w:sz w:val="32"/>
          <w:u w:val="single"/>
        </w:rPr>
        <w:t xml:space="preserve">              </w:t>
      </w:r>
      <w:r>
        <w:rPr>
          <w:rFonts w:hint="eastAsia" w:eastAsia="仿宋_GB2312"/>
          <w:sz w:val="32"/>
          <w:u w:val="single"/>
          <w:lang w:eastAsia="zh-CN"/>
        </w:rPr>
        <w:t>社区矫正</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spacing w:line="348" w:lineRule="auto"/>
        <w:jc w:val="center"/>
        <w:rPr>
          <w:rFonts w:eastAsia="仿宋_GB2312"/>
          <w:sz w:val="32"/>
        </w:rPr>
      </w:pPr>
      <w:r>
        <w:rPr>
          <w:rFonts w:hint="eastAsia" w:eastAsia="仿宋_GB2312"/>
          <w:sz w:val="32"/>
        </w:rPr>
        <w:t>岳阳县财政局（制）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91"/>
        <w:gridCol w:w="1023"/>
        <w:gridCol w:w="306"/>
        <w:gridCol w:w="562"/>
        <w:gridCol w:w="785"/>
        <w:gridCol w:w="345"/>
        <w:gridCol w:w="672"/>
        <w:gridCol w:w="1333"/>
        <w:gridCol w:w="5"/>
        <w:gridCol w:w="5"/>
        <w:gridCol w:w="27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孙洋</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7620391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岳阳县司法局</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w:t>
            </w:r>
            <w:r>
              <w:rPr>
                <w:rFonts w:eastAsia="仿宋_GB2312"/>
                <w:sz w:val="24"/>
              </w:rPr>
              <w:t xml:space="preserve">  </w:t>
            </w:r>
            <w:r>
              <w:rPr>
                <w:rFonts w:hint="eastAsia" w:eastAsia="仿宋_GB2312"/>
                <w:sz w:val="24"/>
              </w:rPr>
              <w:t>编</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4"/>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5036"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9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矫正对象评估调查费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18.352</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val="en-US" w:eastAsia="zh-CN"/>
              </w:rPr>
            </w:pPr>
            <w:r>
              <w:rPr>
                <w:rFonts w:hint="eastAsia" w:eastAsia="仿宋_GB2312"/>
                <w:sz w:val="24"/>
                <w:lang w:val="en-US" w:eastAsia="zh-CN"/>
              </w:rPr>
              <w:t>2020年1月74.76.83.98.100.101.113.114.122.140.144.149.153.176.179号，6月31.73.86.87号，7月29.39.41.42号，8月22.29号，9月38.42.70号，12月2.8.14.26.38号</w:t>
            </w: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社区矫正集训费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17.0159</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2020年1月79.108.148.150.156.161.169.181，6月57.69.74号，9月48.66号，12月10.18.27.28.35.124号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装备购置及维护</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8.1875</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2020年1月61.158号，4月24号，8月13号，9月18号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社区矫正办公费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1.4446</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2020年1月9.75.79.80号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sz w:val="24"/>
              </w:rPr>
              <w:t>支出合计</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45万</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w:t>
            </w:r>
            <w:r>
              <w:rPr>
                <w:rFonts w:eastAsia="仿宋_GB2312"/>
                <w:sz w:val="24"/>
              </w:rPr>
              <w:t xml:space="preserve">  </w:t>
            </w:r>
            <w:r>
              <w:rPr>
                <w:rFonts w:hint="eastAsia" w:eastAsia="仿宋_GB2312"/>
                <w:sz w:val="24"/>
              </w:rPr>
              <w:t>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达到预期目的，完成预定工作任务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24小时监管定位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500人社区改造</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500人</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脱管漏管率0%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市先进单位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先进</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年底前完成</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1年</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控制在预算内</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45</w:t>
            </w:r>
            <w:r>
              <w:rPr>
                <w:rFonts w:hint="eastAsia" w:ascii="仿宋_GB2312" w:eastAsia="仿宋_GB2312"/>
                <w:szCs w:val="21"/>
              </w:rPr>
              <w:t>万元</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项目效益指标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社区矫正人员重新犯罪率为0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服务对象满意率</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w:t>
            </w:r>
            <w:r>
              <w:rPr>
                <w:rFonts w:hint="eastAsia" w:ascii="仿宋_GB2312" w:eastAsia="仿宋_GB2312"/>
                <w:szCs w:val="21"/>
                <w:lang w:val="en-US" w:eastAsia="zh-CN"/>
              </w:rPr>
              <w:t>6</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w:t>
            </w:r>
            <w:r>
              <w:rPr>
                <w:rFonts w:eastAsia="仿宋_GB2312"/>
                <w:sz w:val="24"/>
              </w:rPr>
              <w:t xml:space="preserve">  </w:t>
            </w:r>
            <w:r>
              <w:rPr>
                <w:rFonts w:hint="eastAsia" w:eastAsia="仿宋_GB2312"/>
                <w:sz w:val="24"/>
              </w:rPr>
              <w:t>位</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胡鹤鸣</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  洋</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高红霞</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计财装备股长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易利秋</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任露</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政工室副主任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兰江华</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社区矫正股长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r>
              <w:rPr>
                <w:rFonts w:hint="eastAsia" w:eastAsia="仿宋_GB2312"/>
                <w:sz w:val="24"/>
              </w:rPr>
              <w:t xml:space="preserve">                                                      </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 xml:space="preserve">                                      </w:t>
            </w: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eastAsia="仿宋_GB2312"/>
                <w:sz w:val="24"/>
              </w:rPr>
              <w:t xml:space="preserve">                                            </w:t>
            </w:r>
            <w:r>
              <w:rPr>
                <w:rFonts w:hint="eastAsia" w:eastAsia="仿宋_GB2312"/>
                <w:sz w:val="24"/>
              </w:rPr>
              <w:t xml:space="preserve">     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numPr>
                <w:ilvl w:val="0"/>
                <w:numId w:val="7"/>
              </w:numPr>
              <w:jc w:val="center"/>
              <w:rPr>
                <w:rFonts w:hint="eastAsia" w:eastAsia="仿宋_GB2312"/>
                <w:b/>
                <w:bCs/>
                <w:sz w:val="28"/>
                <w:szCs w:val="28"/>
              </w:rPr>
            </w:pPr>
            <w:r>
              <w:rPr>
                <w:rFonts w:hint="eastAsia" w:eastAsia="仿宋_GB2312"/>
                <w:b/>
                <w:bCs/>
                <w:sz w:val="28"/>
                <w:szCs w:val="28"/>
              </w:rPr>
              <w:t>评价报告综述（文字部分）</w:t>
            </w:r>
          </w:p>
          <w:p>
            <w:pPr>
              <w:numPr>
                <w:ilvl w:val="0"/>
                <w:numId w:val="0"/>
              </w:numPr>
              <w:jc w:val="both"/>
              <w:rPr>
                <w:rFonts w:hint="eastAsia" w:eastAsia="仿宋_GB2312"/>
                <w:b/>
                <w:bCs/>
                <w:sz w:val="28"/>
                <w:szCs w:val="28"/>
              </w:rPr>
            </w:pPr>
          </w:p>
          <w:p>
            <w:pPr>
              <w:numPr>
                <w:ilvl w:val="0"/>
                <w:numId w:val="8"/>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24小时定位；不出现脱管、漏管；加强社区矫正法制宣传教育，提升社区矫正改造质量。</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1、社矫对象的调查评估</w:t>
            </w:r>
            <w:r>
              <w:rPr>
                <w:rFonts w:hint="eastAsia" w:eastAsia="仿宋_GB2312"/>
                <w:sz w:val="30"/>
                <w:szCs w:val="30"/>
                <w:lang w:val="en-US" w:eastAsia="zh-CN"/>
              </w:rPr>
              <w:t>18.352</w:t>
            </w:r>
            <w:r>
              <w:rPr>
                <w:rFonts w:hint="eastAsia" w:eastAsia="仿宋_GB2312"/>
                <w:sz w:val="30"/>
                <w:szCs w:val="30"/>
              </w:rPr>
              <w:t>万元。2019年，我各司法所接受委托机关的委托调查评估函后，进行调查，客观准确出具评估意见，并将调查评估报告在限定时间内送县局社区矫正股共补贴资金</w:t>
            </w:r>
            <w:r>
              <w:rPr>
                <w:rFonts w:hint="eastAsia" w:eastAsia="仿宋_GB2312"/>
                <w:sz w:val="30"/>
                <w:szCs w:val="30"/>
                <w:lang w:val="en-US" w:eastAsia="zh-CN"/>
              </w:rPr>
              <w:t>18.352</w:t>
            </w:r>
            <w:r>
              <w:rPr>
                <w:rFonts w:hint="eastAsia" w:eastAsia="仿宋_GB2312"/>
                <w:sz w:val="30"/>
                <w:szCs w:val="30"/>
              </w:rPr>
              <w:t>万元，保证其基本运转经费。</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2、集训学习</w:t>
            </w:r>
            <w:r>
              <w:rPr>
                <w:rFonts w:hint="eastAsia" w:eastAsia="仿宋_GB2312"/>
                <w:sz w:val="30"/>
                <w:szCs w:val="30"/>
                <w:lang w:val="en-US" w:eastAsia="zh-CN"/>
              </w:rPr>
              <w:t>17.0159</w:t>
            </w:r>
            <w:r>
              <w:rPr>
                <w:rFonts w:hint="eastAsia" w:eastAsia="仿宋_GB2312"/>
                <w:sz w:val="30"/>
                <w:szCs w:val="30"/>
              </w:rPr>
              <w:t>万元。社区矫正对象每月到司法所报到一次，要求有相关记录；司法所每月组织社区矫正对象集中学习、社区服务一天，要求有图片、有记录。</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装备购轩及维护</w:t>
            </w:r>
            <w:r>
              <w:rPr>
                <w:rFonts w:hint="eastAsia" w:eastAsia="仿宋_GB2312"/>
                <w:sz w:val="30"/>
                <w:szCs w:val="30"/>
                <w:lang w:val="en-US" w:eastAsia="zh-CN"/>
              </w:rPr>
              <w:t>8.1875</w:t>
            </w:r>
            <w:r>
              <w:rPr>
                <w:rFonts w:hint="eastAsia" w:eastAsia="仿宋_GB2312"/>
                <w:sz w:val="30"/>
                <w:szCs w:val="30"/>
              </w:rPr>
              <w:t>万元。20</w:t>
            </w:r>
            <w:r>
              <w:rPr>
                <w:rFonts w:hint="eastAsia" w:eastAsia="仿宋_GB2312"/>
                <w:sz w:val="30"/>
                <w:szCs w:val="30"/>
                <w:lang w:val="en-US" w:eastAsia="zh-CN"/>
              </w:rPr>
              <w:t>20</w:t>
            </w:r>
            <w:r>
              <w:rPr>
                <w:rFonts w:hint="eastAsia" w:eastAsia="仿宋_GB2312"/>
                <w:sz w:val="30"/>
                <w:szCs w:val="30"/>
              </w:rPr>
              <w:t>年，我们通过政府采购社矫对象监管、定位通迅设备，更好的管理好社矫对象。</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4、</w:t>
            </w:r>
            <w:r>
              <w:rPr>
                <w:rFonts w:hint="eastAsia" w:eastAsia="仿宋_GB2312"/>
                <w:sz w:val="30"/>
                <w:szCs w:val="30"/>
              </w:rPr>
              <w:t>办公费</w:t>
            </w:r>
            <w:r>
              <w:rPr>
                <w:rFonts w:hint="eastAsia" w:eastAsia="仿宋_GB2312"/>
                <w:sz w:val="30"/>
                <w:szCs w:val="30"/>
                <w:lang w:val="en-US" w:eastAsia="zh-CN"/>
              </w:rPr>
              <w:t>1.4446</w:t>
            </w:r>
            <w:r>
              <w:rPr>
                <w:rFonts w:hint="eastAsia" w:eastAsia="仿宋_GB2312"/>
                <w:sz w:val="30"/>
                <w:szCs w:val="30"/>
              </w:rPr>
              <w:t>万元。建立完整、规范的社区矫正对象工作档案和各类台帐。</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我县在矫对象391人(缓刑373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rPr>
                <w:rFonts w:hint="eastAsia" w:eastAsia="仿宋_GB2312"/>
                <w:sz w:val="30"/>
                <w:szCs w:val="30"/>
                <w:lang w:eastAsia="zh-CN"/>
              </w:rPr>
            </w:pPr>
            <w:r>
              <w:rPr>
                <w:rFonts w:hint="eastAsia" w:eastAsia="仿宋_GB2312"/>
                <w:sz w:val="30"/>
                <w:szCs w:val="30"/>
                <w:lang w:eastAsia="zh-CN"/>
              </w:rPr>
              <w:t>社区矫正项目完成情况较好，基本按照预算完成了预定的工作任务。</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社区矫正对象定位手机有的会出现关机、停机现象。</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2、</w:t>
            </w:r>
            <w:r>
              <w:rPr>
                <w:rFonts w:hint="eastAsia" w:eastAsia="仿宋_GB2312"/>
                <w:sz w:val="30"/>
                <w:szCs w:val="30"/>
              </w:rPr>
              <w:t>项目资金太少，对刑释解教人员及矫正人员再就业帮助力度不大。</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专项资金虽然是专用但在具体执行与年初制定的项目支出有出入。</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1、改进工作方法，全面实现数据管理信息化。加强工作人员业务学习，提高其工作水平和专业素养，对各项数据进行信息化处理，使资金管理更加公开、公正、公平、透明。</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加大项目争取力度，着力解决全县刑释解教人员需求。认真组织实施刑释解教人员需求摸底调查，积极向上级财政争取项目资金，加大刑释解教人员创业、就业培训等项目实施力度，逐步解决我县刑释解教人员的合理需求。</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3、完善财务管理制度，进一步加强资产管理。进一步贯彻落实中央“八项规定”和湖南省委“九条规定”，建立本部门“三公经费”等公务支出管理制度及厉行节约制度，加强经费审批和控制，规范支出标准与范围，并严格执行。</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制度还需要进一步健全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公开信息存在不完善方面</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公务卡刷卡率不够</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制度还需要进一步健全</w:t>
            </w: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hint="eastAsia"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CDD58"/>
    <w:multiLevelType w:val="singleLevel"/>
    <w:tmpl w:val="C9ECDD58"/>
    <w:lvl w:ilvl="0" w:tentative="0">
      <w:start w:val="2"/>
      <w:numFmt w:val="decimal"/>
      <w:suff w:val="nothing"/>
      <w:lvlText w:val="%1、"/>
      <w:lvlJc w:val="left"/>
    </w:lvl>
  </w:abstractNum>
  <w:abstractNum w:abstractNumId="1">
    <w:nsid w:val="DE6F5A42"/>
    <w:multiLevelType w:val="singleLevel"/>
    <w:tmpl w:val="DE6F5A42"/>
    <w:lvl w:ilvl="0" w:tentative="0">
      <w:start w:val="2"/>
      <w:numFmt w:val="chineseCounting"/>
      <w:suff w:val="nothing"/>
      <w:lvlText w:val="（%1）"/>
      <w:lvlJc w:val="left"/>
      <w:rPr>
        <w:rFonts w:hint="eastAsia"/>
      </w:rPr>
    </w:lvl>
  </w:abstractNum>
  <w:abstractNum w:abstractNumId="2">
    <w:nsid w:val="FB34BAEC"/>
    <w:multiLevelType w:val="singleLevel"/>
    <w:tmpl w:val="FB34BAEC"/>
    <w:lvl w:ilvl="0" w:tentative="0">
      <w:start w:val="5"/>
      <w:numFmt w:val="chineseCounting"/>
      <w:suff w:val="nothing"/>
      <w:lvlText w:val="%1、"/>
      <w:lvlJc w:val="left"/>
      <w:rPr>
        <w:rFonts w:hint="eastAsia"/>
      </w:rPr>
    </w:lvl>
  </w:abstractNum>
  <w:abstractNum w:abstractNumId="3">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4">
    <w:nsid w:val="3BDD84A2"/>
    <w:multiLevelType w:val="singleLevel"/>
    <w:tmpl w:val="3BDD84A2"/>
    <w:lvl w:ilvl="0" w:tentative="0">
      <w:start w:val="1"/>
      <w:numFmt w:val="decimal"/>
      <w:suff w:val="space"/>
      <w:lvlText w:val="%1."/>
      <w:lvlJc w:val="left"/>
    </w:lvl>
  </w:abstractNum>
  <w:abstractNum w:abstractNumId="5">
    <w:nsid w:val="57596309"/>
    <w:multiLevelType w:val="singleLevel"/>
    <w:tmpl w:val="57596309"/>
    <w:lvl w:ilvl="0" w:tentative="0">
      <w:start w:val="1"/>
      <w:numFmt w:val="decimal"/>
      <w:lvlText w:val="%1."/>
      <w:lvlJc w:val="left"/>
      <w:pPr>
        <w:tabs>
          <w:tab w:val="left" w:pos="312"/>
        </w:tabs>
      </w:pPr>
    </w:lvl>
  </w:abstractNum>
  <w:abstractNum w:abstractNumId="6">
    <w:nsid w:val="60FB67CA"/>
    <w:multiLevelType w:val="singleLevel"/>
    <w:tmpl w:val="60FB67CA"/>
    <w:lvl w:ilvl="0" w:tentative="0">
      <w:start w:val="1"/>
      <w:numFmt w:val="chineseCounting"/>
      <w:suff w:val="nothing"/>
      <w:lvlText w:val="（%1）"/>
      <w:lvlJc w:val="left"/>
      <w:rPr>
        <w:rFonts w:hint="eastAsia"/>
      </w:rPr>
    </w:lvl>
  </w:abstractNum>
  <w:abstractNum w:abstractNumId="7">
    <w:nsid w:val="7BE47D15"/>
    <w:multiLevelType w:val="singleLevel"/>
    <w:tmpl w:val="7BE47D15"/>
    <w:lvl w:ilvl="0" w:tentative="0">
      <w:start w:val="4"/>
      <w:numFmt w:val="chineseCounting"/>
      <w:suff w:val="nothing"/>
      <w:lvlText w:val="%1、"/>
      <w:lvlJc w:val="left"/>
      <w:rPr>
        <w:rFonts w:hint="eastAsia"/>
      </w:rPr>
    </w:lvl>
  </w:abstractNum>
  <w:num w:numId="1">
    <w:abstractNumId w:val="3"/>
    <w:lvlOverride w:ilvl="0">
      <w:startOverride w:val="1"/>
    </w:lvlOverride>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wMWQ5ZWNlMzEyOGE4MDg2ZmZmZjI3Mjc3OTA1NzkifQ=="/>
  </w:docVars>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D355E1F"/>
    <w:rsid w:val="1F6273A1"/>
    <w:rsid w:val="55C50A9D"/>
    <w:rsid w:val="5679776D"/>
    <w:rsid w:val="6B9238AD"/>
    <w:rsid w:val="6D8C46D0"/>
    <w:rsid w:val="7AC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0"/>
    <w:pPr>
      <w:ind w:left="100" w:leftChars="2500"/>
    </w:pPr>
  </w:style>
  <w:style w:type="paragraph" w:styleId="4">
    <w:name w:val="Body Text Indent 2"/>
    <w:basedOn w:val="1"/>
    <w:link w:val="15"/>
    <w:semiHidden/>
    <w:unhideWhenUsed/>
    <w:qFormat/>
    <w:uiPriority w:val="0"/>
    <w:pPr>
      <w:ind w:firstLine="588" w:firstLineChars="200"/>
    </w:pPr>
    <w:rPr>
      <w:rFonts w:ascii="仿宋_GB2312" w:hAnsi="Calibri" w:eastAsia="仿宋_GB2312"/>
      <w:sz w:val="32"/>
    </w:rPr>
  </w:style>
  <w:style w:type="paragraph" w:styleId="5">
    <w:name w:val="footer"/>
    <w:basedOn w:val="1"/>
    <w:link w:val="19"/>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2"/>
    <w:semiHidden/>
    <w:unhideWhenUsed/>
    <w:qFormat/>
    <w:uiPriority w:val="0"/>
    <w:pP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semiHidden/>
    <w:unhideWhenUsed/>
    <w:qFormat/>
    <w:uiPriority w:val="0"/>
    <w:rPr>
      <w:color w:val="0000FF"/>
      <w:u w:val="single"/>
    </w:rPr>
  </w:style>
  <w:style w:type="character" w:customStyle="1" w:styleId="12">
    <w:name w:val="页眉 Char"/>
    <w:basedOn w:val="8"/>
    <w:link w:val="6"/>
    <w:semiHidden/>
    <w:qFormat/>
    <w:uiPriority w:val="0"/>
    <w:rPr>
      <w:rFonts w:ascii="Times New Roman" w:hAnsi="Times New Roman" w:eastAsia="宋体" w:cs="Times New Roman"/>
      <w:sz w:val="18"/>
      <w:szCs w:val="18"/>
    </w:rPr>
  </w:style>
  <w:style w:type="character" w:customStyle="1" w:styleId="13">
    <w:name w:val="页脚 Char"/>
    <w:basedOn w:val="8"/>
    <w:link w:val="5"/>
    <w:semiHidden/>
    <w:qFormat/>
    <w:uiPriority w:val="0"/>
    <w:rPr>
      <w:rFonts w:ascii="Times New Roman" w:hAnsi="Times New Roman" w:eastAsia="宋体" w:cs="Times New Roman"/>
      <w:sz w:val="18"/>
      <w:szCs w:val="18"/>
    </w:rPr>
  </w:style>
  <w:style w:type="character" w:customStyle="1" w:styleId="14">
    <w:name w:val="日期 Char"/>
    <w:basedOn w:val="8"/>
    <w:link w:val="3"/>
    <w:semiHidden/>
    <w:qFormat/>
    <w:uiPriority w:val="0"/>
    <w:rPr>
      <w:rFonts w:ascii="Times New Roman" w:hAnsi="Times New Roman" w:eastAsia="宋体" w:cs="Times New Roman"/>
      <w:szCs w:val="24"/>
    </w:rPr>
  </w:style>
  <w:style w:type="character" w:customStyle="1" w:styleId="15">
    <w:name w:val="正文文本缩进 2 Char"/>
    <w:basedOn w:val="8"/>
    <w:link w:val="4"/>
    <w:semiHidden/>
    <w:qFormat/>
    <w:uiPriority w:val="0"/>
    <w:rPr>
      <w:rFonts w:ascii="仿宋_GB2312" w:hAnsi="Calibri" w:eastAsia="仿宋_GB2312" w:cs="Times New Roman"/>
      <w:sz w:val="32"/>
      <w:szCs w:val="24"/>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页脚 Char1"/>
    <w:basedOn w:val="8"/>
    <w:link w:val="5"/>
    <w:semiHidden/>
    <w:qFormat/>
    <w:locked/>
    <w:uiPriority w:val="0"/>
    <w:rPr>
      <w:rFonts w:ascii="Times New Roman" w:hAnsi="Times New Roman" w:eastAsia="宋体" w:cs="Times New Roman"/>
      <w:kern w:val="0"/>
      <w:sz w:val="18"/>
      <w:szCs w:val="18"/>
    </w:rPr>
  </w:style>
  <w:style w:type="character" w:customStyle="1" w:styleId="20">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11417</Words>
  <Characters>12770</Characters>
  <Lines>82</Lines>
  <Paragraphs>23</Paragraphs>
  <TotalTime>0</TotalTime>
  <ScaleCrop>false</ScaleCrop>
  <LinksUpToDate>false</LinksUpToDate>
  <CharactersWithSpaces>14053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2021-07-28T08:31:00Z</cp:lastPrinted>
  <dcterms:modified xsi:type="dcterms:W3CDTF">2022-08-26T02:02:49Z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9A0BC869CA644C36ABE0C7A7DC7A110D</vt:lpwstr>
  </property>
</Properties>
</file>