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 xml:space="preserve">   岳阳县市场监督管理局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 xml:space="preserve">    YYX345</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w:t>
      </w:r>
      <w:r>
        <w:rPr>
          <w:rFonts w:hint="eastAsia" w:eastAsia="仿宋_GB2312"/>
          <w:sz w:val="32"/>
          <w:lang w:val="en-US" w:eastAsia="zh-CN"/>
        </w:rPr>
        <w:t>8</w:t>
      </w:r>
      <w:r>
        <w:rPr>
          <w:rFonts w:hint="eastAsia" w:eastAsia="仿宋_GB2312"/>
          <w:sz w:val="32"/>
        </w:rPr>
        <w:t>月2</w:t>
      </w:r>
      <w:r>
        <w:rPr>
          <w:rFonts w:hint="eastAsia" w:eastAsia="仿宋_GB2312"/>
          <w:sz w:val="32"/>
          <w:lang w:val="en-US" w:eastAsia="zh-CN"/>
        </w:rPr>
        <w:t>7</w:t>
      </w:r>
      <w:bookmarkStart w:id="0" w:name="_GoBack"/>
      <w:bookmarkEnd w:id="0"/>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蒋湘君</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0730-7667328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286</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在职290+退休103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照职能调整及新组建的单位职能职责要求，我局承担着全县市场综合监管、市场主体统一登记注册、市场监管综合执法、市场秩序监管、产品质量安全监管、特种设备安全监管、药械化安全监管、食品安全监管、计量监管、标准实施监管、检验检测、认证认可、知识产权保护、消费维权等重要职能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任务1：抗击疫情，坚决守住监管防线。一是迅速发布消费警示。二是迅速开展市场排查。三是迅速查处市场违法。四是迅速排查进口冷链食品风险。五是迅速部署复工复产复市。</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硬核作为，全面筑牢安全底线。聚焦示范县创建，在严守食品安全底线上压实责任。发挥职能优势，在构筑药械安全屏障上精准发力。加大监管力度，在全面排查特种设备安全隐患上持续发力。坚持靶向发力，在重点工业产品安全监管上提质增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任务3：重拳出击，有力维护市场秩序。执法办案质量进一步提升。价格监管进一步深入。消费维权进一步加强。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任务4：深化改革，持续优化营商环境。商事注册取得新突破。质量强县取得新进展。</w:t>
            </w:r>
            <w:r>
              <w:rPr>
                <w:rFonts w:ascii="仿宋_GB2312" w:hAnsi="仿宋_GB2312" w:eastAsia="仿宋_GB2312" w:cs="仿宋_GB2312"/>
                <w:color w:val="000000"/>
                <w:sz w:val="24"/>
              </w:rPr>
              <w:t>知识产权</w:t>
            </w:r>
            <w:r>
              <w:rPr>
                <w:rFonts w:hint="eastAsia" w:ascii="仿宋_GB2312" w:hAnsi="仿宋_GB2312" w:eastAsia="仿宋_GB2312" w:cs="仿宋_GB2312"/>
                <w:color w:val="000000"/>
                <w:sz w:val="24"/>
              </w:rPr>
              <w:t>指标取得新提升</w:t>
            </w:r>
            <w:r>
              <w:rPr>
                <w:rFonts w:ascii="仿宋_GB2312" w:hAnsi="仿宋_GB2312" w:eastAsia="仿宋_GB2312" w:cs="仿宋_GB2312"/>
                <w:color w:val="000000"/>
                <w:sz w:val="24"/>
              </w:rPr>
              <w:t>。助企强企</w:t>
            </w:r>
            <w:r>
              <w:rPr>
                <w:rFonts w:hint="eastAsia" w:ascii="仿宋_GB2312" w:hAnsi="仿宋_GB2312" w:eastAsia="仿宋_GB2312" w:cs="仿宋_GB2312"/>
                <w:color w:val="000000"/>
                <w:sz w:val="24"/>
              </w:rPr>
              <w:t>取得新成效</w:t>
            </w:r>
            <w:r>
              <w:rPr>
                <w:rFonts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任务5：强基固本，队伍建设稳步前行。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本部门2020年总收入5134.47万元，其中：财政预算拨款收入4727.19万元（一般公共财政预算拨款4427.19万元、政府性基金预算拨款300万元），其他资金收入70.26万元，年初结转和结余337.02万元。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本部门2020年总支出5134.47万元，其中人员经费3058.93万元，占总支出的59.58%；日常公用经费541.03万元，占总支出的10.54</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；项目支出1451.33万元，占总支出的28.27</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；年末结转和结余83.18万元，占总支出的1.62</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5134.47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337.02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4427.19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5134.47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337.02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4427.19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5134.47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3599.96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3058.93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541.03</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1451.33</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83.18</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5134.47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3599.96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3058.93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541.03</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1451.33</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83.18</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49.89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49.89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3336.25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3336.25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3336.25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3336.25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目标1：按政策保证人员费用支出。</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目标2：保证单位日常运行正常开展的经费支出。</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目标3：突出监管执法重点，保证专项监管执法经费到位。</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目标4：严控“三公经费”，确保政府采购执行等质量目标到位。</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所有预期目标全部顺利完成。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指标1：任务完成时间</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指标1：任务完成成本</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5134.47万元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指标1：违法违规行为查处率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指标2：全年重大食品安全事故</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确保无发生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指标1：非税收入入库率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指标1：消费维权、投诉举报处理率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冯小兰</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李西兵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李育军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李小叶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周林霞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许元爱</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人事股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赵光新</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机关纪委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蒋湘君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填报人（签名）：蒋湘君</w:t>
      </w:r>
      <w:r>
        <w:rPr>
          <w:rFonts w:eastAsia="仿宋_GB2312" w:cs="仿宋_GB2312"/>
          <w:bCs/>
          <w:sz w:val="28"/>
          <w:szCs w:val="28"/>
        </w:rPr>
        <w:t xml:space="preserve">                  </w:t>
      </w:r>
      <w:r>
        <w:rPr>
          <w:rFonts w:hint="eastAsia" w:eastAsia="仿宋_GB2312" w:cs="仿宋_GB2312"/>
          <w:bCs/>
          <w:sz w:val="28"/>
          <w:szCs w:val="28"/>
        </w:rPr>
        <w:t>联系电话：0730-7667328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sz w:val="30"/>
                <w:szCs w:val="30"/>
              </w:rPr>
              <w:t>按照职能调整及新组建的单位职能职责要求，我局承担着全县市场综合监管、市场主体统一登记注册、市场监管综合执法、市场秩序监管、产品质量安全监管、特种设备安全监管、药械化安全监管、食品安全监管、计量监管、标准实施监管、检验检测、认证认可、知识产权保护、消费维权等重要职能职责。我局下设26个内设机构、6个二级机构、 18个派出机构。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sz w:val="30"/>
                <w:szCs w:val="30"/>
              </w:rPr>
              <w:t>2020年度，我局总支出5134.47万元,其中：年末结转和结余83.18万元；基本支出3599.96万元，含人员经费3058.93万元，公用经费541.03万元，基本支出主要是为保障单位机构正常运转、完成日常工作任务而发生的各项支出，如基本工资、津贴补贴、乡镇工作补贴、住房公积金、社会保障缴费、公务交通补贴等；项目支出1451.33万元，含商品服务支出1387.4万元，其他资本性支出63.93万元，项目支出主要是指单位为完成特定行政工作任务或事业发展目标而发生的支出，如食品药品监管、特种设备安全监管、标准化项目管理、执法办案、消费维权、网络监管等，有力维护了全县市场经济秩序，保证了全县人民人身健康和财产安全，积极服务县域经济发展。</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cs="宋体"/>
                <w:color w:val="000000"/>
                <w:kern w:val="0"/>
                <w:sz w:val="30"/>
                <w:szCs w:val="30"/>
              </w:rPr>
              <w:t>2020年度，我局基本支出</w:t>
            </w:r>
            <w:r>
              <w:rPr>
                <w:rFonts w:hint="eastAsia" w:ascii="仿宋" w:hAnsi="仿宋" w:eastAsia="仿宋"/>
                <w:sz w:val="30"/>
                <w:szCs w:val="30"/>
              </w:rPr>
              <w:t>3599.96</w:t>
            </w:r>
            <w:r>
              <w:rPr>
                <w:rFonts w:hint="eastAsia" w:ascii="仿宋" w:hAnsi="仿宋" w:eastAsia="仿宋" w:cs="宋体"/>
                <w:color w:val="000000"/>
                <w:kern w:val="0"/>
                <w:sz w:val="30"/>
                <w:szCs w:val="30"/>
              </w:rPr>
              <w:t>万元，其中：人员支出</w:t>
            </w:r>
            <w:r>
              <w:rPr>
                <w:rFonts w:hint="eastAsia" w:ascii="仿宋" w:hAnsi="仿宋" w:eastAsia="仿宋"/>
                <w:sz w:val="30"/>
                <w:szCs w:val="30"/>
              </w:rPr>
              <w:t>3058.93</w:t>
            </w:r>
            <w:r>
              <w:rPr>
                <w:rFonts w:hint="eastAsia" w:ascii="仿宋" w:hAnsi="仿宋" w:eastAsia="仿宋" w:cs="宋体"/>
                <w:color w:val="000000"/>
                <w:kern w:val="0"/>
                <w:sz w:val="30"/>
                <w:szCs w:val="30"/>
              </w:rPr>
              <w:t>万元，公用支出</w:t>
            </w:r>
            <w:r>
              <w:rPr>
                <w:rFonts w:hint="eastAsia" w:ascii="仿宋" w:hAnsi="仿宋" w:eastAsia="仿宋"/>
                <w:sz w:val="30"/>
                <w:szCs w:val="30"/>
              </w:rPr>
              <w:t>541.03</w:t>
            </w:r>
            <w:r>
              <w:rPr>
                <w:rFonts w:hint="eastAsia" w:ascii="仿宋" w:hAnsi="仿宋" w:eastAsia="仿宋" w:cs="宋体"/>
                <w:color w:val="000000"/>
                <w:kern w:val="0"/>
                <w:sz w:val="30"/>
                <w:szCs w:val="30"/>
              </w:rPr>
              <w:t>万元。</w:t>
            </w:r>
            <w:r>
              <w:rPr>
                <w:rFonts w:hint="eastAsia" w:ascii="仿宋" w:hAnsi="仿宋" w:eastAsia="仿宋"/>
                <w:sz w:val="32"/>
                <w:szCs w:val="32"/>
              </w:rPr>
              <w:t>本部门2020年“三公”经费（使用</w:t>
            </w:r>
            <w:r>
              <w:rPr>
                <w:rFonts w:hint="eastAsia" w:ascii="仿宋" w:hAnsi="仿宋" w:eastAsia="仿宋" w:cs="仿宋"/>
                <w:kern w:val="0"/>
                <w:sz w:val="32"/>
                <w:szCs w:val="32"/>
              </w:rPr>
              <w:t>一般公共预算财政拨款安排的</w:t>
            </w:r>
            <w:r>
              <w:rPr>
                <w:rFonts w:hint="eastAsia" w:ascii="仿宋" w:hAnsi="仿宋" w:eastAsia="仿宋" w:cs="宋体"/>
                <w:color w:val="333333"/>
                <w:kern w:val="0"/>
                <w:sz w:val="32"/>
                <w:szCs w:val="32"/>
              </w:rPr>
              <w:t>因公出国（境）费用、公务接待费、公务用车购置及运行维护费</w:t>
            </w:r>
            <w:r>
              <w:rPr>
                <w:rFonts w:hint="eastAsia" w:ascii="仿宋" w:hAnsi="仿宋" w:eastAsia="仿宋"/>
                <w:sz w:val="32"/>
                <w:szCs w:val="32"/>
              </w:rPr>
              <w:t>）支出合计63.29万元，比年初公开的部门预算数减少34.71万元，降低35.42%，主要原因为本部门严控“三公”经费支出。分项为：公务接待费13.4万元，接待193批次、1543人次，支出数比年初公开的部门预算数减少12.6万元，降低48.46%，原因为本部门加强内部管理，采取规范财务报账制度和公务接待程序、推行公务卡结算制度、严格控制接待标准和陪餐人数等措施，有效控制了非必要公务接待开支的发生；公务用车运行维护费49.89万元，公务用车保有量18台，支出数比年初公开的部门预算数减少22.11万元，降低30.71%，原因为本部门规范公务用车使用规定，合理调度，分车逐月进行油耗登记和分析，并建立驾驶员节油奖励、安全行车奖惩等制度，成效显著；无公务用车购置费；无</w:t>
            </w:r>
            <w:r>
              <w:rPr>
                <w:rFonts w:hint="eastAsia" w:ascii="仿宋" w:hAnsi="仿宋" w:eastAsia="仿宋" w:cs="宋体"/>
                <w:color w:val="333333"/>
                <w:kern w:val="0"/>
                <w:sz w:val="32"/>
                <w:szCs w:val="32"/>
              </w:rPr>
              <w:t>因公出国（境）费用</w:t>
            </w:r>
            <w:r>
              <w:rPr>
                <w:rFonts w:hint="eastAsia" w:ascii="仿宋" w:hAnsi="仿宋" w:eastAsia="仿宋"/>
                <w:sz w:val="32"/>
                <w:szCs w:val="32"/>
              </w:rPr>
              <w:t>。本部门2020年机关运行经费（使用一般公共预算财政拨款安排的基本支出中的日常公用经费）支出525.4万元，主要用于机关日常运行维护工作，如办公、印刷、水电、物业、维修、会议、培训等方面。</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widowControl/>
              <w:spacing w:line="360" w:lineRule="auto"/>
              <w:ind w:firstLine="600" w:firstLineChars="200"/>
              <w:rPr>
                <w:rFonts w:ascii="仿宋" w:hAnsi="仿宋" w:eastAsia="仿宋"/>
                <w:sz w:val="30"/>
                <w:szCs w:val="30"/>
              </w:rPr>
            </w:pPr>
            <w:r>
              <w:rPr>
                <w:rFonts w:hint="eastAsia" w:ascii="仿宋" w:hAnsi="仿宋" w:eastAsia="仿宋" w:cs="仿宋_GB2312"/>
                <w:color w:val="000000"/>
                <w:sz w:val="30"/>
                <w:szCs w:val="30"/>
              </w:rPr>
              <w:t>2020年度，财政共计下拨专项资金</w:t>
            </w:r>
            <w:r>
              <w:rPr>
                <w:rFonts w:hint="eastAsia" w:ascii="仿宋" w:hAnsi="仿宋" w:eastAsia="仿宋"/>
                <w:sz w:val="30"/>
                <w:szCs w:val="30"/>
              </w:rPr>
              <w:t>1451.33</w:t>
            </w:r>
            <w:r>
              <w:rPr>
                <w:rFonts w:hint="eastAsia" w:ascii="仿宋" w:hAnsi="仿宋" w:eastAsia="仿宋" w:cs="仿宋_GB2312"/>
                <w:color w:val="000000"/>
                <w:sz w:val="30"/>
                <w:szCs w:val="30"/>
              </w:rPr>
              <w:t>万元，其中：中央、省、市专项资金93.7万元、同级财政专项资金1357.63万元。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widowControl/>
              <w:spacing w:line="360" w:lineRule="auto"/>
              <w:ind w:firstLine="640" w:firstLineChars="200"/>
              <w:rPr>
                <w:rFonts w:ascii="仿宋" w:hAnsi="仿宋" w:eastAsia="仿宋"/>
                <w:sz w:val="30"/>
                <w:szCs w:val="30"/>
              </w:rPr>
            </w:pPr>
            <w:r>
              <w:rPr>
                <w:rFonts w:hint="eastAsia" w:ascii="仿宋" w:hAnsi="仿宋" w:eastAsia="仿宋"/>
                <w:sz w:val="32"/>
                <w:szCs w:val="32"/>
              </w:rPr>
              <w:t>2020年度，</w:t>
            </w:r>
            <w:r>
              <w:rPr>
                <w:rFonts w:hint="eastAsia" w:ascii="仿宋" w:hAnsi="仿宋" w:eastAsia="仿宋"/>
                <w:sz w:val="30"/>
                <w:szCs w:val="30"/>
              </w:rPr>
              <w:t>我局共计支付专项资金1451.33万元，其中：食品药品监管、检验及打假专项经费163.63万元、省级食品安全示范县创建专项经费637.14万元、其他市场监管专项经费650.56万元。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sz w:val="30"/>
                <w:szCs w:val="30"/>
              </w:rPr>
              <w:t>在专项资金管理使用上，我局一直按照国家财经法规和内部财务管理制度的规定开支。资金结付有完整的审批程序和手续，按照财经制度的有关要求，做到专款专用，专人保管，单位分管领导对资金的使用进行全程监督，保证资金使用的合规性。资金使用无截留、挤占、挪用、虚列支出等情况。相关发票由财务室审核后，再由主要负责人签字同意报账后方可结算。</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cs="宋体"/>
                <w:color w:val="000000"/>
                <w:kern w:val="0"/>
                <w:sz w:val="30"/>
                <w:szCs w:val="30"/>
              </w:rPr>
              <w:t>2020年，我局项目支出预算数为548万元，是指单位为完成特定行政工作任务或事业发展目标而发生的支出，其中：</w:t>
            </w:r>
            <w:r>
              <w:rPr>
                <w:rFonts w:hint="eastAsia" w:ascii="仿宋" w:hAnsi="仿宋" w:eastAsia="仿宋"/>
                <w:sz w:val="30"/>
                <w:szCs w:val="30"/>
              </w:rPr>
              <w:t>食品药品监管专项27万元、特种设备安全监管专项20万元、标准化项目管理专项15万元、专用材料检测专项35万元、乡镇和社区医用计量器具免费检定专项20万元、执法办案专项95万元、消费维权专项18万元、网络监管专项5万元、打假专项27万元、乡镇站所经费140万元、三证合一工作经费18万元、食品药品检验经费90万元、食品药品监督举报奖励10万元、食安办工作经费10万元、质量强县工作经费18万元。因工作需要，年中追加省级食品安全示范县创建专项工作经费300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cs="宋体"/>
                <w:color w:val="000000"/>
                <w:kern w:val="0"/>
                <w:sz w:val="30"/>
                <w:szCs w:val="30"/>
              </w:rPr>
              <w:t>2020年，我局</w:t>
            </w:r>
            <w:r>
              <w:rPr>
                <w:rFonts w:hint="eastAsia" w:ascii="仿宋" w:hAnsi="仿宋" w:eastAsia="仿宋"/>
                <w:sz w:val="30"/>
                <w:szCs w:val="30"/>
              </w:rPr>
              <w:t>制定了一系列财务管理制度，</w:t>
            </w:r>
            <w:r>
              <w:rPr>
                <w:rFonts w:hint="eastAsia" w:ascii="仿宋" w:hAnsi="仿宋" w:eastAsia="仿宋" w:cs="宋体"/>
                <w:color w:val="000000"/>
                <w:kern w:val="0"/>
                <w:sz w:val="30"/>
                <w:szCs w:val="30"/>
              </w:rPr>
              <w:t>如《财务管理制度》、《经费管理办法》、《专项资金管理制度》等，建立了“有章可依、有章必循、违章必究”的财务管理机制，</w:t>
            </w:r>
            <w:r>
              <w:rPr>
                <w:rFonts w:hint="eastAsia" w:ascii="仿宋" w:hAnsi="仿宋" w:eastAsia="仿宋"/>
                <w:sz w:val="30"/>
                <w:szCs w:val="30"/>
              </w:rPr>
              <w:t>成立了财务管理工作领导小组，</w:t>
            </w:r>
            <w:r>
              <w:rPr>
                <w:rFonts w:hint="eastAsia" w:ascii="仿宋" w:hAnsi="仿宋" w:eastAsia="仿宋" w:cs="宋体"/>
                <w:color w:val="000000"/>
                <w:kern w:val="0"/>
                <w:sz w:val="30"/>
                <w:szCs w:val="30"/>
              </w:rPr>
              <w:t>严格财务程序，强化报销环节管理，认真落实经办人、经费使用单位负责人、局领导、财务管理人员责任，为财务工作依法管理营造了良好的组织管理环境。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一年来，我们坚持围绕中心，服务大局；坚持创新引领，勇于改革；坚持根本宗旨，为民服务；坚持依法行政，科学监管；坚持从严从实，锻造队伍</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取得了可喜的成绩</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成绩的取得来之不易，是县委县政府和上级主管部门坚强领导的结果，是全局干部职工披荆斩棘、无私奉献的结果，也是社会各界高度关注、大力支持的结果。</w:t>
            </w:r>
          </w:p>
          <w:p>
            <w:pPr>
              <w:shd w:val="clear" w:color="auto" w:fill="FFFFFF"/>
              <w:spacing w:line="60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年来，我们打赢了疫情防控攻坚战，做好了各项执法监管工作，对如何做好市场监管工作有了更加深入、更加深刻的认识。一是要始终坚定立场。要始终坚持党的领导不动摇，牢牢把握正确政治方向，在面对重大挑战、重大考验之时，党组织的判断力、决策力、执行力具有决定性作用。二是要始终心怀群众。市场监管部门职权划分与群众切身利益密切相关，只有心怀群众才能找到正确开展工作的结合点、切入点，才能获得群众最广泛的支持和认同。三是要始终真抓实干。充分发挥主观能动性，在真抓实干的基础上创新开展工作，只有扑下身子大胆闯、扎实做才能最终取得成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ind w:firstLine="635"/>
              <w:rPr>
                <w:rFonts w:ascii="仿宋" w:hAnsi="仿宋" w:eastAsia="仿宋"/>
                <w:sz w:val="30"/>
                <w:szCs w:val="30"/>
              </w:rPr>
            </w:pPr>
            <w:r>
              <w:rPr>
                <w:rFonts w:hint="eastAsia" w:ascii="仿宋" w:hAnsi="仿宋" w:eastAsia="仿宋"/>
                <w:sz w:val="30"/>
                <w:szCs w:val="30"/>
              </w:rPr>
              <w:t>（一）财务工作是一个单位的命脉，创新机制正在逐步加强，要求财务工作水平越来越高。</w:t>
            </w:r>
          </w:p>
          <w:p>
            <w:pPr>
              <w:ind w:firstLine="635"/>
              <w:rPr>
                <w:rFonts w:ascii="黑体" w:hAnsi="黑体" w:eastAsia="黑体" w:cs="黑体"/>
                <w:bCs/>
                <w:sz w:val="28"/>
                <w:szCs w:val="28"/>
              </w:rPr>
            </w:pPr>
            <w:r>
              <w:rPr>
                <w:rFonts w:hint="eastAsia" w:ascii="仿宋" w:hAnsi="仿宋" w:eastAsia="仿宋"/>
                <w:sz w:val="30"/>
                <w:szCs w:val="30"/>
              </w:rPr>
              <w:t>（二）会计基础工作还需要不断完善，报表数据与实际情况存在小误差。</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635"/>
              <w:rPr>
                <w:rFonts w:ascii="仿宋" w:hAnsi="仿宋" w:eastAsia="仿宋"/>
                <w:sz w:val="30"/>
                <w:szCs w:val="30"/>
              </w:rPr>
            </w:pPr>
            <w:r>
              <w:rPr>
                <w:rFonts w:hint="eastAsia" w:ascii="仿宋" w:hAnsi="仿宋" w:eastAsia="仿宋"/>
                <w:sz w:val="30"/>
                <w:szCs w:val="30"/>
              </w:rPr>
              <w:t>（一）进一步完善财务制度，规范财经纪律，加强财务管理，提高财务工作水平。</w:t>
            </w:r>
          </w:p>
          <w:p>
            <w:pPr>
              <w:spacing w:line="560" w:lineRule="exact"/>
              <w:ind w:firstLine="600" w:firstLineChars="200"/>
              <w:rPr>
                <w:rFonts w:eastAsia="楷体_GB2312"/>
                <w:bCs/>
                <w:sz w:val="28"/>
                <w:szCs w:val="28"/>
              </w:rPr>
            </w:pPr>
            <w:r>
              <w:rPr>
                <w:rFonts w:hint="eastAsia" w:ascii="仿宋" w:hAnsi="仿宋" w:eastAsia="仿宋"/>
                <w:sz w:val="30"/>
                <w:szCs w:val="30"/>
              </w:rPr>
              <w:t>（二）充实财务人员，加强财务人员培训，不断提高财务人员素质。</w:t>
            </w:r>
          </w:p>
        </w:tc>
      </w:tr>
    </w:tbl>
    <w:p>
      <w:pPr>
        <w:spacing w:line="348" w:lineRule="auto"/>
        <w:rPr>
          <w:rFonts w:eastAsia="仿宋_GB2312"/>
          <w:sz w:val="32"/>
        </w:rPr>
      </w:pPr>
      <w:r>
        <w:rPr>
          <w:rFonts w:eastAsia="仿宋_GB2312"/>
          <w:sz w:val="32"/>
        </w:rPr>
        <w:t xml:space="preserve"> </w:t>
      </w:r>
    </w:p>
    <w:p>
      <w:pPr>
        <w:adjustRightInd w:val="0"/>
        <w:snapToGrid w:val="0"/>
        <w:spacing w:line="200" w:lineRule="exact"/>
        <w:jc w:val="left"/>
        <w:rPr>
          <w:rFonts w:eastAsia="仿宋_GB2312"/>
          <w:sz w:val="32"/>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0MWNlOTUzOTJhMzM5ZmY3M2Q1YWQ0NjdkYjdmZTkifQ=="/>
  </w:docVars>
  <w:rsids>
    <w:rsidRoot w:val="00C854FD"/>
    <w:rsid w:val="0000241F"/>
    <w:rsid w:val="000056A6"/>
    <w:rsid w:val="00005A3B"/>
    <w:rsid w:val="0000610C"/>
    <w:rsid w:val="00014921"/>
    <w:rsid w:val="00043FDA"/>
    <w:rsid w:val="0005701C"/>
    <w:rsid w:val="00073AAF"/>
    <w:rsid w:val="00090417"/>
    <w:rsid w:val="00093B20"/>
    <w:rsid w:val="000A0E5C"/>
    <w:rsid w:val="000B4BEB"/>
    <w:rsid w:val="000B7DCB"/>
    <w:rsid w:val="000C3A57"/>
    <w:rsid w:val="000E435A"/>
    <w:rsid w:val="00100175"/>
    <w:rsid w:val="00107CC6"/>
    <w:rsid w:val="00122C2E"/>
    <w:rsid w:val="00141887"/>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D2F0A"/>
    <w:rsid w:val="001E26FB"/>
    <w:rsid w:val="001F2104"/>
    <w:rsid w:val="002318F0"/>
    <w:rsid w:val="00235B3A"/>
    <w:rsid w:val="002363D6"/>
    <w:rsid w:val="00240F9A"/>
    <w:rsid w:val="00242262"/>
    <w:rsid w:val="00253B1F"/>
    <w:rsid w:val="00254CF8"/>
    <w:rsid w:val="00255404"/>
    <w:rsid w:val="00257206"/>
    <w:rsid w:val="002726E5"/>
    <w:rsid w:val="00292AC1"/>
    <w:rsid w:val="0029605B"/>
    <w:rsid w:val="002969D6"/>
    <w:rsid w:val="002A5261"/>
    <w:rsid w:val="002B26F1"/>
    <w:rsid w:val="002B569D"/>
    <w:rsid w:val="002B7EF4"/>
    <w:rsid w:val="002C4D24"/>
    <w:rsid w:val="002D5840"/>
    <w:rsid w:val="00315B76"/>
    <w:rsid w:val="00315C29"/>
    <w:rsid w:val="00321D2B"/>
    <w:rsid w:val="0033659F"/>
    <w:rsid w:val="00351AD3"/>
    <w:rsid w:val="00354479"/>
    <w:rsid w:val="00356458"/>
    <w:rsid w:val="003634C3"/>
    <w:rsid w:val="0039290C"/>
    <w:rsid w:val="00392F62"/>
    <w:rsid w:val="00394BC2"/>
    <w:rsid w:val="003A2363"/>
    <w:rsid w:val="003A2FC5"/>
    <w:rsid w:val="003A7A12"/>
    <w:rsid w:val="003B7876"/>
    <w:rsid w:val="003C3E3D"/>
    <w:rsid w:val="003E4F5E"/>
    <w:rsid w:val="003F5CEF"/>
    <w:rsid w:val="004036B5"/>
    <w:rsid w:val="004167AB"/>
    <w:rsid w:val="004222D1"/>
    <w:rsid w:val="00422E14"/>
    <w:rsid w:val="00430153"/>
    <w:rsid w:val="00432C79"/>
    <w:rsid w:val="004503BD"/>
    <w:rsid w:val="0045213A"/>
    <w:rsid w:val="00461395"/>
    <w:rsid w:val="00477933"/>
    <w:rsid w:val="004A44EA"/>
    <w:rsid w:val="004A51DC"/>
    <w:rsid w:val="004A671C"/>
    <w:rsid w:val="004C73DE"/>
    <w:rsid w:val="004E0A8E"/>
    <w:rsid w:val="004E3BE9"/>
    <w:rsid w:val="004E55B3"/>
    <w:rsid w:val="00500C0C"/>
    <w:rsid w:val="005018C8"/>
    <w:rsid w:val="00501BC8"/>
    <w:rsid w:val="005072C9"/>
    <w:rsid w:val="00513037"/>
    <w:rsid w:val="005210E6"/>
    <w:rsid w:val="00530E15"/>
    <w:rsid w:val="005314BA"/>
    <w:rsid w:val="005422E5"/>
    <w:rsid w:val="0054679D"/>
    <w:rsid w:val="005477E5"/>
    <w:rsid w:val="0055487E"/>
    <w:rsid w:val="00566F17"/>
    <w:rsid w:val="005865B1"/>
    <w:rsid w:val="005A3532"/>
    <w:rsid w:val="005B4076"/>
    <w:rsid w:val="005C50B2"/>
    <w:rsid w:val="005C68D7"/>
    <w:rsid w:val="005D60A9"/>
    <w:rsid w:val="005F6DB6"/>
    <w:rsid w:val="00607401"/>
    <w:rsid w:val="00617DC3"/>
    <w:rsid w:val="006320B1"/>
    <w:rsid w:val="0064544F"/>
    <w:rsid w:val="006616B8"/>
    <w:rsid w:val="0066262B"/>
    <w:rsid w:val="00664E76"/>
    <w:rsid w:val="006841C9"/>
    <w:rsid w:val="00684E4B"/>
    <w:rsid w:val="00686A25"/>
    <w:rsid w:val="00696545"/>
    <w:rsid w:val="006A5D82"/>
    <w:rsid w:val="006B07EB"/>
    <w:rsid w:val="006B6330"/>
    <w:rsid w:val="006D65AD"/>
    <w:rsid w:val="006E7307"/>
    <w:rsid w:val="006F5735"/>
    <w:rsid w:val="006F5FD4"/>
    <w:rsid w:val="007225D2"/>
    <w:rsid w:val="00735258"/>
    <w:rsid w:val="00742DAE"/>
    <w:rsid w:val="00755EA1"/>
    <w:rsid w:val="00764B34"/>
    <w:rsid w:val="00774D83"/>
    <w:rsid w:val="007829F0"/>
    <w:rsid w:val="007865A2"/>
    <w:rsid w:val="007A4832"/>
    <w:rsid w:val="007C77EE"/>
    <w:rsid w:val="007D5B9F"/>
    <w:rsid w:val="007E1392"/>
    <w:rsid w:val="007E6513"/>
    <w:rsid w:val="007E72DE"/>
    <w:rsid w:val="007F487F"/>
    <w:rsid w:val="00815FBF"/>
    <w:rsid w:val="00841CD0"/>
    <w:rsid w:val="00847D60"/>
    <w:rsid w:val="00860AFD"/>
    <w:rsid w:val="008A2E6B"/>
    <w:rsid w:val="008A7515"/>
    <w:rsid w:val="008C039F"/>
    <w:rsid w:val="008E1F76"/>
    <w:rsid w:val="008E57E1"/>
    <w:rsid w:val="009006A1"/>
    <w:rsid w:val="00946AD1"/>
    <w:rsid w:val="00956508"/>
    <w:rsid w:val="00957A4F"/>
    <w:rsid w:val="00962EF0"/>
    <w:rsid w:val="0097320B"/>
    <w:rsid w:val="00977F7F"/>
    <w:rsid w:val="009815AA"/>
    <w:rsid w:val="00982CDC"/>
    <w:rsid w:val="009863CE"/>
    <w:rsid w:val="00995ED0"/>
    <w:rsid w:val="00996441"/>
    <w:rsid w:val="00997574"/>
    <w:rsid w:val="009A298D"/>
    <w:rsid w:val="009B217B"/>
    <w:rsid w:val="009B50F2"/>
    <w:rsid w:val="009B6E42"/>
    <w:rsid w:val="009C2ED1"/>
    <w:rsid w:val="009D2E85"/>
    <w:rsid w:val="009D5C2C"/>
    <w:rsid w:val="009D72EA"/>
    <w:rsid w:val="009E5A8A"/>
    <w:rsid w:val="009E789D"/>
    <w:rsid w:val="009F3479"/>
    <w:rsid w:val="00A13259"/>
    <w:rsid w:val="00A16D05"/>
    <w:rsid w:val="00A30E83"/>
    <w:rsid w:val="00A44FC0"/>
    <w:rsid w:val="00A4501D"/>
    <w:rsid w:val="00A51AA2"/>
    <w:rsid w:val="00A54BCA"/>
    <w:rsid w:val="00A61F32"/>
    <w:rsid w:val="00A61FD7"/>
    <w:rsid w:val="00A65B6A"/>
    <w:rsid w:val="00A76673"/>
    <w:rsid w:val="00A87BCE"/>
    <w:rsid w:val="00A94900"/>
    <w:rsid w:val="00AA3FFE"/>
    <w:rsid w:val="00AA565C"/>
    <w:rsid w:val="00AA68AE"/>
    <w:rsid w:val="00AB7085"/>
    <w:rsid w:val="00AD4448"/>
    <w:rsid w:val="00AD682C"/>
    <w:rsid w:val="00AE1B6C"/>
    <w:rsid w:val="00AF11BE"/>
    <w:rsid w:val="00AF38EC"/>
    <w:rsid w:val="00B0185B"/>
    <w:rsid w:val="00B105FD"/>
    <w:rsid w:val="00B161A4"/>
    <w:rsid w:val="00B41813"/>
    <w:rsid w:val="00B427C3"/>
    <w:rsid w:val="00B43845"/>
    <w:rsid w:val="00B51AED"/>
    <w:rsid w:val="00B82424"/>
    <w:rsid w:val="00B9518E"/>
    <w:rsid w:val="00BA392F"/>
    <w:rsid w:val="00BB1C78"/>
    <w:rsid w:val="00BB378C"/>
    <w:rsid w:val="00BB3C71"/>
    <w:rsid w:val="00BB57B9"/>
    <w:rsid w:val="00BB6CF4"/>
    <w:rsid w:val="00BD02C0"/>
    <w:rsid w:val="00BD1DDD"/>
    <w:rsid w:val="00C11953"/>
    <w:rsid w:val="00C12B4A"/>
    <w:rsid w:val="00C2436E"/>
    <w:rsid w:val="00C32332"/>
    <w:rsid w:val="00C33347"/>
    <w:rsid w:val="00C37D62"/>
    <w:rsid w:val="00C51D4E"/>
    <w:rsid w:val="00C611C0"/>
    <w:rsid w:val="00C66F4A"/>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CF3829"/>
    <w:rsid w:val="00D22353"/>
    <w:rsid w:val="00D255AA"/>
    <w:rsid w:val="00D31D76"/>
    <w:rsid w:val="00D40C12"/>
    <w:rsid w:val="00D523D6"/>
    <w:rsid w:val="00D54888"/>
    <w:rsid w:val="00D54CCA"/>
    <w:rsid w:val="00D66DDF"/>
    <w:rsid w:val="00D77EE9"/>
    <w:rsid w:val="00D81B1D"/>
    <w:rsid w:val="00DA0456"/>
    <w:rsid w:val="00DB5442"/>
    <w:rsid w:val="00DC10F5"/>
    <w:rsid w:val="00DD1EB3"/>
    <w:rsid w:val="00DE7A82"/>
    <w:rsid w:val="00DF1C77"/>
    <w:rsid w:val="00E142CB"/>
    <w:rsid w:val="00E35E48"/>
    <w:rsid w:val="00E40ED6"/>
    <w:rsid w:val="00E4198B"/>
    <w:rsid w:val="00E5776A"/>
    <w:rsid w:val="00E63914"/>
    <w:rsid w:val="00E75544"/>
    <w:rsid w:val="00E95B71"/>
    <w:rsid w:val="00EB35F4"/>
    <w:rsid w:val="00EC40AF"/>
    <w:rsid w:val="00EC6F27"/>
    <w:rsid w:val="00ED7ACA"/>
    <w:rsid w:val="00EE315F"/>
    <w:rsid w:val="00EE67E1"/>
    <w:rsid w:val="00F14ED5"/>
    <w:rsid w:val="00F435F8"/>
    <w:rsid w:val="00F5716D"/>
    <w:rsid w:val="00F60EC8"/>
    <w:rsid w:val="00F61205"/>
    <w:rsid w:val="00F766DE"/>
    <w:rsid w:val="00F81CBB"/>
    <w:rsid w:val="00F87DCC"/>
    <w:rsid w:val="00F947E3"/>
    <w:rsid w:val="00FA6EE7"/>
    <w:rsid w:val="00FB16AF"/>
    <w:rsid w:val="00FB2BA1"/>
    <w:rsid w:val="00FD21C0"/>
    <w:rsid w:val="00FD708D"/>
    <w:rsid w:val="00FF3258"/>
    <w:rsid w:val="00FF605E"/>
    <w:rsid w:val="00FF6728"/>
    <w:rsid w:val="15E9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0"/>
    <w:pPr>
      <w:ind w:left="100" w:leftChars="2500"/>
    </w:pPr>
  </w:style>
  <w:style w:type="paragraph" w:styleId="3">
    <w:name w:val="Body Text Indent 2"/>
    <w:basedOn w:val="1"/>
    <w:link w:val="13"/>
    <w:semiHidden/>
    <w:unhideWhenUsed/>
    <w:qFormat/>
    <w:uiPriority w:val="0"/>
    <w:pPr>
      <w:ind w:firstLine="588" w:firstLineChars="200"/>
    </w:pPr>
    <w:rPr>
      <w:rFonts w:ascii="仿宋_GB2312" w:hAnsi="Calibri" w:eastAsia="仿宋_GB2312"/>
      <w:sz w:val="32"/>
    </w:rPr>
  </w:style>
  <w:style w:type="paragraph" w:styleId="4">
    <w:name w:val="footer"/>
    <w:basedOn w:val="1"/>
    <w:link w:val="1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semiHidden/>
    <w:unhideWhenUsed/>
    <w:uiPriority w:val="0"/>
    <w:rPr>
      <w:color w:val="0000FF"/>
      <w:u w:val="single"/>
    </w:rPr>
  </w:style>
  <w:style w:type="character" w:customStyle="1" w:styleId="10">
    <w:name w:val="页眉 Char"/>
    <w:basedOn w:val="7"/>
    <w:link w:val="5"/>
    <w:semiHidden/>
    <w:qFormat/>
    <w:uiPriority w:val="0"/>
    <w:rPr>
      <w:rFonts w:ascii="Times New Roman" w:hAnsi="Times New Roman" w:eastAsia="宋体" w:cs="Times New Roman"/>
      <w:sz w:val="18"/>
      <w:szCs w:val="18"/>
    </w:rPr>
  </w:style>
  <w:style w:type="character" w:customStyle="1" w:styleId="11">
    <w:name w:val="页脚 Char"/>
    <w:basedOn w:val="7"/>
    <w:link w:val="4"/>
    <w:semiHidden/>
    <w:qFormat/>
    <w:uiPriority w:val="0"/>
    <w:rPr>
      <w:rFonts w:ascii="Times New Roman" w:hAnsi="Times New Roman" w:eastAsia="宋体" w:cs="Times New Roman"/>
      <w:sz w:val="18"/>
      <w:szCs w:val="18"/>
    </w:rPr>
  </w:style>
  <w:style w:type="character" w:customStyle="1" w:styleId="12">
    <w:name w:val="日期 Char"/>
    <w:basedOn w:val="7"/>
    <w:link w:val="2"/>
    <w:semiHidden/>
    <w:qFormat/>
    <w:uiPriority w:val="0"/>
    <w:rPr>
      <w:rFonts w:ascii="Times New Roman" w:hAnsi="Times New Roman" w:eastAsia="宋体" w:cs="Times New Roman"/>
      <w:szCs w:val="24"/>
    </w:rPr>
  </w:style>
  <w:style w:type="character" w:customStyle="1" w:styleId="13">
    <w:name w:val="正文文本缩进 2 Char"/>
    <w:basedOn w:val="7"/>
    <w:link w:val="3"/>
    <w:semiHidden/>
    <w:qFormat/>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页脚 Char1"/>
    <w:basedOn w:val="7"/>
    <w:link w:val="4"/>
    <w:semiHidden/>
    <w:locked/>
    <w:uiPriority w:val="0"/>
    <w:rPr>
      <w:rFonts w:ascii="Times New Roman" w:hAnsi="Times New Roman" w:eastAsia="宋体" w:cs="Times New Roman"/>
      <w:kern w:val="0"/>
      <w:sz w:val="18"/>
      <w:szCs w:val="18"/>
    </w:rPr>
  </w:style>
  <w:style w:type="character" w:customStyle="1" w:styleId="18">
    <w:name w:val="标题 3 Char Char"/>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4108</Words>
  <Characters>4609</Characters>
  <Lines>38</Lines>
  <Paragraphs>10</Paragraphs>
  <TotalTime>1218</TotalTime>
  <ScaleCrop>false</ScaleCrop>
  <LinksUpToDate>false</LinksUpToDate>
  <CharactersWithSpaces>4976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2021-07-06T08:23:00Z</dcterms:created>
  <dc:creator>许节来 10.105.116.156</dc:creator>
  <cp:lastModifiedBy>Administrator</cp:lastModifiedBy>
  <cp:lastPrinted>2021-07-22T01:37:00Z</cp:lastPrinted>
  <dcterms:modified xsi:type="dcterms:W3CDTF">2022-08-26T09:09:29Z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7A5F58879D934E51A5F192E9EDAFD767</vt:lpwstr>
  </property>
</Properties>
</file>