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岳阳县文化旅游广电局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020</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hint="eastAsia" w:eastAsia="仿宋_GB2312"/>
          <w:sz w:val="32"/>
          <w:lang w:val="en-US" w:eastAsia="zh-CN"/>
        </w:rPr>
        <w:t>30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59"/>
        <w:gridCol w:w="1080"/>
        <w:gridCol w:w="210"/>
        <w:gridCol w:w="1145"/>
        <w:gridCol w:w="279"/>
        <w:gridCol w:w="801"/>
        <w:gridCol w:w="1705"/>
        <w:gridCol w:w="455"/>
        <w:gridCol w:w="135"/>
        <w:gridCol w:w="504"/>
        <w:gridCol w:w="44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李闪</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13974080012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负责全县群众文化、旅游活动，广播、电影放映及文物收集管理、市场管理、执法，美术、公共图书管理工作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任务1：开展文化惠民打造文化活动品牌；</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任务2：组织全县旅游形象的对外宣传和品牌打造</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任务3：加强文化市场管理，净化文化市场；</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任务4：加强非物质遗产保护传承和保护；</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建设施、优惠民，文旅事业发展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：深化图书馆、文化馆总分馆制建设，积极拓展“</w:t>
            </w:r>
            <w:r>
              <w:rPr>
                <w:rFonts w:hint="eastAsia" w:ascii="仿宋_GB2312" w:hAnsi="仿宋_GB2312" w:eastAsia="仿宋_GB2312" w:cs="仿宋_GB2312"/>
                <w:color w:val="000000"/>
                <w:sz w:val="24"/>
                <w:lang w:eastAsia="zh-CN"/>
              </w:rPr>
              <w:t>四馆</w:t>
            </w:r>
            <w:r>
              <w:rPr>
                <w:rFonts w:hint="eastAsia" w:ascii="仿宋_GB2312" w:hAnsi="仿宋_GB2312" w:eastAsia="仿宋_GB2312" w:cs="仿宋_GB2312"/>
                <w:color w:val="000000"/>
                <w:sz w:val="24"/>
              </w:rPr>
              <w:t>”平台服务功能</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取得成绩:1.全域旅游成功创建。2.项目建设来势迅猛3.艺术创作硕果累累4.公共服务大幅提升5.惠民活动蓬勃开展6.遗产保护亮点纷呈7.市场监管全面加强</w:t>
            </w:r>
          </w:p>
          <w:p>
            <w:pPr>
              <w:rPr>
                <w:rFonts w:hint="default" w:ascii="仿宋" w:hAnsi="仿宋" w:eastAsia="仿宋" w:cs="仿宋"/>
                <w:color w:val="000000"/>
                <w:sz w:val="32"/>
                <w:szCs w:val="32"/>
                <w:lang w:val="en-US" w:eastAsia="zh-CN"/>
              </w:rPr>
            </w:pPr>
            <w:r>
              <w:rPr>
                <w:rFonts w:hint="eastAsia" w:ascii="仿宋_GB2312" w:hAnsi="仿宋_GB2312" w:eastAsia="仿宋_GB2312" w:cs="仿宋_GB2312"/>
                <w:color w:val="000000"/>
                <w:sz w:val="24"/>
                <w:lang w:val="en-US" w:eastAsia="zh-CN"/>
              </w:rPr>
              <w:t>年度运行情况:2020年总支出750万元,主要用于行政运行425万元,文化活动1万元,群众文化20万元,文化创作与保护3万元,旅旅宣传32万元,文化和旅游管理事务20万元,其他文化和旅游支出153万元,抚恤8万元,其他支出88万元.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918</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bookmarkStart w:id="0" w:name="_GoBack" w:colFirst="1" w:colLast="7"/>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1079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918</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目标1：促进城乡文化繁荣发展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：三馆全面实施全免费开放，非物文化遗产得到保护</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：完善了公共文化示范区创建</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：组织全县旅游形象的对外宣传和品牌打造</w:t>
            </w:r>
            <w:r>
              <w:rPr>
                <w:rFonts w:hint="eastAsia" w:ascii="仿宋_GB2312" w:hAnsi="仿宋_GB2312" w:eastAsia="仿宋_GB2312" w:cs="仿宋_GB2312"/>
                <w:color w:val="000000"/>
                <w:sz w:val="24"/>
                <w:lang w:val="en-US" w:eastAsia="zh-CN"/>
              </w:rPr>
              <w:t>,全域旅游成功创建</w:t>
            </w:r>
          </w:p>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eastAsia="仿宋_GB2312"/>
                <w:color w:val="000000"/>
                <w:sz w:val="24"/>
                <w:lang w:val="en-US" w:eastAsia="zh-CN"/>
              </w:rPr>
              <w:t>1.活</w:t>
            </w:r>
            <w:r>
              <w:rPr>
                <w:rFonts w:hint="eastAsia" w:ascii="仿宋_GB2312" w:eastAsia="仿宋_GB2312"/>
                <w:color w:val="000000"/>
                <w:sz w:val="24"/>
              </w:rPr>
              <w:t>跃了城乡文化生活</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r>
              <w:rPr>
                <w:rFonts w:hint="eastAsia" w:ascii="仿宋_GB2312" w:eastAsia="仿宋_GB2312"/>
                <w:color w:val="000000"/>
                <w:sz w:val="24"/>
                <w:lang w:val="en-US" w:eastAsia="zh-CN"/>
              </w:rPr>
              <w:t>为加强旅游基础设施建设，促进旅游景区提质升级，加强旅游景点宣传营销，提升岳阳县景区知名度</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解决了剩余劳动力的就业，增加了农民收入，全面带动了岳阳县都市农业休闲产业的蓬勃发展</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旅游景区倡导绿色环保,生态效益指标</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社会公众或服务对象</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邹三龙</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局长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旅</w:t>
            </w:r>
            <w:r>
              <w:rPr>
                <w:rFonts w:hint="eastAsia" w:ascii="仿宋_GB2312" w:hAnsi="仿宋_GB2312" w:eastAsia="仿宋_GB2312" w:cs="仿宋_GB2312"/>
                <w:color w:val="000000"/>
                <w:sz w:val="24"/>
              </w:rPr>
              <w:t>广</w:t>
            </w:r>
            <w:r>
              <w:rPr>
                <w:rFonts w:hint="eastAsia" w:ascii="仿宋_GB2312" w:hAnsi="仿宋_GB2312" w:eastAsia="仿宋_GB2312" w:cs="仿宋_GB2312"/>
                <w:color w:val="000000"/>
                <w:sz w:val="24"/>
                <w:lang w:val="en-US" w:eastAsia="zh-CN"/>
              </w:rPr>
              <w:t>电</w:t>
            </w:r>
            <w:r>
              <w:rPr>
                <w:rFonts w:hint="eastAsia" w:ascii="仿宋_GB2312" w:hAnsi="仿宋_GB2312" w:eastAsia="仿宋_GB2312" w:cs="仿宋_GB2312"/>
                <w:color w:val="000000"/>
                <w:sz w:val="24"/>
              </w:rPr>
              <w:t>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袁   </w:t>
            </w:r>
            <w:r>
              <w:rPr>
                <w:rFonts w:hint="eastAsia" w:ascii="仿宋_GB2312" w:hAnsi="仿宋_GB2312" w:eastAsia="仿宋_GB2312" w:cs="仿宋_GB2312"/>
                <w:color w:val="000000"/>
                <w:sz w:val="24"/>
              </w:rPr>
              <w:t>正</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旅</w:t>
            </w:r>
            <w:r>
              <w:rPr>
                <w:rFonts w:hint="eastAsia" w:ascii="仿宋_GB2312" w:hAnsi="仿宋_GB2312" w:eastAsia="仿宋_GB2312" w:cs="仿宋_GB2312"/>
                <w:color w:val="000000"/>
                <w:sz w:val="24"/>
              </w:rPr>
              <w:t>广</w:t>
            </w:r>
            <w:r>
              <w:rPr>
                <w:rFonts w:hint="eastAsia" w:ascii="仿宋_GB2312" w:hAnsi="仿宋_GB2312" w:eastAsia="仿宋_GB2312" w:cs="仿宋_GB2312"/>
                <w:color w:val="000000"/>
                <w:sz w:val="24"/>
                <w:lang w:val="en-US" w:eastAsia="zh-CN"/>
              </w:rPr>
              <w:t>电</w:t>
            </w:r>
            <w:r>
              <w:rPr>
                <w:rFonts w:hint="eastAsia" w:ascii="仿宋_GB2312" w:hAnsi="仿宋_GB2312" w:eastAsia="仿宋_GB2312" w:cs="仿宋_GB2312"/>
                <w:color w:val="000000"/>
                <w:sz w:val="24"/>
              </w:rPr>
              <w:t>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    周九红</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财务股长</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旅</w:t>
            </w:r>
            <w:r>
              <w:rPr>
                <w:rFonts w:hint="eastAsia" w:ascii="仿宋_GB2312" w:hAnsi="仿宋_GB2312" w:eastAsia="仿宋_GB2312" w:cs="仿宋_GB2312"/>
                <w:color w:val="000000"/>
                <w:sz w:val="24"/>
              </w:rPr>
              <w:t>广</w:t>
            </w:r>
            <w:r>
              <w:rPr>
                <w:rFonts w:hint="eastAsia" w:ascii="仿宋_GB2312" w:hAnsi="仿宋_GB2312" w:eastAsia="仿宋_GB2312" w:cs="仿宋_GB2312"/>
                <w:color w:val="000000"/>
                <w:sz w:val="24"/>
                <w:lang w:val="en-US" w:eastAsia="zh-CN"/>
              </w:rPr>
              <w:t>电</w:t>
            </w:r>
            <w:r>
              <w:rPr>
                <w:rFonts w:hint="eastAsia" w:ascii="仿宋_GB2312" w:hAnsi="仿宋_GB2312" w:eastAsia="仿宋_GB2312" w:cs="仿宋_GB2312"/>
                <w:color w:val="000000"/>
                <w:sz w:val="24"/>
              </w:rPr>
              <w:t>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闪</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出纳</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岳阳县文</w:t>
            </w:r>
            <w:r>
              <w:rPr>
                <w:rFonts w:hint="eastAsia" w:ascii="仿宋_GB2312" w:hAnsi="仿宋_GB2312" w:eastAsia="仿宋_GB2312" w:cs="仿宋_GB2312"/>
                <w:color w:val="000000"/>
                <w:sz w:val="24"/>
                <w:lang w:val="en-US" w:eastAsia="zh-CN"/>
              </w:rPr>
              <w:t>旅</w:t>
            </w:r>
            <w:r>
              <w:rPr>
                <w:rFonts w:hint="eastAsia" w:ascii="仿宋_GB2312" w:hAnsi="仿宋_GB2312" w:eastAsia="仿宋_GB2312" w:cs="仿宋_GB2312"/>
                <w:color w:val="000000"/>
                <w:sz w:val="24"/>
              </w:rPr>
              <w:t>广</w:t>
            </w:r>
            <w:r>
              <w:rPr>
                <w:rFonts w:hint="eastAsia" w:ascii="仿宋_GB2312" w:hAnsi="仿宋_GB2312" w:eastAsia="仿宋_GB2312" w:cs="仿宋_GB2312"/>
                <w:color w:val="000000"/>
                <w:sz w:val="24"/>
                <w:lang w:val="en-US" w:eastAsia="zh-CN"/>
              </w:rPr>
              <w:t>电</w:t>
            </w:r>
            <w:r>
              <w:rPr>
                <w:rFonts w:hint="eastAsia" w:ascii="仿宋_GB2312" w:hAnsi="仿宋_GB2312" w:eastAsia="仿宋_GB2312" w:cs="仿宋_GB2312"/>
                <w:color w:val="000000"/>
                <w:sz w:val="24"/>
              </w:rPr>
              <w:t>局</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岳阳县文</w:t>
            </w:r>
            <w:r>
              <w:rPr>
                <w:rFonts w:hint="eastAsia" w:ascii="宋体" w:hAnsi="宋体" w:cs="宋体"/>
                <w:b/>
                <w:bCs/>
                <w:sz w:val="44"/>
                <w:szCs w:val="44"/>
                <w:lang w:val="en-US" w:eastAsia="zh-CN"/>
              </w:rPr>
              <w:t>旅广电</w:t>
            </w:r>
            <w:r>
              <w:rPr>
                <w:rFonts w:hint="eastAsia" w:ascii="宋体" w:hAnsi="宋体" w:cs="宋体"/>
                <w:b/>
                <w:bCs/>
                <w:sz w:val="44"/>
                <w:szCs w:val="44"/>
              </w:rPr>
              <w:t>局</w:t>
            </w:r>
            <w:r>
              <w:rPr>
                <w:rFonts w:hint="eastAsia" w:ascii="宋体" w:hAnsi="宋体" w:cs="宋体"/>
                <w:b/>
                <w:bCs/>
                <w:sz w:val="44"/>
                <w:szCs w:val="44"/>
                <w:lang w:val="en-US" w:eastAsia="zh-CN"/>
              </w:rPr>
              <w:t>2020</w:t>
            </w:r>
            <w:r>
              <w:rPr>
                <w:rFonts w:hint="eastAsia" w:ascii="宋体" w:hAnsi="宋体" w:cs="宋体"/>
                <w:b/>
                <w:bCs/>
                <w:sz w:val="44"/>
                <w:szCs w:val="44"/>
              </w:rPr>
              <w:t>年部门整体财政支出绩效自评报告</w:t>
            </w:r>
          </w:p>
          <w:p>
            <w:pPr>
              <w:jc w:val="center"/>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hint="eastAsia" w:ascii="楷体" w:hAnsi="楷体" w:eastAsia="楷体" w:cs="楷体"/>
                <w:sz w:val="32"/>
                <w:szCs w:val="32"/>
                <w:lang w:val="en-US" w:eastAsia="zh-CN"/>
              </w:rPr>
              <w:t>30</w:t>
            </w:r>
            <w:r>
              <w:rPr>
                <w:rFonts w:hint="eastAsia" w:ascii="楷体" w:hAnsi="楷体" w:eastAsia="楷体" w:cs="楷体"/>
                <w:sz w:val="32"/>
                <w:szCs w:val="32"/>
              </w:rPr>
              <w:t>日）</w:t>
            </w:r>
          </w:p>
          <w:p>
            <w:pPr>
              <w:ind w:firstLine="640"/>
              <w:rPr>
                <w:rFonts w:hint="eastAsia" w:ascii="仿宋" w:hAnsi="仿宋" w:eastAsia="仿宋" w:cs="仿宋"/>
                <w:sz w:val="32"/>
                <w:szCs w:val="32"/>
              </w:rPr>
            </w:pPr>
            <w:r>
              <w:rPr>
                <w:rFonts w:hint="eastAsia" w:ascii="仿宋" w:hAnsi="仿宋" w:eastAsia="仿宋" w:cs="仿宋"/>
                <w:sz w:val="32"/>
                <w:szCs w:val="32"/>
              </w:rPr>
              <w:t>岳阳县文广新局根据《</w:t>
            </w:r>
            <w:r>
              <w:rPr>
                <w:rFonts w:hint="eastAsia" w:ascii="仿宋" w:hAnsi="仿宋" w:eastAsia="仿宋" w:cs="仿宋"/>
                <w:sz w:val="32"/>
                <w:szCs w:val="32"/>
                <w:lang w:val="en-US" w:eastAsia="zh-CN"/>
              </w:rPr>
              <w:t>预算法</w:t>
            </w:r>
            <w:r>
              <w:rPr>
                <w:rFonts w:hint="eastAsia" w:ascii="仿宋" w:hAnsi="仿宋" w:eastAsia="仿宋" w:cs="仿宋"/>
                <w:sz w:val="32"/>
                <w:szCs w:val="32"/>
              </w:rPr>
              <w:t>》《</w:t>
            </w:r>
            <w:r>
              <w:rPr>
                <w:rFonts w:hint="eastAsia" w:ascii="仿宋" w:hAnsi="仿宋" w:eastAsia="仿宋" w:cs="仿宋"/>
                <w:sz w:val="32"/>
                <w:szCs w:val="32"/>
                <w:lang w:val="en-US" w:eastAsia="zh-CN"/>
              </w:rPr>
              <w:t>中共中央国务院关于全面实施出预算绩效管理的意见</w:t>
            </w:r>
            <w:r>
              <w:rPr>
                <w:rFonts w:hint="eastAsia" w:ascii="仿宋" w:hAnsi="仿宋" w:eastAsia="仿宋" w:cs="仿宋"/>
                <w:sz w:val="32"/>
                <w:szCs w:val="32"/>
              </w:rPr>
              <w:t>》（</w:t>
            </w:r>
            <w:r>
              <w:rPr>
                <w:rFonts w:hint="eastAsia" w:ascii="仿宋" w:hAnsi="仿宋" w:eastAsia="仿宋" w:cs="仿宋"/>
                <w:sz w:val="32"/>
                <w:szCs w:val="32"/>
                <w:lang w:val="en-US" w:eastAsia="zh-CN"/>
              </w:rPr>
              <w:t>中发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]3</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sz w:val="32"/>
                <w:szCs w:val="32"/>
                <w:lang w:val="en-US" w:eastAsia="zh-CN"/>
              </w:rPr>
              <w:t>中共湖南省委办公厅湖南省人民政府办公厅关于全面施预算绩效管理的意见</w:t>
            </w:r>
            <w:r>
              <w:rPr>
                <w:rFonts w:hint="eastAsia" w:ascii="仿宋" w:hAnsi="仿宋" w:eastAsia="仿宋" w:cs="仿宋"/>
                <w:sz w:val="32"/>
                <w:szCs w:val="32"/>
              </w:rPr>
              <w:t>》（湘</w:t>
            </w:r>
            <w:r>
              <w:rPr>
                <w:rFonts w:hint="eastAsia" w:ascii="仿宋" w:hAnsi="仿宋" w:eastAsia="仿宋" w:cs="仿宋"/>
                <w:sz w:val="32"/>
                <w:szCs w:val="32"/>
                <w:lang w:val="en-US" w:eastAsia="zh-CN"/>
              </w:rPr>
              <w:t>办发</w:t>
            </w:r>
            <w:r>
              <w:rPr>
                <w:rFonts w:hint="eastAsia" w:ascii="仿宋" w:hAnsi="仿宋" w:eastAsia="仿宋" w:cs="仿宋"/>
                <w:sz w:val="32"/>
                <w:szCs w:val="32"/>
              </w:rPr>
              <w:t>函[201</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财政部关于印发&lt;财政支出绩效评价管理暂行办法&gt;的通知</w:t>
            </w:r>
            <w:r>
              <w:rPr>
                <w:rFonts w:hint="eastAsia" w:ascii="仿宋" w:hAnsi="仿宋" w:eastAsia="仿宋" w:cs="仿宋"/>
                <w:sz w:val="32"/>
                <w:szCs w:val="32"/>
              </w:rPr>
              <w:t>》（财</w:t>
            </w:r>
            <w:r>
              <w:rPr>
                <w:rFonts w:hint="eastAsia" w:ascii="仿宋" w:hAnsi="仿宋" w:eastAsia="仿宋" w:cs="仿宋"/>
                <w:sz w:val="32"/>
                <w:szCs w:val="32"/>
                <w:lang w:val="en-US" w:eastAsia="zh-CN"/>
              </w:rPr>
              <w:t>预</w:t>
            </w:r>
            <w:r>
              <w:rPr>
                <w:rFonts w:hint="eastAsia" w:ascii="仿宋" w:hAnsi="仿宋" w:eastAsia="仿宋" w:cs="仿宋"/>
                <w:sz w:val="32"/>
                <w:szCs w:val="32"/>
              </w:rPr>
              <w:t>[20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285</w:t>
            </w:r>
            <w:r>
              <w:rPr>
                <w:rFonts w:hint="eastAsia" w:ascii="仿宋" w:hAnsi="仿宋" w:eastAsia="仿宋" w:cs="仿宋"/>
                <w:sz w:val="32"/>
                <w:szCs w:val="32"/>
              </w:rPr>
              <w:t>号）文件要求，强化绩效理念，提高财政资金使用效益，现就开展20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年财政支出绩效自评有关情况报告如下：</w:t>
            </w:r>
          </w:p>
          <w:p>
            <w:pPr>
              <w:widowControl/>
              <w:numPr>
                <w:ilvl w:val="0"/>
                <w:numId w:val="0"/>
              </w:numPr>
              <w:spacing w:line="480" w:lineRule="auto"/>
              <w:ind w:firstLine="640" w:firstLineChars="200"/>
              <w:rPr>
                <w:rFonts w:hint="eastAsia" w:ascii="仿宋" w:hAnsi="仿宋" w:eastAsia="仿宋" w:cs="仿宋"/>
                <w:sz w:val="32"/>
                <w:szCs w:val="32"/>
              </w:rPr>
            </w:pPr>
            <w:r>
              <w:rPr>
                <w:rFonts w:hint="eastAsia" w:ascii="黑体" w:hAnsi="黑体" w:eastAsia="黑体" w:cs="黑体"/>
                <w:sz w:val="32"/>
                <w:szCs w:val="32"/>
              </w:rPr>
              <w:t>一、单位概况</w:t>
            </w:r>
          </w:p>
          <w:p>
            <w:pPr>
              <w:widowControl/>
              <w:numPr>
                <w:ilvl w:val="0"/>
                <w:numId w:val="0"/>
              </w:num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年岳阳县文广新局机关在</w:t>
            </w:r>
            <w:r>
              <w:rPr>
                <w:rFonts w:hint="eastAsia" w:ascii="仿宋" w:hAnsi="仿宋" w:eastAsia="仿宋" w:cs="仿宋"/>
                <w:sz w:val="32"/>
                <w:szCs w:val="32"/>
                <w:lang w:val="en-US" w:eastAsia="zh-CN"/>
              </w:rPr>
              <w:t>编</w:t>
            </w:r>
            <w:r>
              <w:rPr>
                <w:rFonts w:hint="eastAsia" w:ascii="仿宋" w:hAnsi="仿宋" w:eastAsia="仿宋" w:cs="仿宋"/>
                <w:sz w:val="32"/>
                <w:szCs w:val="32"/>
              </w:rPr>
              <w:t>干部</w:t>
            </w:r>
            <w:r>
              <w:rPr>
                <w:rFonts w:hint="eastAsia" w:ascii="仿宋" w:hAnsi="仿宋" w:eastAsia="仿宋" w:cs="仿宋"/>
                <w:sz w:val="32"/>
                <w:szCs w:val="32"/>
                <w:lang w:val="en-US" w:eastAsia="zh-CN"/>
              </w:rPr>
              <w:t>26</w:t>
            </w:r>
            <w:r>
              <w:rPr>
                <w:rFonts w:hint="eastAsia" w:ascii="仿宋" w:hAnsi="仿宋" w:eastAsia="仿宋" w:cs="仿宋"/>
                <w:sz w:val="32"/>
                <w:szCs w:val="32"/>
              </w:rPr>
              <w:t>人，退休</w:t>
            </w:r>
            <w:r>
              <w:rPr>
                <w:rFonts w:hint="eastAsia" w:ascii="仿宋" w:hAnsi="仿宋" w:eastAsia="仿宋" w:cs="仿宋"/>
                <w:sz w:val="32"/>
                <w:szCs w:val="32"/>
                <w:lang w:val="en-US" w:eastAsia="zh-CN"/>
              </w:rPr>
              <w:t>7</w:t>
            </w:r>
            <w:r>
              <w:rPr>
                <w:rFonts w:hint="eastAsia" w:ascii="仿宋" w:hAnsi="仿宋" w:eastAsia="仿宋" w:cs="仿宋"/>
                <w:sz w:val="32"/>
                <w:szCs w:val="32"/>
              </w:rPr>
              <w:t>人、临聘人员</w:t>
            </w:r>
            <w:r>
              <w:rPr>
                <w:rFonts w:hint="eastAsia" w:ascii="仿宋" w:hAnsi="仿宋" w:eastAsia="仿宋" w:cs="仿宋"/>
                <w:sz w:val="32"/>
                <w:szCs w:val="32"/>
                <w:lang w:val="en-US" w:eastAsia="zh-CN"/>
              </w:rPr>
              <w:t>3</w:t>
            </w:r>
            <w:r>
              <w:rPr>
                <w:rFonts w:hint="eastAsia" w:ascii="仿宋" w:hAnsi="仿宋" w:eastAsia="仿宋" w:cs="仿宋"/>
                <w:sz w:val="32"/>
                <w:szCs w:val="32"/>
              </w:rPr>
              <w:t>人，属全额拨款行政单位，内设10个股室,其中:办公室</w:t>
            </w:r>
            <w:r>
              <w:rPr>
                <w:rFonts w:hint="eastAsia" w:ascii="仿宋" w:hAnsi="仿宋" w:eastAsia="仿宋" w:cs="仿宋"/>
                <w:sz w:val="32"/>
                <w:szCs w:val="32"/>
                <w:lang w:eastAsia="zh-CN"/>
              </w:rPr>
              <w:t>、</w:t>
            </w:r>
            <w:r>
              <w:rPr>
                <w:rFonts w:hint="eastAsia" w:ascii="仿宋" w:hAnsi="仿宋" w:eastAsia="仿宋" w:cs="仿宋"/>
                <w:sz w:val="32"/>
                <w:szCs w:val="32"/>
              </w:rPr>
              <w:t>法规股</w:t>
            </w:r>
            <w:r>
              <w:rPr>
                <w:rFonts w:hint="eastAsia" w:ascii="仿宋" w:hAnsi="仿宋" w:eastAsia="仿宋" w:cs="仿宋"/>
                <w:sz w:val="32"/>
                <w:szCs w:val="32"/>
                <w:lang w:eastAsia="zh-CN"/>
              </w:rPr>
              <w:t>、</w:t>
            </w:r>
            <w:r>
              <w:rPr>
                <w:rFonts w:hint="eastAsia" w:ascii="仿宋" w:hAnsi="仿宋" w:eastAsia="仿宋" w:cs="仿宋"/>
                <w:sz w:val="32"/>
                <w:szCs w:val="32"/>
              </w:rPr>
              <w:t>公共服务股（艺术股）</w:t>
            </w:r>
            <w:r>
              <w:rPr>
                <w:rFonts w:hint="eastAsia" w:ascii="仿宋" w:hAnsi="仿宋" w:eastAsia="仿宋" w:cs="仿宋"/>
                <w:sz w:val="32"/>
                <w:szCs w:val="32"/>
                <w:lang w:eastAsia="zh-CN"/>
              </w:rPr>
              <w:t>、</w:t>
            </w:r>
            <w:r>
              <w:rPr>
                <w:rFonts w:hint="eastAsia" w:ascii="仿宋" w:hAnsi="仿宋" w:eastAsia="仿宋" w:cs="仿宋"/>
                <w:sz w:val="32"/>
                <w:szCs w:val="32"/>
              </w:rPr>
              <w:t>非物质文化遗产股</w:t>
            </w:r>
            <w:r>
              <w:rPr>
                <w:rFonts w:hint="eastAsia" w:ascii="仿宋" w:hAnsi="仿宋" w:eastAsia="仿宋" w:cs="仿宋"/>
                <w:sz w:val="32"/>
                <w:szCs w:val="32"/>
                <w:lang w:eastAsia="zh-CN"/>
              </w:rPr>
              <w:t>、</w:t>
            </w:r>
            <w:r>
              <w:rPr>
                <w:rFonts w:hint="eastAsia" w:ascii="仿宋" w:hAnsi="仿宋" w:eastAsia="仿宋" w:cs="仿宋"/>
                <w:sz w:val="32"/>
                <w:szCs w:val="32"/>
              </w:rPr>
              <w:t>产业发展股</w:t>
            </w:r>
            <w:r>
              <w:rPr>
                <w:rFonts w:hint="eastAsia" w:ascii="仿宋" w:hAnsi="仿宋" w:eastAsia="仿宋" w:cs="仿宋"/>
                <w:sz w:val="32"/>
                <w:szCs w:val="32"/>
                <w:lang w:eastAsia="zh-CN"/>
              </w:rPr>
              <w:t>、</w:t>
            </w:r>
            <w:r>
              <w:rPr>
                <w:rFonts w:hint="eastAsia" w:ascii="仿宋" w:hAnsi="仿宋" w:eastAsia="仿宋" w:cs="仿宋"/>
                <w:sz w:val="32"/>
                <w:szCs w:val="32"/>
              </w:rPr>
              <w:t>市场管理股（行政审批股）</w:t>
            </w:r>
            <w:r>
              <w:rPr>
                <w:rFonts w:hint="eastAsia" w:ascii="仿宋" w:hAnsi="仿宋" w:eastAsia="仿宋" w:cs="仿宋"/>
                <w:sz w:val="32"/>
                <w:szCs w:val="32"/>
                <w:lang w:eastAsia="zh-CN"/>
              </w:rPr>
              <w:t>、</w:t>
            </w:r>
            <w:r>
              <w:rPr>
                <w:rFonts w:hint="eastAsia" w:ascii="仿宋" w:hAnsi="仿宋" w:eastAsia="仿宋" w:cs="仿宋"/>
                <w:sz w:val="32"/>
                <w:szCs w:val="32"/>
              </w:rPr>
              <w:t>文物博物股</w:t>
            </w:r>
            <w:r>
              <w:rPr>
                <w:rFonts w:hint="eastAsia" w:ascii="仿宋" w:hAnsi="仿宋" w:eastAsia="仿宋" w:cs="仿宋"/>
                <w:sz w:val="32"/>
                <w:szCs w:val="32"/>
                <w:lang w:eastAsia="zh-CN"/>
              </w:rPr>
              <w:t>、</w:t>
            </w:r>
            <w:r>
              <w:rPr>
                <w:rFonts w:hint="eastAsia" w:ascii="仿宋" w:hAnsi="仿宋" w:eastAsia="仿宋" w:cs="仿宋"/>
                <w:sz w:val="32"/>
                <w:szCs w:val="32"/>
              </w:rPr>
              <w:t>传媒机构管理股</w:t>
            </w:r>
            <w:r>
              <w:rPr>
                <w:rFonts w:hint="eastAsia" w:ascii="仿宋" w:hAnsi="仿宋" w:eastAsia="仿宋" w:cs="仿宋"/>
                <w:sz w:val="32"/>
                <w:szCs w:val="32"/>
                <w:lang w:eastAsia="zh-CN"/>
              </w:rPr>
              <w:t>、</w:t>
            </w:r>
            <w:r>
              <w:rPr>
                <w:rFonts w:hint="eastAsia" w:ascii="仿宋" w:hAnsi="仿宋" w:eastAsia="仿宋" w:cs="仿宋"/>
                <w:sz w:val="32"/>
                <w:szCs w:val="32"/>
              </w:rPr>
              <w:t>人</w:t>
            </w:r>
            <w:r>
              <w:rPr>
                <w:rFonts w:hint="eastAsia" w:ascii="仿宋" w:hAnsi="仿宋" w:eastAsia="仿宋" w:cs="仿宋"/>
                <w:sz w:val="32"/>
                <w:szCs w:val="32"/>
                <w:lang w:val="en-US" w:eastAsia="zh-CN"/>
              </w:rPr>
              <w:t>事股、财务股。</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单位资金使用及管理情况</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年县文</w:t>
            </w:r>
            <w:r>
              <w:rPr>
                <w:rFonts w:hint="eastAsia" w:ascii="仿宋" w:hAnsi="仿宋" w:eastAsia="仿宋" w:cs="仿宋"/>
                <w:sz w:val="32"/>
                <w:szCs w:val="32"/>
                <w:lang w:val="en-US" w:eastAsia="zh-CN"/>
              </w:rPr>
              <w:t>旅</w:t>
            </w:r>
            <w:r>
              <w:rPr>
                <w:rFonts w:hint="eastAsia" w:ascii="仿宋" w:hAnsi="仿宋" w:eastAsia="仿宋" w:cs="仿宋"/>
                <w:sz w:val="32"/>
                <w:szCs w:val="32"/>
              </w:rPr>
              <w:t>广</w:t>
            </w:r>
            <w:r>
              <w:rPr>
                <w:rFonts w:hint="eastAsia" w:ascii="仿宋" w:hAnsi="仿宋" w:eastAsia="仿宋" w:cs="仿宋"/>
                <w:sz w:val="32"/>
                <w:szCs w:val="32"/>
                <w:lang w:val="en-US" w:eastAsia="zh-CN"/>
              </w:rPr>
              <w:t>电</w:t>
            </w:r>
            <w:r>
              <w:rPr>
                <w:rFonts w:hint="eastAsia" w:ascii="仿宋" w:hAnsi="仿宋" w:eastAsia="仿宋" w:cs="仿宋"/>
                <w:sz w:val="32"/>
                <w:szCs w:val="32"/>
              </w:rPr>
              <w:t>局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并对二级机构的财务进行监督管理，检查在资金使用上是否严格执行国家财经法规和我局制定的财务制度，以及有关专项资金管理办法的执行情况。同时对资金的收支入账、资金拨付有完整的审批程序和手续，做到转款专用、专人保管。大额的开支必须经集体党组同意并签字，保证资金使用的合法性。定期对财务出纳进行盘查，做到资金使用无截留、挤占、挪用、虚列开支等情况。所有列支先由经办人签字，再由办公室主任签字，再到财务股长签字最后由分管财务领导审批，如有大额开支党组、</w:t>
            </w:r>
            <w:r>
              <w:rPr>
                <w:rFonts w:hint="eastAsia" w:ascii="仿宋" w:hAnsi="仿宋" w:eastAsia="仿宋" w:cs="仿宋"/>
                <w:sz w:val="32"/>
                <w:szCs w:val="32"/>
                <w:lang w:val="en-US" w:eastAsia="zh-CN"/>
              </w:rPr>
              <w:t>分管机关领导</w:t>
            </w:r>
            <w:r>
              <w:rPr>
                <w:rFonts w:hint="eastAsia" w:ascii="仿宋" w:hAnsi="仿宋" w:eastAsia="仿宋" w:cs="仿宋"/>
                <w:sz w:val="32"/>
                <w:szCs w:val="32"/>
              </w:rPr>
              <w:t>必须</w:t>
            </w:r>
            <w:r>
              <w:rPr>
                <w:rFonts w:hint="eastAsia" w:ascii="仿宋" w:hAnsi="仿宋" w:eastAsia="仿宋" w:cs="仿宋"/>
                <w:color w:val="000000"/>
                <w:sz w:val="32"/>
                <w:szCs w:val="32"/>
              </w:rPr>
              <w:t>签字审批，然后到财务室结算，并做到不赤字运行、以收抵支，收支平衡。</w:t>
            </w:r>
            <w:r>
              <w:rPr>
                <w:rFonts w:hint="eastAsia" w:ascii="仿宋" w:hAnsi="仿宋" w:eastAsia="仿宋" w:cs="仿宋"/>
                <w:color w:val="000000"/>
                <w:sz w:val="32"/>
                <w:szCs w:val="32"/>
                <w:lang w:val="en-US" w:eastAsia="zh-CN"/>
              </w:rPr>
              <w:t>我局2020年机关收入为949万元，上年结余129万元,经费支出750万元,结余329万元.</w:t>
            </w:r>
          </w:p>
          <w:p>
            <w:pP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2020年总支出750万元,主要用于行政运行425万元,文化活动1万元,群众文化20万元,文化创作与保护3万元,旅旅宣传32万元,文化和旅游管理事务20万元,其他文化和旅游支出153万元,抚恤8万元,其他支出88万元.</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二是严格控制“三公经费”管理。公务用车费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无因公出国出境支出，均与预算持平。同时进一步强化公车管理，建立健全公车管理制度，公车使用实行统一管理，统一由办公室</w:t>
            </w:r>
            <w:r>
              <w:rPr>
                <w:rFonts w:hint="eastAsia" w:ascii="仿宋" w:hAnsi="仿宋" w:eastAsia="仿宋" w:cs="仿宋"/>
                <w:color w:val="000000"/>
                <w:sz w:val="32"/>
                <w:szCs w:val="32"/>
                <w:lang w:val="en-US" w:eastAsia="zh-CN"/>
              </w:rPr>
              <w:t>到平台</w:t>
            </w:r>
            <w:r>
              <w:rPr>
                <w:rFonts w:hint="eastAsia" w:ascii="仿宋" w:hAnsi="仿宋" w:eastAsia="仿宋" w:cs="仿宋"/>
                <w:color w:val="000000"/>
                <w:sz w:val="32"/>
                <w:szCs w:val="32"/>
              </w:rPr>
              <w:t>调度，彻底杜绝公车私用现象。严格公务接待，规范接待标准，一律实行公务刷卡消费，来客先报领导批准，再报办公室登记。</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三是厉行节约，提高思想认识，树立勤俭节约意识。倡导网络办公，促进办公低碳化，充分利用现代网络技术，通过电子邮件、</w:t>
            </w:r>
            <w:r>
              <w:rPr>
                <w:rFonts w:hint="eastAsia" w:ascii="仿宋" w:hAnsi="仿宋" w:eastAsia="仿宋" w:cs="仿宋"/>
                <w:color w:val="000000"/>
                <w:sz w:val="32"/>
                <w:szCs w:val="32"/>
              </w:rPr>
              <w:tab/>
            </w:r>
            <w:r>
              <w:rPr>
                <w:rFonts w:hint="eastAsia" w:ascii="仿宋" w:hAnsi="仿宋" w:eastAsia="仿宋" w:cs="仿宋"/>
                <w:color w:val="000000"/>
                <w:sz w:val="32"/>
                <w:szCs w:val="32"/>
              </w:rPr>
              <w:t>即时通讯软件、拷贝等方式传递文件和资料，减少文件资料的印发，注重节俭，养成节约的习惯，做到了一人在办公室不开空调，人走断电。</w:t>
            </w:r>
          </w:p>
          <w:p>
            <w:pPr>
              <w:numPr>
                <w:ilvl w:val="0"/>
                <w:numId w:val="1"/>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绩效分析</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（一）预算执行情况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1、在职人员控制率。</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年局机关在职人数</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人，年未实有人数</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人</w:t>
            </w:r>
            <w:r>
              <w:rPr>
                <w:rFonts w:hint="eastAsia" w:ascii="仿宋" w:hAnsi="仿宋" w:eastAsia="仿宋" w:cs="仿宋"/>
                <w:color w:val="000000"/>
                <w:sz w:val="32"/>
                <w:szCs w:val="32"/>
                <w:lang w:val="en-US" w:eastAsia="zh-CN"/>
              </w:rPr>
              <w:t>(借调机关3人)</w:t>
            </w:r>
            <w:r>
              <w:rPr>
                <w:rFonts w:hint="eastAsia" w:ascii="仿宋" w:hAnsi="仿宋" w:eastAsia="仿宋" w:cs="仿宋"/>
                <w:color w:val="000000"/>
                <w:sz w:val="32"/>
                <w:szCs w:val="32"/>
              </w:rPr>
              <w:t>，控制率为百分之百，没有超编现象。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2、预算完成率。</w:t>
            </w:r>
            <w:r>
              <w:rPr>
                <w:rFonts w:hint="eastAsia" w:ascii="仿宋" w:hAnsi="仿宋" w:eastAsia="仿宋" w:cs="仿宋"/>
                <w:color w:val="000000"/>
                <w:sz w:val="32"/>
                <w:szCs w:val="32"/>
                <w:lang w:val="en-US" w:eastAsia="zh-CN"/>
              </w:rPr>
              <w:t>财政</w:t>
            </w:r>
            <w:r>
              <w:rPr>
                <w:rFonts w:hint="eastAsia" w:ascii="仿宋" w:hAnsi="仿宋" w:eastAsia="仿宋" w:cs="仿宋"/>
                <w:color w:val="000000"/>
                <w:sz w:val="32"/>
                <w:szCs w:val="32"/>
              </w:rPr>
              <w:t>收</w:t>
            </w:r>
            <w:r>
              <w:rPr>
                <w:rFonts w:hint="eastAsia" w:ascii="仿宋" w:hAnsi="仿宋" w:eastAsia="仿宋" w:cs="仿宋"/>
                <w:color w:val="000000"/>
                <w:sz w:val="32"/>
                <w:szCs w:val="32"/>
                <w:lang w:val="en-US" w:eastAsia="zh-CN"/>
              </w:rPr>
              <w:t>入</w:t>
            </w:r>
            <w:r>
              <w:rPr>
                <w:rFonts w:hint="eastAsia" w:ascii="仿宋" w:hAnsi="仿宋" w:eastAsia="仿宋" w:cs="仿宋"/>
                <w:color w:val="000000"/>
                <w:sz w:val="32"/>
                <w:szCs w:val="32"/>
              </w:rPr>
              <w:t>支</w:t>
            </w:r>
            <w:r>
              <w:rPr>
                <w:rFonts w:hint="eastAsia" w:ascii="仿宋" w:hAnsi="仿宋" w:eastAsia="仿宋" w:cs="仿宋"/>
                <w:color w:val="000000"/>
                <w:sz w:val="32"/>
                <w:szCs w:val="32"/>
                <w:lang w:val="en-US" w:eastAsia="zh-CN"/>
              </w:rPr>
              <w:t>918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其他收入32</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,上年结转129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实际收支为</w:t>
            </w:r>
            <w:r>
              <w:rPr>
                <w:rFonts w:hint="eastAsia" w:ascii="仿宋" w:hAnsi="仿宋" w:eastAsia="仿宋" w:cs="仿宋"/>
                <w:color w:val="000000"/>
                <w:sz w:val="32"/>
                <w:szCs w:val="32"/>
                <w:lang w:val="en-US" w:eastAsia="zh-CN"/>
              </w:rPr>
              <w:t>750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.本年结转329</w:t>
            </w:r>
            <w:r>
              <w:rPr>
                <w:rFonts w:hint="eastAsia" w:ascii="仿宋" w:hAnsi="仿宋" w:eastAsia="仿宋" w:cs="仿宋"/>
                <w:color w:val="000000"/>
                <w:sz w:val="32"/>
                <w:szCs w:val="32"/>
              </w:rPr>
              <w:t>万元，实现了年度收支平衡。</w:t>
            </w:r>
          </w:p>
          <w:p>
            <w:pPr>
              <w:ind w:firstLine="640" w:firstLineChars="200"/>
              <w:rPr>
                <w:rFonts w:hint="eastAsia" w:ascii="仿宋" w:hAnsi="仿宋" w:eastAsia="仿宋" w:cs="仿宋"/>
                <w:color w:val="000000"/>
                <w:sz w:val="32"/>
                <w:szCs w:val="32"/>
              </w:rPr>
            </w:pPr>
            <w:r>
              <w:rPr>
                <w:rFonts w:hint="eastAsia" w:ascii="楷体" w:hAnsi="楷体" w:eastAsia="楷体" w:cs="楷体"/>
                <w:color w:val="000000"/>
                <w:sz w:val="32"/>
                <w:szCs w:val="32"/>
              </w:rPr>
              <w:t>（二）预算管理情况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.“三公”经费控制率100%。“三公”经费预算本年列支</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万元，经费支出未超标。</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.管理制度进一步健全。201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年我局制定了财务管理制度和会计核算等管理制度，明确了财务职责，制定了厉行节约制度，管理制度依照有关国家法律法规而制定的，具有合法性、合规性、完整性、同时相关制度得到认真执行。</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5.预算信息公开性。按照规定的内容、时间公开预算信息，做到基础数据信息和会计资金真实、完整、准确。</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三、职责履行</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（一）文化职责</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各项工作完成情况：根据岳阳市人民政府办公室《关于岳阳市创建国家公共文化服务体系示范建设规定的通知》(岳政办法[2014]14号)、湖南省文化厅关于印发《湖南省网吧准入试点工作方案的通知》和《关于编制国家级和省级非物质文化遗产项目”十三五”规划的通知》（湘文非遗[2014]89号）文件，市县现已投资</w:t>
            </w:r>
            <w:r>
              <w:rPr>
                <w:rFonts w:hint="eastAsia" w:ascii="仿宋" w:hAnsi="仿宋" w:eastAsia="仿宋" w:cs="仿宋"/>
                <w:color w:val="000000"/>
                <w:sz w:val="32"/>
                <w:szCs w:val="32"/>
                <w:lang w:val="en-US" w:eastAsia="zh-CN"/>
              </w:rPr>
              <w:t>300</w:t>
            </w:r>
            <w:r>
              <w:rPr>
                <w:rFonts w:hint="eastAsia" w:ascii="仿宋" w:hAnsi="仿宋" w:eastAsia="仿宋" w:cs="仿宋"/>
                <w:color w:val="000000"/>
                <w:sz w:val="32"/>
                <w:szCs w:val="32"/>
              </w:rPr>
              <w:t>多万元用于启动国家公共文化服务体系示范区创建工作</w:t>
            </w:r>
            <w:r>
              <w:rPr>
                <w:rFonts w:hint="eastAsia" w:ascii="仿宋" w:hAnsi="仿宋" w:eastAsia="仿宋" w:cs="仿宋"/>
                <w:color w:val="000000"/>
                <w:sz w:val="32"/>
                <w:szCs w:val="32"/>
                <w:lang w:val="en-US" w:eastAsia="zh-CN"/>
              </w:rPr>
              <w:t>已完成</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三馆免费开放.电影放映120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.投入旅游项目建设1400多万元.</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行政效能。我局高度重视行政效能建设工作，深入贯彻落实科学发展观、制定工作方案，明确工作职责，推进政务公开透明，方便群众。明确相关股室职责，财务审核过程中，规范审批程序，加强经费及资金管理。</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履行职责。贯彻了党和国家有关文化艺术、广播电影电视、新闻出版工作的路线、方针、政策和法律法规，把握正确的舆论导向。拟定了全县文化广电新闻出版工作的政策；拟定了全县文化广播电视新闻出版事业发展规划，并且组织实施；指导推进去全县文化广电新闻出版工作，管理全县图书馆(室)、文化馆(站）、文物、电影、全民读书活动、农家书屋工程和基层文化建设；拟定全县非物质文化遗产保护规划，组织实施全县非物质文化遗产保护和优秀民族文化传承普及工作；组织推进全县广播电视电影公共服务；组织实施全县广播电视村村通工程。</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 （二）社会公众和服务对象满意度。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年我局在县委县政府的正确领导下，通过一年的努力工作，全局干部职工进一步转变工作作风，办事更加积极、态度更加热情，使广大群众和服务对象更加满意，满意率达到</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四、存在的主要问题</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1.行政运行经费所占比例太少，对争取项目资金处于被动。</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2.对二级机构财务监督有待加强管理。</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五、改进措施</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1.将财务制度落实到位，规范财经纪律，严格控制非生产性开支。</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2.力争来年多争取行政运行经费，多争取项目，扩大影响力。</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3.加强对二级机构的财务监管力度，多组织财务业务培训学习。</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六、自评结论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综合以上各项指标，我局在</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年度财务管理、健全、规范上没有违法违规现象。我局</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年的部门整体支出绩效自我评价得分为</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分。自评结构为：优秀。我局将在今后工作中进一步加强预算管理，严格控制各项经费开支，提高经费使用效率。</w:t>
            </w:r>
          </w:p>
          <w:p>
            <w:pPr>
              <w:rPr>
                <w:rFonts w:ascii="仿宋" w:hAnsi="仿宋" w:eastAsia="仿宋" w:cs="仿宋"/>
                <w:sz w:val="32"/>
                <w:szCs w:val="32"/>
              </w:rPr>
            </w:pPr>
          </w:p>
          <w:p>
            <w:pPr>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二0</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r>
              <w:rPr>
                <w:rFonts w:hint="eastAsia" w:ascii="仿宋" w:hAnsi="仿宋" w:eastAsia="仿宋" w:cs="仿宋"/>
                <w:sz w:val="32"/>
                <w:szCs w:val="32"/>
                <w:lang w:val="en-US" w:eastAsia="zh-CN"/>
              </w:rPr>
              <w:t>三十</w:t>
            </w:r>
            <w:r>
              <w:rPr>
                <w:rFonts w:hint="eastAsia" w:ascii="仿宋" w:hAnsi="仿宋" w:eastAsia="仿宋" w:cs="仿宋"/>
                <w:sz w:val="32"/>
                <w:szCs w:val="32"/>
              </w:rPr>
              <w:t>日</w:t>
            </w:r>
          </w:p>
          <w:p>
            <w:pPr>
              <w:rPr>
                <w:rFonts w:hint="eastAsia" w:ascii="仿宋" w:hAnsi="仿宋" w:eastAsia="仿宋" w:cs="仿宋"/>
                <w:sz w:val="32"/>
                <w:szCs w:val="32"/>
              </w:rPr>
            </w:pPr>
          </w:p>
          <w:p>
            <w:pPr>
              <w:rPr>
                <w:rFonts w:eastAsia="楷体_GB2312"/>
                <w:bCs/>
                <w:sz w:val="28"/>
                <w:szCs w:val="28"/>
              </w:rPr>
            </w:pPr>
          </w:p>
        </w:tc>
      </w:tr>
    </w:tbl>
    <w:p>
      <w:pPr>
        <w:spacing w:line="348" w:lineRule="auto"/>
        <w:rPr>
          <w:rFonts w:eastAsia="楷体_GB2312"/>
          <w:bCs/>
          <w:sz w:val="28"/>
          <w:szCs w:val="28"/>
        </w:rPr>
      </w:pPr>
    </w:p>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ODk0NzM2ZTlhZmRjMmU3YmRjN2NiZDIwYmYyMjIifQ=="/>
  </w:docVars>
  <w:rsids>
    <w:rsidRoot w:val="2A8A3B0C"/>
    <w:rsid w:val="00170A0C"/>
    <w:rsid w:val="010808D7"/>
    <w:rsid w:val="03EF4738"/>
    <w:rsid w:val="050459F1"/>
    <w:rsid w:val="06CA335F"/>
    <w:rsid w:val="0850505A"/>
    <w:rsid w:val="08FB1952"/>
    <w:rsid w:val="0AEB6084"/>
    <w:rsid w:val="0B692D8A"/>
    <w:rsid w:val="0CC96719"/>
    <w:rsid w:val="0DC44C03"/>
    <w:rsid w:val="0E537E74"/>
    <w:rsid w:val="0FBD2A1A"/>
    <w:rsid w:val="0FE13147"/>
    <w:rsid w:val="105140BB"/>
    <w:rsid w:val="129F2EE9"/>
    <w:rsid w:val="130D4431"/>
    <w:rsid w:val="135B257F"/>
    <w:rsid w:val="163B5EF6"/>
    <w:rsid w:val="16835805"/>
    <w:rsid w:val="16A31E08"/>
    <w:rsid w:val="18292F70"/>
    <w:rsid w:val="18A42CFD"/>
    <w:rsid w:val="1A931AE4"/>
    <w:rsid w:val="1ABE6300"/>
    <w:rsid w:val="1BB43819"/>
    <w:rsid w:val="1D1F218B"/>
    <w:rsid w:val="206B19A3"/>
    <w:rsid w:val="209D69D6"/>
    <w:rsid w:val="2103208F"/>
    <w:rsid w:val="21572B08"/>
    <w:rsid w:val="21693125"/>
    <w:rsid w:val="233214BC"/>
    <w:rsid w:val="235866F9"/>
    <w:rsid w:val="25347704"/>
    <w:rsid w:val="258C0E1C"/>
    <w:rsid w:val="25DC4098"/>
    <w:rsid w:val="28E76C2E"/>
    <w:rsid w:val="296104E7"/>
    <w:rsid w:val="2A5A77ED"/>
    <w:rsid w:val="2A8A3B0C"/>
    <w:rsid w:val="2AB1416F"/>
    <w:rsid w:val="2B281095"/>
    <w:rsid w:val="2B313DE0"/>
    <w:rsid w:val="2B3771DA"/>
    <w:rsid w:val="2CEA0853"/>
    <w:rsid w:val="2D44401B"/>
    <w:rsid w:val="2EAD087C"/>
    <w:rsid w:val="2EB73AF3"/>
    <w:rsid w:val="316D4B35"/>
    <w:rsid w:val="31CE283D"/>
    <w:rsid w:val="32B15CDB"/>
    <w:rsid w:val="366170D7"/>
    <w:rsid w:val="36C6570B"/>
    <w:rsid w:val="37C64260"/>
    <w:rsid w:val="392B7361"/>
    <w:rsid w:val="3E050E1C"/>
    <w:rsid w:val="3E57410E"/>
    <w:rsid w:val="3E7A2DCF"/>
    <w:rsid w:val="3EA95312"/>
    <w:rsid w:val="40CF3C02"/>
    <w:rsid w:val="437C4114"/>
    <w:rsid w:val="440C56F0"/>
    <w:rsid w:val="444261FC"/>
    <w:rsid w:val="444A7FC7"/>
    <w:rsid w:val="452D3303"/>
    <w:rsid w:val="45A273AA"/>
    <w:rsid w:val="46204FA6"/>
    <w:rsid w:val="46BE62D0"/>
    <w:rsid w:val="47970D3B"/>
    <w:rsid w:val="48CC4814"/>
    <w:rsid w:val="490E26FA"/>
    <w:rsid w:val="49837F1A"/>
    <w:rsid w:val="49D058F0"/>
    <w:rsid w:val="49E933F1"/>
    <w:rsid w:val="4C473B1B"/>
    <w:rsid w:val="4E30022D"/>
    <w:rsid w:val="4E374CC5"/>
    <w:rsid w:val="50414974"/>
    <w:rsid w:val="50F543C9"/>
    <w:rsid w:val="5307014B"/>
    <w:rsid w:val="53D97486"/>
    <w:rsid w:val="54B84DCD"/>
    <w:rsid w:val="55B96626"/>
    <w:rsid w:val="57EB284D"/>
    <w:rsid w:val="582C1E59"/>
    <w:rsid w:val="5ADB7052"/>
    <w:rsid w:val="5B0C5074"/>
    <w:rsid w:val="5B696FA8"/>
    <w:rsid w:val="600A2BA7"/>
    <w:rsid w:val="60927415"/>
    <w:rsid w:val="612A6D6A"/>
    <w:rsid w:val="613C0EE8"/>
    <w:rsid w:val="615221BA"/>
    <w:rsid w:val="62343770"/>
    <w:rsid w:val="62C74F54"/>
    <w:rsid w:val="62E51CF9"/>
    <w:rsid w:val="6347671C"/>
    <w:rsid w:val="639E3181"/>
    <w:rsid w:val="64BB08A9"/>
    <w:rsid w:val="656B62C3"/>
    <w:rsid w:val="65A26C62"/>
    <w:rsid w:val="65A7548C"/>
    <w:rsid w:val="65C46E43"/>
    <w:rsid w:val="6A65607E"/>
    <w:rsid w:val="6AB626F4"/>
    <w:rsid w:val="6D454942"/>
    <w:rsid w:val="6D8A2AB2"/>
    <w:rsid w:val="6D9C0071"/>
    <w:rsid w:val="6EFD532B"/>
    <w:rsid w:val="6F0E7CBF"/>
    <w:rsid w:val="723304AD"/>
    <w:rsid w:val="72C91CB2"/>
    <w:rsid w:val="74191387"/>
    <w:rsid w:val="75485D72"/>
    <w:rsid w:val="754D6E6B"/>
    <w:rsid w:val="77007C6C"/>
    <w:rsid w:val="77056D05"/>
    <w:rsid w:val="78FB5758"/>
    <w:rsid w:val="79A13C0A"/>
    <w:rsid w:val="79D613B1"/>
    <w:rsid w:val="7AA0779C"/>
    <w:rsid w:val="7B7042B6"/>
    <w:rsid w:val="7CE53080"/>
    <w:rsid w:val="7D4114E1"/>
    <w:rsid w:val="7D413836"/>
    <w:rsid w:val="7F386569"/>
    <w:rsid w:val="7F5A05F5"/>
    <w:rsid w:val="7F6B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3988</Words>
  <Characters>4234</Characters>
  <Lines>0</Lines>
  <Paragraphs>0</Paragraphs>
  <TotalTime>1</TotalTime>
  <ScaleCrop>false</ScaleCrop>
  <LinksUpToDate>false</LinksUpToDate>
  <CharactersWithSpaces>4636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闪电</cp:lastModifiedBy>
  <dcterms:modified xsi:type="dcterms:W3CDTF">2022-08-26T12:05:24Z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E5E7FB9F32B94036A26965E32ABBB9C9</vt:lpwstr>
  </property>
</Properties>
</file>