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both"/>
        <w:rPr>
          <w:sz w:val="84"/>
          <w:szCs w:val="84"/>
        </w:rPr>
      </w:pPr>
    </w:p>
    <w:p>
      <w:pPr>
        <w:spacing w:line="800" w:lineRule="exact"/>
        <w:jc w:val="center"/>
        <w:rPr>
          <w:rFonts w:eastAsia="方正小标宋简体"/>
          <w:bCs/>
          <w:sz w:val="36"/>
          <w:szCs w:val="36"/>
        </w:rPr>
      </w:pPr>
      <w:r>
        <w:rPr>
          <w:rFonts w:hint="eastAsia" w:eastAsia="方正小标宋简体"/>
          <w:bCs/>
          <w:sz w:val="36"/>
          <w:szCs w:val="36"/>
        </w:rPr>
        <w:t>岳阳县2020年度部门（单位）整体支出</w:t>
      </w:r>
    </w:p>
    <w:p>
      <w:pPr>
        <w:spacing w:line="800" w:lineRule="exact"/>
        <w:jc w:val="center"/>
        <w:rPr>
          <w:rFonts w:eastAsia="方正小标宋简体"/>
          <w:bCs/>
          <w:sz w:val="36"/>
          <w:szCs w:val="36"/>
        </w:rPr>
      </w:pPr>
      <w:r>
        <w:rPr>
          <w:rFonts w:hint="eastAsia" w:eastAsia="方正小标宋简体"/>
          <w:bCs/>
          <w:sz w:val="36"/>
          <w:szCs w:val="36"/>
        </w:rPr>
        <w:t>绩效评价自评报告</w:t>
      </w:r>
    </w:p>
    <w:p>
      <w:pPr>
        <w:rPr>
          <w:rFonts w:eastAsia="仿宋_GB2312"/>
          <w:b/>
          <w:sz w:val="32"/>
          <w:szCs w:val="32"/>
        </w:rPr>
      </w:pPr>
    </w:p>
    <w:p>
      <w:pPr>
        <w:rPr>
          <w:rFonts w:eastAsia="仿宋_GB2312"/>
          <w:b/>
          <w:sz w:val="32"/>
          <w:szCs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岳阳县人力资源和社会保障局</w:t>
      </w:r>
      <w:r>
        <w:rPr>
          <w:rFonts w:hint="eastAsia" w:eastAsia="仿宋_GB2312"/>
          <w:sz w:val="32"/>
          <w:szCs w:val="32"/>
          <w:u w:val="single"/>
          <w:lang w:eastAsia="zh-CN"/>
        </w:rPr>
        <w:t>本级</w:t>
      </w:r>
      <w:r>
        <w:rPr>
          <w:rFonts w:hint="eastAsia" w:eastAsia="仿宋_GB2312"/>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预算编码</w:t>
      </w:r>
      <w:r>
        <w:rPr>
          <w:rFonts w:hint="eastAsia" w:eastAsia="仿宋_GB2312"/>
          <w:sz w:val="32"/>
          <w:szCs w:val="32"/>
          <w:u w:val="single"/>
        </w:rPr>
        <w:t xml:space="preserve">    </w:t>
      </w:r>
      <w:r>
        <w:rPr>
          <w:rFonts w:eastAsia="仿宋_GB2312"/>
          <w:sz w:val="32"/>
          <w:szCs w:val="32"/>
          <w:u w:val="single"/>
        </w:rPr>
        <w:t>068</w:t>
      </w:r>
      <w:r>
        <w:rPr>
          <w:rFonts w:hint="eastAsia" w:eastAsia="仿宋_GB2312"/>
          <w:sz w:val="32"/>
          <w:szCs w:val="32"/>
          <w:u w:val="single"/>
        </w:rPr>
        <w:t xml:space="preserve"> </w:t>
      </w:r>
      <w:r>
        <w:rPr>
          <w:rFonts w:hint="eastAsia" w:eastAsia="仿宋_GB2312"/>
          <w:sz w:val="32"/>
          <w:szCs w:val="32"/>
          <w:u w:val="single"/>
          <w:lang w:val="en-US" w:eastAsia="zh-CN"/>
        </w:rPr>
        <w:t>001</w:t>
      </w:r>
      <w:bookmarkStart w:id="1" w:name="_GoBack"/>
      <w:bookmarkEnd w:id="1"/>
      <w:r>
        <w:rPr>
          <w:rFonts w:hint="eastAsia" w:eastAsia="仿宋_GB2312"/>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填报人：隋伟</w:t>
      </w:r>
      <w:r>
        <w:rPr>
          <w:rFonts w:eastAsia="仿宋_GB2312"/>
          <w:sz w:val="32"/>
          <w:szCs w:val="32"/>
        </w:rPr>
        <w:tab/>
      </w:r>
    </w:p>
    <w:p>
      <w:pPr>
        <w:spacing w:beforeLines="50" w:line="348" w:lineRule="auto"/>
        <w:ind w:firstLine="476" w:firstLineChars="150"/>
        <w:rPr>
          <w:rFonts w:eastAsia="仿宋_GB2312"/>
          <w:sz w:val="32"/>
          <w:szCs w:val="32"/>
        </w:rPr>
      </w:pPr>
      <w:r>
        <w:rPr>
          <w:rFonts w:hint="eastAsia" w:eastAsia="仿宋_GB2312"/>
          <w:sz w:val="32"/>
          <w:szCs w:val="32"/>
        </w:rPr>
        <w:t xml:space="preserve">联系电话： </w:t>
      </w:r>
      <w:r>
        <w:rPr>
          <w:rFonts w:eastAsia="仿宋_GB2312"/>
          <w:sz w:val="32"/>
          <w:szCs w:val="32"/>
        </w:rPr>
        <w:t>7608823</w:t>
      </w:r>
    </w:p>
    <w:p>
      <w:pPr>
        <w:spacing w:line="348" w:lineRule="auto"/>
        <w:ind w:firstLine="2378" w:firstLineChars="750"/>
        <w:rPr>
          <w:rFonts w:eastAsia="仿宋_GB2312"/>
          <w:sz w:val="32"/>
          <w:szCs w:val="32"/>
        </w:rPr>
      </w:pPr>
      <w:r>
        <w:rPr>
          <w:rFonts w:hint="eastAsia" w:eastAsia="仿宋_GB2312"/>
          <w:sz w:val="32"/>
          <w:szCs w:val="32"/>
        </w:rPr>
        <w:t xml:space="preserve">报告日期： 2021年 </w:t>
      </w:r>
      <w:r>
        <w:rPr>
          <w:rFonts w:eastAsia="仿宋_GB2312"/>
          <w:sz w:val="32"/>
          <w:szCs w:val="32"/>
        </w:rPr>
        <w:t>7</w:t>
      </w:r>
      <w:r>
        <w:rPr>
          <w:rFonts w:hint="eastAsia" w:eastAsia="仿宋_GB2312"/>
          <w:sz w:val="32"/>
          <w:szCs w:val="32"/>
        </w:rPr>
        <w:t>月 08 日</w:t>
      </w:r>
    </w:p>
    <w:p>
      <w:pPr>
        <w:spacing w:line="348" w:lineRule="auto"/>
        <w:jc w:val="center"/>
        <w:rPr>
          <w:rFonts w:eastAsia="仿宋_GB2312"/>
          <w:sz w:val="32"/>
          <w:szCs w:val="32"/>
        </w:rPr>
      </w:pPr>
      <w:r>
        <w:rPr>
          <w:rFonts w:hint="eastAsia" w:eastAsia="仿宋_GB2312"/>
          <w:sz w:val="32"/>
          <w:szCs w:val="32"/>
        </w:rPr>
        <w:t>岳阳县财政局（制）</w:t>
      </w:r>
    </w:p>
    <w:p>
      <w:pPr>
        <w:autoSpaceDN w:val="0"/>
        <w:jc w:val="center"/>
        <w:textAlignment w:val="center"/>
        <w:rPr>
          <w:rFonts w:ascii="仿宋_GB2312" w:hAnsi="仿宋_GB2312" w:eastAsia="仿宋_GB2312"/>
          <w:b/>
          <w:color w:val="000000"/>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6"/>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803"/>
        <w:gridCol w:w="111"/>
        <w:gridCol w:w="9"/>
        <w:gridCol w:w="127"/>
        <w:gridCol w:w="36"/>
        <w:gridCol w:w="20"/>
        <w:gridCol w:w="530"/>
        <w:gridCol w:w="1174"/>
        <w:gridCol w:w="31"/>
        <w:gridCol w:w="198"/>
        <w:gridCol w:w="356"/>
        <w:gridCol w:w="176"/>
        <w:gridCol w:w="241"/>
        <w:gridCol w:w="230"/>
        <w:gridCol w:w="231"/>
        <w:gridCol w:w="74"/>
        <w:gridCol w:w="91"/>
        <w:gridCol w:w="910"/>
        <w:gridCol w:w="64"/>
        <w:gridCol w:w="155"/>
        <w:gridCol w:w="103"/>
        <w:gridCol w:w="437"/>
        <w:gridCol w:w="175"/>
        <w:gridCol w:w="205"/>
        <w:gridCol w:w="268"/>
        <w:gridCol w:w="47"/>
        <w:gridCol w:w="300"/>
        <w:gridCol w:w="635"/>
        <w:gridCol w:w="52"/>
        <w:gridCol w:w="284"/>
        <w:gridCol w:w="14"/>
        <w:gridCol w:w="53"/>
        <w:gridCol w:w="50"/>
        <w:gridCol w:w="55"/>
        <w:gridCol w:w="1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5"/>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黑体" w:hAnsi="黑体" w:eastAsia="黑体" w:cs="黑体"/>
                <w:b/>
                <w:color w:val="000000"/>
                <w:sz w:val="32"/>
                <w:szCs w:val="32"/>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23" w:type="dxa"/>
            <w:gridSpan w:val="3"/>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tc>
        <w:tc>
          <w:tcPr>
            <w:tcW w:w="3119"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易莺</w:t>
            </w:r>
          </w:p>
        </w:tc>
        <w:tc>
          <w:tcPr>
            <w:tcW w:w="2445"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联络电话</w:t>
            </w:r>
          </w:p>
        </w:tc>
        <w:tc>
          <w:tcPr>
            <w:tcW w:w="2863"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ascii="仿宋_GB2312" w:hAnsi="仿宋_GB2312" w:eastAsia="仿宋_GB2312" w:cs="仿宋_GB2312"/>
                <w:color w:val="000000"/>
                <w:sz w:val="32"/>
                <w:szCs w:val="32"/>
              </w:rPr>
              <w:t>608823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23" w:type="dxa"/>
            <w:gridSpan w:val="3"/>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人员编制</w:t>
            </w:r>
          </w:p>
        </w:tc>
        <w:tc>
          <w:tcPr>
            <w:tcW w:w="3119"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43</w:t>
            </w:r>
          </w:p>
        </w:tc>
        <w:tc>
          <w:tcPr>
            <w:tcW w:w="2445"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实有人数</w:t>
            </w:r>
          </w:p>
        </w:tc>
        <w:tc>
          <w:tcPr>
            <w:tcW w:w="2863"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职能职责概述</w:t>
            </w:r>
          </w:p>
        </w:tc>
        <w:tc>
          <w:tcPr>
            <w:tcW w:w="8436" w:type="dxa"/>
            <w:gridSpan w:val="33"/>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hint="eastAsia"/>
                <w:sz w:val="32"/>
                <w:szCs w:val="32"/>
              </w:rPr>
              <w:t>负责全县社会养老保险、农村和城居养老保险、就业工作、工伤保险的组织、协调、综合、指导与管理工作。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年度主要工作内容</w:t>
            </w:r>
          </w:p>
        </w:tc>
        <w:tc>
          <w:tcPr>
            <w:tcW w:w="8436" w:type="dxa"/>
            <w:gridSpan w:val="33"/>
            <w:vAlign w:val="center"/>
          </w:tcPr>
          <w:p>
            <w:pPr>
              <w:rPr>
                <w:sz w:val="32"/>
                <w:szCs w:val="32"/>
              </w:rPr>
            </w:pPr>
            <w:r>
              <w:rPr>
                <w:rFonts w:hint="eastAsia"/>
                <w:sz w:val="32"/>
                <w:szCs w:val="32"/>
              </w:rPr>
              <w:t>1、推进社会保险全覆盖。</w:t>
            </w:r>
          </w:p>
          <w:p>
            <w:pPr>
              <w:rPr>
                <w:sz w:val="32"/>
                <w:szCs w:val="32"/>
              </w:rPr>
            </w:pPr>
            <w:r>
              <w:rPr>
                <w:rFonts w:hint="eastAsia"/>
                <w:sz w:val="32"/>
                <w:szCs w:val="32"/>
              </w:rPr>
              <w:t>2、以扩大就业为重点，统筹推进城乡充分就业。</w:t>
            </w:r>
          </w:p>
          <w:p>
            <w:pPr>
              <w:rPr>
                <w:sz w:val="32"/>
                <w:szCs w:val="32"/>
              </w:rPr>
            </w:pPr>
            <w:r>
              <w:rPr>
                <w:rFonts w:hint="eastAsia"/>
                <w:sz w:val="32"/>
                <w:szCs w:val="32"/>
              </w:rPr>
              <w:t>3、以执法维权为重点，着力构建和谐稳定劳动关系。</w:t>
            </w:r>
          </w:p>
          <w:p>
            <w:pPr>
              <w:rPr>
                <w:sz w:val="32"/>
                <w:szCs w:val="32"/>
              </w:rPr>
            </w:pPr>
            <w:r>
              <w:rPr>
                <w:rFonts w:hint="eastAsia"/>
                <w:sz w:val="32"/>
                <w:szCs w:val="32"/>
              </w:rPr>
              <w:t>4、以规范人事人才管理为重点，稳步提高人事人才保障能力。</w:t>
            </w:r>
          </w:p>
          <w:p>
            <w:pPr>
              <w:rPr>
                <w:sz w:val="32"/>
                <w:szCs w:val="32"/>
              </w:rPr>
            </w:pPr>
            <w:r>
              <w:rPr>
                <w:rFonts w:hint="eastAsia"/>
                <w:sz w:val="32"/>
                <w:szCs w:val="32"/>
              </w:rPr>
              <w:t>5、以落实改革为重点，加快完善社会保障体系。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年度部门（单位）总体运行情况及取得的成绩</w:t>
            </w:r>
          </w:p>
        </w:tc>
        <w:tc>
          <w:tcPr>
            <w:tcW w:w="8436" w:type="dxa"/>
            <w:gridSpan w:val="33"/>
            <w:vAlign w:val="center"/>
          </w:tcPr>
          <w:p>
            <w:pPr>
              <w:rPr>
                <w:sz w:val="32"/>
                <w:szCs w:val="32"/>
              </w:rPr>
            </w:pPr>
            <w:r>
              <w:rPr>
                <w:rFonts w:hint="eastAsia"/>
                <w:sz w:val="32"/>
                <w:szCs w:val="32"/>
              </w:rPr>
              <w:t>1.基金征缴：全年征缴各类基金6.8218亿元，参保1336006人次，全面完成年度目标任务。</w:t>
            </w:r>
          </w:p>
          <w:p>
            <w:pPr>
              <w:rPr>
                <w:sz w:val="32"/>
                <w:szCs w:val="32"/>
              </w:rPr>
            </w:pPr>
            <w:r>
              <w:rPr>
                <w:rFonts w:hint="eastAsia"/>
                <w:sz w:val="32"/>
                <w:szCs w:val="32"/>
              </w:rPr>
              <w:t>2.就业服务方面：继续把“创业培训+项目指导+小额担保贷款”服务体系作为扶持创业促进就业的主渠道。全年，城镇新增就业4489人，城镇登记失业率控制在2.8%以内；小额担保贷款助力创业，新增创业担保贷款5523万元，完成目标任务2900万元的191.5%。</w:t>
            </w:r>
          </w:p>
          <w:p>
            <w:pPr>
              <w:rPr>
                <w:sz w:val="32"/>
                <w:szCs w:val="32"/>
              </w:rPr>
            </w:pPr>
            <w:r>
              <w:rPr>
                <w:rFonts w:hint="eastAsia"/>
                <w:sz w:val="32"/>
                <w:szCs w:val="32"/>
              </w:rPr>
              <w:t>3.执法维权方面：全年共计为1617位农民工讨回欠薪金额1637万元。全年劳动人事争议仲裁院结案50起，涉案金额502万。其中，为农民工仲裁维权案件38起，维权金额295万元。</w:t>
            </w:r>
          </w:p>
          <w:p>
            <w:pPr>
              <w:rPr>
                <w:sz w:val="32"/>
                <w:szCs w:val="32"/>
              </w:rPr>
            </w:pPr>
            <w:r>
              <w:rPr>
                <w:rFonts w:hint="eastAsia"/>
                <w:sz w:val="32"/>
                <w:szCs w:val="32"/>
              </w:rPr>
              <w:t>4.人事人才方面：积极落实市委、市政府《巴陵人才工程实施方案》和县委、县政府《人才工程实施方案》。认真做好全县公务员考录初审、复审等工作。根据全县人员需求与编制空缺，严格专业设置，申报了11个职位75名（乡镇45名）公务员或参公人员的招录计划，并按照市局的要求，严谨、顺利地完成了网上报名，现场资格审查和招录工作。我局今年办理全县机关事业单位工作人员考核合格晋升工资级别（薪级、档次）增资审批13490人次；办理晋升职务职级、职称晋升、事业单位岗位设置工资审批529人次；办理退伍安置、事业单位公开招聘人员工资审批310人次；办理人事调配等调动人员的条件认定、工资套改等调动工资审批109人次；办理机关事业单位符合退休条件人员退休审批348人次；办理机关事业单位死亡工作人员的相关抚恤审批224人次；办理其它工资福利审批310人次。</w:t>
            </w:r>
          </w:p>
          <w:p>
            <w:pPr>
              <w:autoSpaceDN w:val="0"/>
              <w:spacing w:line="400" w:lineRule="exact"/>
              <w:jc w:val="left"/>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5"/>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黑体" w:hAnsi="黑体" w:eastAsia="黑体" w:cs="黑体"/>
                <w:b/>
                <w:color w:val="000000"/>
                <w:sz w:val="32"/>
                <w:szCs w:val="32"/>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5"/>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06" w:type="dxa"/>
            <w:gridSpan w:val="6"/>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机构名称</w:t>
            </w:r>
          </w:p>
        </w:tc>
        <w:tc>
          <w:tcPr>
            <w:tcW w:w="1933" w:type="dxa"/>
            <w:gridSpan w:val="4"/>
            <w:vMerge w:val="restart"/>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收入合计</w:t>
            </w:r>
          </w:p>
        </w:tc>
        <w:tc>
          <w:tcPr>
            <w:tcW w:w="6311" w:type="dxa"/>
            <w:gridSpan w:val="25"/>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06" w:type="dxa"/>
            <w:gridSpan w:val="6"/>
            <w:vMerge w:val="continue"/>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933" w:type="dxa"/>
            <w:gridSpan w:val="4"/>
            <w:vMerge w:val="continue"/>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308" w:type="dxa"/>
            <w:gridSpan w:val="6"/>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上年结转</w:t>
            </w:r>
          </w:p>
        </w:tc>
        <w:tc>
          <w:tcPr>
            <w:tcW w:w="1760"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公共财政拨款</w:t>
            </w:r>
          </w:p>
        </w:tc>
        <w:tc>
          <w:tcPr>
            <w:tcW w:w="648" w:type="dxa"/>
            <w:gridSpan w:val="3"/>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政府基金拨款</w:t>
            </w:r>
          </w:p>
        </w:tc>
        <w:tc>
          <w:tcPr>
            <w:tcW w:w="1332"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纳入专户管理的非税收入拨款</w:t>
            </w:r>
          </w:p>
        </w:tc>
        <w:tc>
          <w:tcPr>
            <w:tcW w:w="1263"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1106" w:type="dxa"/>
            <w:gridSpan w:val="6"/>
            <w:vAlign w:val="center"/>
          </w:tcPr>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局机关</w:t>
            </w:r>
          </w:p>
        </w:tc>
        <w:tc>
          <w:tcPr>
            <w:tcW w:w="1933" w:type="dxa"/>
            <w:gridSpan w:val="4"/>
            <w:tcBorders>
              <w:right w:val="single" w:color="auto" w:sz="4" w:space="0"/>
            </w:tcBorders>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795.94</w:t>
            </w:r>
          </w:p>
        </w:tc>
        <w:tc>
          <w:tcPr>
            <w:tcW w:w="1308" w:type="dxa"/>
            <w:gridSpan w:val="6"/>
            <w:tcBorders>
              <w:left w:val="single" w:color="auto" w:sz="4" w:space="0"/>
            </w:tcBorders>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427.68</w:t>
            </w:r>
          </w:p>
        </w:tc>
        <w:tc>
          <w:tcPr>
            <w:tcW w:w="1760" w:type="dxa"/>
            <w:gridSpan w:val="6"/>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179.01</w:t>
            </w:r>
          </w:p>
        </w:tc>
        <w:tc>
          <w:tcPr>
            <w:tcW w:w="648" w:type="dxa"/>
            <w:gridSpan w:val="3"/>
            <w:vAlign w:val="center"/>
          </w:tcPr>
          <w:p>
            <w:pPr>
              <w:autoSpaceDN w:val="0"/>
              <w:spacing w:line="400" w:lineRule="exact"/>
              <w:jc w:val="left"/>
              <w:textAlignment w:val="center"/>
              <w:rPr>
                <w:rFonts w:ascii="仿宋_GB2312" w:hAnsi="仿宋_GB2312" w:eastAsia="仿宋_GB2312" w:cs="仿宋_GB2312"/>
                <w:color w:val="000000"/>
                <w:sz w:val="32"/>
                <w:szCs w:val="32"/>
              </w:rPr>
            </w:pPr>
          </w:p>
        </w:tc>
        <w:tc>
          <w:tcPr>
            <w:tcW w:w="1332"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263" w:type="dxa"/>
            <w:gridSpan w:val="4"/>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gridSpan w:val="35"/>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06" w:type="dxa"/>
            <w:gridSpan w:val="6"/>
            <w:vMerge w:val="restart"/>
            <w:vAlign w:val="center"/>
          </w:tcPr>
          <w:p>
            <w:pPr>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机构名称</w:t>
            </w:r>
          </w:p>
        </w:tc>
        <w:tc>
          <w:tcPr>
            <w:tcW w:w="1735" w:type="dxa"/>
            <w:gridSpan w:val="3"/>
            <w:vMerge w:val="restart"/>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支出合计</w:t>
            </w:r>
          </w:p>
        </w:tc>
        <w:tc>
          <w:tcPr>
            <w:tcW w:w="5232" w:type="dxa"/>
            <w:gridSpan w:val="21"/>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tc>
        <w:tc>
          <w:tcPr>
            <w:tcW w:w="1277" w:type="dxa"/>
            <w:gridSpan w:val="5"/>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06" w:type="dxa"/>
            <w:gridSpan w:val="6"/>
            <w:vMerge w:val="continue"/>
            <w:vAlign w:val="center"/>
          </w:tcPr>
          <w:p>
            <w:pPr>
              <w:spacing w:line="400" w:lineRule="exact"/>
              <w:jc w:val="center"/>
              <w:rPr>
                <w:rFonts w:ascii="仿宋_GB2312" w:hAnsi="仿宋_GB2312" w:eastAsia="仿宋_GB2312" w:cs="仿宋_GB2312"/>
                <w:sz w:val="32"/>
                <w:szCs w:val="32"/>
              </w:rPr>
            </w:pPr>
          </w:p>
        </w:tc>
        <w:tc>
          <w:tcPr>
            <w:tcW w:w="1735" w:type="dxa"/>
            <w:gridSpan w:val="3"/>
            <w:vMerge w:val="continue"/>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432" w:type="dxa"/>
            <w:gridSpan w:val="6"/>
            <w:vMerge w:val="restart"/>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基本支出</w:t>
            </w:r>
          </w:p>
        </w:tc>
        <w:tc>
          <w:tcPr>
            <w:tcW w:w="2529"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tc>
        <w:tc>
          <w:tcPr>
            <w:tcW w:w="1271" w:type="dxa"/>
            <w:gridSpan w:val="4"/>
            <w:vMerge w:val="restart"/>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项目支出</w:t>
            </w:r>
          </w:p>
        </w:tc>
        <w:tc>
          <w:tcPr>
            <w:tcW w:w="1277" w:type="dxa"/>
            <w:gridSpan w:val="5"/>
            <w:vMerge w:val="restart"/>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06" w:type="dxa"/>
            <w:gridSpan w:val="6"/>
            <w:vMerge w:val="continue"/>
            <w:vAlign w:val="center"/>
          </w:tcPr>
          <w:p>
            <w:pPr>
              <w:spacing w:line="400" w:lineRule="exact"/>
              <w:jc w:val="center"/>
              <w:rPr>
                <w:rFonts w:ascii="仿宋_GB2312" w:hAnsi="仿宋_GB2312" w:eastAsia="仿宋_GB2312" w:cs="仿宋_GB2312"/>
                <w:sz w:val="32"/>
                <w:szCs w:val="32"/>
              </w:rPr>
            </w:pPr>
          </w:p>
        </w:tc>
        <w:tc>
          <w:tcPr>
            <w:tcW w:w="1735" w:type="dxa"/>
            <w:gridSpan w:val="3"/>
            <w:vMerge w:val="continue"/>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432" w:type="dxa"/>
            <w:gridSpan w:val="6"/>
            <w:vMerge w:val="continue"/>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294" w:type="dxa"/>
            <w:gridSpan w:val="5"/>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人员支出</w:t>
            </w:r>
          </w:p>
        </w:tc>
        <w:tc>
          <w:tcPr>
            <w:tcW w:w="1235"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公用支出</w:t>
            </w:r>
          </w:p>
        </w:tc>
        <w:tc>
          <w:tcPr>
            <w:tcW w:w="1271" w:type="dxa"/>
            <w:gridSpan w:val="4"/>
            <w:vMerge w:val="continue"/>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277" w:type="dxa"/>
            <w:gridSpan w:val="5"/>
            <w:vMerge w:val="continue"/>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06" w:type="dxa"/>
            <w:gridSpan w:val="6"/>
            <w:vAlign w:val="center"/>
          </w:tcPr>
          <w:p>
            <w:pPr>
              <w:spacing w:line="4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局机关</w:t>
            </w:r>
          </w:p>
        </w:tc>
        <w:tc>
          <w:tcPr>
            <w:tcW w:w="1735" w:type="dxa"/>
            <w:gridSpan w:val="3"/>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457.91</w:t>
            </w:r>
          </w:p>
        </w:tc>
        <w:tc>
          <w:tcPr>
            <w:tcW w:w="1432" w:type="dxa"/>
            <w:gridSpan w:val="6"/>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1154.69</w:t>
            </w:r>
          </w:p>
        </w:tc>
        <w:tc>
          <w:tcPr>
            <w:tcW w:w="1294" w:type="dxa"/>
            <w:gridSpan w:val="5"/>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696.82</w:t>
            </w:r>
          </w:p>
        </w:tc>
        <w:tc>
          <w:tcPr>
            <w:tcW w:w="1235"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457.87</w:t>
            </w:r>
          </w:p>
        </w:tc>
        <w:tc>
          <w:tcPr>
            <w:tcW w:w="1271"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163.43</w:t>
            </w:r>
          </w:p>
        </w:tc>
        <w:tc>
          <w:tcPr>
            <w:tcW w:w="1277" w:type="dxa"/>
            <w:gridSpan w:val="5"/>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86" w:type="dxa"/>
            <w:gridSpan w:val="5"/>
            <w:vMerge w:val="restart"/>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机构名称</w:t>
            </w:r>
          </w:p>
        </w:tc>
        <w:tc>
          <w:tcPr>
            <w:tcW w:w="1724" w:type="dxa"/>
            <w:gridSpan w:val="3"/>
            <w:vMerge w:val="restart"/>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三公经费</w:t>
            </w:r>
          </w:p>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合计</w:t>
            </w:r>
          </w:p>
        </w:tc>
        <w:tc>
          <w:tcPr>
            <w:tcW w:w="6540" w:type="dxa"/>
            <w:gridSpan w:val="27"/>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86" w:type="dxa"/>
            <w:gridSpan w:val="5"/>
            <w:vMerge w:val="continue"/>
            <w:vAlign w:val="center"/>
          </w:tcPr>
          <w:p>
            <w:pPr>
              <w:spacing w:line="400" w:lineRule="exact"/>
              <w:jc w:val="center"/>
              <w:rPr>
                <w:rFonts w:ascii="仿宋_GB2312" w:hAnsi="仿宋_GB2312" w:eastAsia="仿宋_GB2312" w:cs="仿宋_GB2312"/>
                <w:sz w:val="32"/>
                <w:szCs w:val="32"/>
              </w:rPr>
            </w:pPr>
          </w:p>
        </w:tc>
        <w:tc>
          <w:tcPr>
            <w:tcW w:w="1724" w:type="dxa"/>
            <w:gridSpan w:val="3"/>
            <w:vMerge w:val="continue"/>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628" w:type="dxa"/>
            <w:gridSpan w:val="9"/>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公务接待费</w:t>
            </w:r>
          </w:p>
        </w:tc>
        <w:tc>
          <w:tcPr>
            <w:tcW w:w="1232"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公务用车运维费</w:t>
            </w:r>
          </w:p>
        </w:tc>
        <w:tc>
          <w:tcPr>
            <w:tcW w:w="2119" w:type="dxa"/>
            <w:gridSpan w:val="8"/>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公务用车购置费</w:t>
            </w:r>
          </w:p>
        </w:tc>
        <w:tc>
          <w:tcPr>
            <w:tcW w:w="456" w:type="dxa"/>
            <w:gridSpan w:val="5"/>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因公出国费</w:t>
            </w:r>
          </w:p>
        </w:tc>
        <w:tc>
          <w:tcPr>
            <w:tcW w:w="1105" w:type="dxa"/>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86" w:type="dxa"/>
            <w:gridSpan w:val="5"/>
            <w:vAlign w:val="center"/>
          </w:tcPr>
          <w:p>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局机关</w:t>
            </w:r>
          </w:p>
        </w:tc>
        <w:tc>
          <w:tcPr>
            <w:tcW w:w="1724" w:type="dxa"/>
            <w:gridSpan w:val="3"/>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5.8</w:t>
            </w:r>
            <w:r>
              <w:rPr>
                <w:rFonts w:hint="eastAsia" w:ascii="仿宋_GB2312" w:hAnsi="仿宋_GB2312" w:eastAsia="仿宋_GB2312" w:cs="仿宋_GB2312"/>
                <w:color w:val="000000"/>
                <w:sz w:val="32"/>
                <w:szCs w:val="32"/>
              </w:rPr>
              <w:t>3</w:t>
            </w:r>
          </w:p>
        </w:tc>
        <w:tc>
          <w:tcPr>
            <w:tcW w:w="1628" w:type="dxa"/>
            <w:gridSpan w:val="9"/>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83</w:t>
            </w:r>
          </w:p>
        </w:tc>
        <w:tc>
          <w:tcPr>
            <w:tcW w:w="1232"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2067" w:type="dxa"/>
            <w:gridSpan w:val="7"/>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50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105" w:type="dxa"/>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50" w:type="dxa"/>
            <w:gridSpan w:val="4"/>
            <w:vMerge w:val="restart"/>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机构名称</w:t>
            </w:r>
          </w:p>
        </w:tc>
        <w:tc>
          <w:tcPr>
            <w:tcW w:w="2521" w:type="dxa"/>
            <w:gridSpan w:val="8"/>
            <w:vMerge w:val="restart"/>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固定资产</w:t>
            </w:r>
          </w:p>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合计</w:t>
            </w:r>
          </w:p>
        </w:tc>
        <w:tc>
          <w:tcPr>
            <w:tcW w:w="1777" w:type="dxa"/>
            <w:gridSpan w:val="6"/>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tc>
        <w:tc>
          <w:tcPr>
            <w:tcW w:w="4002" w:type="dxa"/>
            <w:gridSpan w:val="17"/>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50" w:type="dxa"/>
            <w:gridSpan w:val="4"/>
            <w:vMerge w:val="continue"/>
            <w:vAlign w:val="center"/>
          </w:tcPr>
          <w:p>
            <w:pPr>
              <w:spacing w:line="400" w:lineRule="exact"/>
              <w:jc w:val="center"/>
              <w:rPr>
                <w:rFonts w:ascii="仿宋_GB2312" w:hAnsi="仿宋_GB2312" w:eastAsia="仿宋_GB2312" w:cs="仿宋_GB2312"/>
                <w:sz w:val="32"/>
                <w:szCs w:val="32"/>
              </w:rPr>
            </w:pPr>
          </w:p>
        </w:tc>
        <w:tc>
          <w:tcPr>
            <w:tcW w:w="2521" w:type="dxa"/>
            <w:gridSpan w:val="8"/>
            <w:vMerge w:val="continue"/>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777" w:type="dxa"/>
            <w:gridSpan w:val="6"/>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在用固定资产</w:t>
            </w:r>
          </w:p>
        </w:tc>
        <w:tc>
          <w:tcPr>
            <w:tcW w:w="2792" w:type="dxa"/>
            <w:gridSpan w:val="14"/>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出租固定资产</w:t>
            </w:r>
          </w:p>
        </w:tc>
        <w:tc>
          <w:tcPr>
            <w:tcW w:w="1210" w:type="dxa"/>
            <w:gridSpan w:val="3"/>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50" w:type="dxa"/>
            <w:gridSpan w:val="4"/>
            <w:vAlign w:val="center"/>
          </w:tcPr>
          <w:p>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局机关</w:t>
            </w:r>
          </w:p>
        </w:tc>
        <w:tc>
          <w:tcPr>
            <w:tcW w:w="2521" w:type="dxa"/>
            <w:gridSpan w:val="8"/>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1358.36</w:t>
            </w:r>
          </w:p>
        </w:tc>
        <w:tc>
          <w:tcPr>
            <w:tcW w:w="1777" w:type="dxa"/>
            <w:gridSpan w:val="6"/>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1358.36</w:t>
            </w:r>
          </w:p>
        </w:tc>
        <w:tc>
          <w:tcPr>
            <w:tcW w:w="2792" w:type="dxa"/>
            <w:gridSpan w:val="14"/>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210" w:type="dxa"/>
            <w:gridSpan w:val="3"/>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5"/>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黑体" w:hAnsi="黑体" w:eastAsia="黑体" w:cs="黑体"/>
                <w:b/>
                <w:color w:val="000000"/>
                <w:sz w:val="32"/>
                <w:szCs w:val="32"/>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86" w:type="dxa"/>
            <w:gridSpan w:val="5"/>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整体支出绩效定性目标及实施计划完成情况</w:t>
            </w:r>
          </w:p>
        </w:tc>
        <w:tc>
          <w:tcPr>
            <w:tcW w:w="4326" w:type="dxa"/>
            <w:gridSpan w:val="1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预期目标</w:t>
            </w:r>
          </w:p>
        </w:tc>
        <w:tc>
          <w:tcPr>
            <w:tcW w:w="3938"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6" w:hRule="atLeast"/>
          <w:jc w:val="center"/>
        </w:trPr>
        <w:tc>
          <w:tcPr>
            <w:tcW w:w="1086" w:type="dxa"/>
            <w:gridSpan w:val="5"/>
            <w:vMerge w:val="continue"/>
            <w:vAlign w:val="center"/>
          </w:tcPr>
          <w:p>
            <w:pPr>
              <w:spacing w:line="400" w:lineRule="exact"/>
              <w:rPr>
                <w:rFonts w:ascii="仿宋_GB2312" w:hAnsi="仿宋_GB2312" w:eastAsia="仿宋_GB2312" w:cs="仿宋_GB2312"/>
                <w:sz w:val="32"/>
                <w:szCs w:val="32"/>
              </w:rPr>
            </w:pPr>
          </w:p>
        </w:tc>
        <w:tc>
          <w:tcPr>
            <w:tcW w:w="4326" w:type="dxa"/>
            <w:gridSpan w:val="14"/>
            <w:vAlign w:val="center"/>
          </w:tcPr>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目标1：全年预算申请到位和下达数量在95%以上，三公经费变动率≤0。</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目标2:社会效益、经济效益、生态效益、可持续影响和社会公众满意度达到预期目标。</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目标3：养老、工伤、失业保险、农村城镇保险发放率。</w:t>
            </w:r>
          </w:p>
        </w:tc>
        <w:tc>
          <w:tcPr>
            <w:tcW w:w="3938" w:type="dxa"/>
            <w:gridSpan w:val="16"/>
            <w:vAlign w:val="center"/>
          </w:tcPr>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1、全年预算申请到位和下达数量均为100%，三公经费合计</w:t>
            </w:r>
            <w:r>
              <w:rPr>
                <w:rFonts w:hint="eastAsia" w:ascii="仿宋_GB2312" w:hAnsi="仿宋_GB2312" w:eastAsia="仿宋_GB2312" w:cs="仿宋_GB2312"/>
                <w:color w:val="000000"/>
                <w:kern w:val="0"/>
                <w:sz w:val="32"/>
                <w:szCs w:val="32"/>
                <w:lang w:val="en-US" w:eastAsia="zh-CN"/>
              </w:rPr>
              <w:t>5.83</w:t>
            </w:r>
            <w:r>
              <w:rPr>
                <w:rFonts w:hint="eastAsia" w:ascii="仿宋_GB2312" w:hAnsi="仿宋_GB2312" w:eastAsia="仿宋_GB2312" w:cs="仿宋_GB2312"/>
                <w:color w:val="000000"/>
                <w:kern w:val="0"/>
                <w:sz w:val="32"/>
                <w:szCs w:val="32"/>
              </w:rPr>
              <w:t>万元，变动率≤0。</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2、社会效益、经济效益、生态效益、可持续影响和社会公众满意度达到预期目标。</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养老、工伤、失业保险、农村城镇保险发放率达到100%。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03" w:type="dxa"/>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整体支出</w:t>
            </w:r>
          </w:p>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绩效定量目标及实施计划完成情况</w:t>
            </w:r>
          </w:p>
        </w:tc>
        <w:tc>
          <w:tcPr>
            <w:tcW w:w="2592"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评价内容</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绩效内容</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w:t>
            </w:r>
          </w:p>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目标值</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产出目标</w:t>
            </w:r>
          </w:p>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（部门工作实绩，即绩效办制定的单位年度考核计分办法中考核的部门工作实绩内容）</w:t>
            </w:r>
          </w:p>
        </w:tc>
        <w:tc>
          <w:tcPr>
            <w:tcW w:w="1759" w:type="dxa"/>
            <w:gridSpan w:val="4"/>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质量指标</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三公经费控制率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spacing w:line="400" w:lineRule="exact"/>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政府采购执行率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spacing w:line="400" w:lineRule="exact"/>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公务卡刷卡率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spacing w:line="400" w:lineRule="exact"/>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固定资产利用率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spacing w:line="400" w:lineRule="exact"/>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养老、工伤、失业保险、农村城镇保险发放率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数量指标</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财政供养人员控制率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“三公经费”变动率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社会养老保险</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4000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机关事业养老保险</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0100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城乡居民养老保险</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800</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工伤保险</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205</w:t>
            </w:r>
            <w:r>
              <w:rPr>
                <w:rFonts w:ascii="仿宋_GB2312" w:hAnsi="仿宋_GB2312" w:eastAsia="仿宋_GB2312" w:cs="仿宋_GB2312"/>
                <w:color w:val="000000"/>
                <w:sz w:val="32"/>
                <w:szCs w:val="32"/>
              </w:rPr>
              <w:t>4</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205</w:t>
            </w:r>
            <w:r>
              <w:rPr>
                <w:rFonts w:ascii="仿宋_GB2312" w:hAnsi="仿宋_GB2312" w:eastAsia="仿宋_GB2312" w:cs="仿宋_GB2312"/>
                <w:color w:val="00000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失业保险</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85.7</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w:t>
            </w:r>
            <w:r>
              <w:rPr>
                <w:rFonts w:ascii="仿宋_GB2312" w:hAnsi="仿宋_GB2312" w:eastAsia="仿宋_GB2312" w:cs="仿宋_GB2312"/>
                <w:b/>
                <w:color w:val="000000"/>
                <w:sz w:val="32"/>
                <w:szCs w:val="32"/>
              </w:rPr>
              <w:t>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时效指标</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专项资金到位率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春节前下达全部资金95%以上，结余不超过上年结转</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春节前下达全部资金100%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成本指标</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财政支出绩效目标</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3062</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效益目标</w:t>
            </w:r>
          </w:p>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（预期实现的效益）</w:t>
            </w:r>
          </w:p>
        </w:tc>
        <w:tc>
          <w:tcPr>
            <w:tcW w:w="1759"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社会效益</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养老、工伤、失业保险、农村城镇保险保障率进一步提高</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经济效益</w:t>
            </w:r>
          </w:p>
        </w:tc>
        <w:tc>
          <w:tcPr>
            <w:tcW w:w="3707" w:type="dxa"/>
            <w:gridSpan w:val="16"/>
            <w:vAlign w:val="center"/>
          </w:tcPr>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养老、工伤、失业保险、农村城镇保险保障给社会带来更好地效益</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restart"/>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生态效益</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Merge w:val="continue"/>
            <w:vAlign w:val="center"/>
          </w:tcPr>
          <w:p>
            <w:pPr>
              <w:autoSpaceDN w:val="0"/>
              <w:spacing w:line="400" w:lineRule="exact"/>
              <w:jc w:val="center"/>
              <w:textAlignment w:val="center"/>
              <w:rPr>
                <w:rFonts w:ascii="仿宋_GB2312" w:hAnsi="仿宋_GB2312" w:eastAsia="仿宋_GB2312" w:cs="仿宋_GB2312"/>
                <w:sz w:val="32"/>
                <w:szCs w:val="32"/>
              </w:rPr>
            </w:pP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03" w:type="dxa"/>
            <w:vMerge w:val="continue"/>
            <w:vAlign w:val="center"/>
          </w:tcPr>
          <w:p>
            <w:pPr>
              <w:spacing w:line="400" w:lineRule="exact"/>
              <w:rPr>
                <w:rFonts w:ascii="仿宋_GB2312" w:hAnsi="仿宋_GB2312" w:eastAsia="仿宋_GB2312" w:cs="仿宋_GB2312"/>
                <w:sz w:val="32"/>
                <w:szCs w:val="32"/>
              </w:rPr>
            </w:pPr>
          </w:p>
        </w:tc>
        <w:tc>
          <w:tcPr>
            <w:tcW w:w="833" w:type="dxa"/>
            <w:gridSpan w:val="6"/>
            <w:vMerge w:val="continue"/>
            <w:vAlign w:val="center"/>
          </w:tcPr>
          <w:p>
            <w:pPr>
              <w:autoSpaceDN w:val="0"/>
              <w:spacing w:line="400" w:lineRule="exact"/>
              <w:rPr>
                <w:rFonts w:ascii="仿宋_GB2312" w:hAnsi="仿宋_GB2312" w:eastAsia="仿宋_GB2312" w:cs="仿宋_GB2312"/>
                <w:sz w:val="32"/>
                <w:szCs w:val="32"/>
              </w:rPr>
            </w:pPr>
          </w:p>
        </w:tc>
        <w:tc>
          <w:tcPr>
            <w:tcW w:w="1759" w:type="dxa"/>
            <w:gridSpan w:val="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社会公众或服务对象满意度</w:t>
            </w:r>
          </w:p>
        </w:tc>
        <w:tc>
          <w:tcPr>
            <w:tcW w:w="3707" w:type="dxa"/>
            <w:gridSpan w:val="1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社会公众满意度</w:t>
            </w:r>
          </w:p>
        </w:tc>
        <w:tc>
          <w:tcPr>
            <w:tcW w:w="1088" w:type="dxa"/>
            <w:gridSpan w:val="6"/>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w:t>
            </w:r>
          </w:p>
        </w:tc>
        <w:tc>
          <w:tcPr>
            <w:tcW w:w="1160"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395"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绩效自评综合得分</w:t>
            </w:r>
          </w:p>
        </w:tc>
        <w:tc>
          <w:tcPr>
            <w:tcW w:w="5955" w:type="dxa"/>
            <w:gridSpan w:val="2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ascii="仿宋_GB2312" w:hAnsi="仿宋_GB2312" w:eastAsia="仿宋_GB2312" w:cs="仿宋_GB2312"/>
                <w:color w:val="000000"/>
                <w:sz w:val="32"/>
                <w:szCs w:val="3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395"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评价等次</w:t>
            </w:r>
          </w:p>
        </w:tc>
        <w:tc>
          <w:tcPr>
            <w:tcW w:w="5955" w:type="dxa"/>
            <w:gridSpan w:val="24"/>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gridSpan w:val="35"/>
            <w:vAlign w:val="center"/>
          </w:tcPr>
          <w:p>
            <w:pPr>
              <w:autoSpaceDN w:val="0"/>
              <w:spacing w:line="400" w:lineRule="exact"/>
              <w:jc w:val="center"/>
              <w:textAlignment w:val="center"/>
              <w:rPr>
                <w:rFonts w:ascii="仿宋_GB2312" w:hAnsi="仿宋_GB2312" w:eastAsia="仿宋_GB2312" w:cs="仿宋_GB2312"/>
                <w:b/>
                <w:color w:val="000000"/>
                <w:sz w:val="32"/>
                <w:szCs w:val="32"/>
              </w:rPr>
            </w:pPr>
            <w:r>
              <w:rPr>
                <w:rFonts w:hint="eastAsia" w:ascii="黑体" w:hAnsi="黑体" w:eastAsia="黑体" w:cs="黑体"/>
                <w:b/>
                <w:color w:val="000000"/>
                <w:sz w:val="32"/>
                <w:szCs w:val="32"/>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  名</w:t>
            </w:r>
          </w:p>
        </w:tc>
        <w:tc>
          <w:tcPr>
            <w:tcW w:w="2898"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职务/职称</w:t>
            </w:r>
          </w:p>
        </w:tc>
        <w:tc>
          <w:tcPr>
            <w:tcW w:w="2470"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  位</w:t>
            </w:r>
          </w:p>
        </w:tc>
        <w:tc>
          <w:tcPr>
            <w:tcW w:w="3068" w:type="dxa"/>
            <w:gridSpan w:val="1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李君梅</w:t>
            </w:r>
          </w:p>
        </w:tc>
        <w:tc>
          <w:tcPr>
            <w:tcW w:w="2898"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党组书记、局长</w:t>
            </w:r>
          </w:p>
        </w:tc>
        <w:tc>
          <w:tcPr>
            <w:tcW w:w="2470"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人社局</w:t>
            </w:r>
          </w:p>
        </w:tc>
        <w:tc>
          <w:tcPr>
            <w:tcW w:w="3068" w:type="dxa"/>
            <w:gridSpan w:val="1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付海霞</w:t>
            </w:r>
          </w:p>
        </w:tc>
        <w:tc>
          <w:tcPr>
            <w:tcW w:w="2898"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副局长</w:t>
            </w:r>
          </w:p>
        </w:tc>
        <w:tc>
          <w:tcPr>
            <w:tcW w:w="2470"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人社局</w:t>
            </w:r>
          </w:p>
        </w:tc>
        <w:tc>
          <w:tcPr>
            <w:tcW w:w="3068" w:type="dxa"/>
            <w:gridSpan w:val="1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易 莺</w:t>
            </w:r>
          </w:p>
        </w:tc>
        <w:tc>
          <w:tcPr>
            <w:tcW w:w="2898"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计财股长</w:t>
            </w:r>
          </w:p>
        </w:tc>
        <w:tc>
          <w:tcPr>
            <w:tcW w:w="2470"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人社局</w:t>
            </w:r>
          </w:p>
        </w:tc>
        <w:tc>
          <w:tcPr>
            <w:tcW w:w="3068" w:type="dxa"/>
            <w:gridSpan w:val="1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隋伟</w:t>
            </w:r>
          </w:p>
        </w:tc>
        <w:tc>
          <w:tcPr>
            <w:tcW w:w="2898"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  计</w:t>
            </w:r>
          </w:p>
        </w:tc>
        <w:tc>
          <w:tcPr>
            <w:tcW w:w="2470"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人社局</w:t>
            </w:r>
          </w:p>
        </w:tc>
        <w:tc>
          <w:tcPr>
            <w:tcW w:w="3068" w:type="dxa"/>
            <w:gridSpan w:val="1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14" w:type="dxa"/>
            <w:gridSpan w:val="2"/>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钟雯</w:t>
            </w:r>
          </w:p>
        </w:tc>
        <w:tc>
          <w:tcPr>
            <w:tcW w:w="2898" w:type="dxa"/>
            <w:gridSpan w:val="11"/>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  计</w:t>
            </w:r>
          </w:p>
        </w:tc>
        <w:tc>
          <w:tcPr>
            <w:tcW w:w="2470" w:type="dxa"/>
            <w:gridSpan w:val="10"/>
            <w:vAlign w:val="center"/>
          </w:tcPr>
          <w:p>
            <w:pPr>
              <w:autoSpaceDN w:val="0"/>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人社局</w:t>
            </w:r>
          </w:p>
        </w:tc>
        <w:tc>
          <w:tcPr>
            <w:tcW w:w="3068" w:type="dxa"/>
            <w:gridSpan w:val="12"/>
            <w:vAlign w:val="center"/>
          </w:tcPr>
          <w:p>
            <w:pPr>
              <w:autoSpaceDN w:val="0"/>
              <w:spacing w:line="400" w:lineRule="exact"/>
              <w:jc w:val="center"/>
              <w:textAlignment w:val="center"/>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37" w:hRule="atLeast"/>
          <w:jc w:val="center"/>
        </w:trPr>
        <w:tc>
          <w:tcPr>
            <w:tcW w:w="0" w:type="auto"/>
            <w:gridSpan w:val="35"/>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评价组组长（签字）：</w:t>
            </w:r>
          </w:p>
          <w:p>
            <w:pPr>
              <w:widowControl/>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自评真实可靠，绩效明显。                                           </w:t>
            </w:r>
          </w:p>
          <w:p>
            <w:pPr>
              <w:autoSpaceDN w:val="0"/>
              <w:spacing w:line="400" w:lineRule="exact"/>
              <w:jc w:val="left"/>
              <w:textAlignment w:val="center"/>
              <w:rPr>
                <w:rFonts w:ascii="仿宋_GB2312" w:hAnsi="仿宋_GB2312" w:eastAsia="仿宋_GB2312" w:cs="仿宋_GB2312"/>
                <w:color w:val="000000"/>
                <w:sz w:val="32"/>
                <w:szCs w:val="32"/>
              </w:rPr>
            </w:pPr>
          </w:p>
          <w:p>
            <w:pPr>
              <w:autoSpaceDN w:val="0"/>
              <w:spacing w:line="400" w:lineRule="exact"/>
              <w:jc w:val="left"/>
              <w:textAlignment w:val="center"/>
              <w:rPr>
                <w:rFonts w:ascii="仿宋_GB2312" w:hAnsi="仿宋_GB2312" w:eastAsia="仿宋_GB2312" w:cs="仿宋_GB2312"/>
                <w:color w:val="000000"/>
                <w:sz w:val="32"/>
                <w:szCs w:val="32"/>
              </w:rPr>
            </w:pPr>
          </w:p>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2021 年 </w:t>
            </w:r>
            <w:r>
              <w:rPr>
                <w:rFonts w:ascii="仿宋_GB2312" w:hAnsi="仿宋_GB2312" w:eastAsia="仿宋_GB2312" w:cs="仿宋_GB2312"/>
                <w:color w:val="000000"/>
                <w:sz w:val="32"/>
                <w:szCs w:val="32"/>
              </w:rPr>
              <w:t>07</w:t>
            </w:r>
            <w:r>
              <w:rPr>
                <w:rFonts w:hint="eastAsia" w:ascii="仿宋_GB2312" w:hAnsi="仿宋_GB2312" w:eastAsia="仿宋_GB2312" w:cs="仿宋_GB2312"/>
                <w:color w:val="000000"/>
                <w:sz w:val="32"/>
                <w:szCs w:val="32"/>
              </w:rPr>
              <w:t xml:space="preserve">  月  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40" w:hRule="atLeast"/>
          <w:jc w:val="center"/>
        </w:trPr>
        <w:tc>
          <w:tcPr>
            <w:tcW w:w="0" w:type="auto"/>
            <w:gridSpan w:val="35"/>
            <w:vAlign w:val="center"/>
          </w:tcPr>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部门（单位）意见：</w:t>
            </w:r>
          </w:p>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widowControl/>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自评真实可靠，绩效明显。</w:t>
            </w:r>
          </w:p>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部门（单位）负责人（签字）：</w:t>
            </w:r>
          </w:p>
          <w:p>
            <w:pPr>
              <w:autoSpaceDN w:val="0"/>
              <w:spacing w:line="40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2021 年 </w:t>
            </w:r>
            <w:r>
              <w:rPr>
                <w:rFonts w:ascii="仿宋_GB2312" w:hAnsi="仿宋_GB2312" w:eastAsia="仿宋_GB2312" w:cs="仿宋_GB2312"/>
                <w:color w:val="000000"/>
                <w:sz w:val="32"/>
                <w:szCs w:val="32"/>
              </w:rPr>
              <w:t>07</w:t>
            </w:r>
            <w:r>
              <w:rPr>
                <w:rFonts w:hint="eastAsia" w:ascii="仿宋_GB2312" w:hAnsi="仿宋_GB2312" w:eastAsia="仿宋_GB2312" w:cs="仿宋_GB2312"/>
                <w:color w:val="000000"/>
                <w:sz w:val="32"/>
                <w:szCs w:val="32"/>
              </w:rPr>
              <w:t xml:space="preserve">  月 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 xml:space="preserve"> 日</w:t>
            </w:r>
          </w:p>
        </w:tc>
      </w:tr>
    </w:tbl>
    <w:p>
      <w:pPr>
        <w:rPr>
          <w:rFonts w:eastAsia="仿宋_GB2312" w:cs="仿宋_GB2312"/>
          <w:bCs/>
          <w:sz w:val="32"/>
          <w:szCs w:val="32"/>
        </w:rPr>
      </w:pPr>
      <w:r>
        <w:rPr>
          <w:rFonts w:hint="eastAsia" w:eastAsia="仿宋_GB2312" w:cs="仿宋_GB2312"/>
          <w:bCs/>
          <w:sz w:val="32"/>
          <w:szCs w:val="32"/>
        </w:rPr>
        <w:t xml:space="preserve">填报人（签名）：   隋伟 </w:t>
      </w:r>
      <w:r>
        <w:rPr>
          <w:rFonts w:eastAsia="仿宋_GB2312" w:cs="仿宋_GB2312"/>
          <w:bCs/>
          <w:sz w:val="32"/>
          <w:szCs w:val="32"/>
        </w:rPr>
        <w:t xml:space="preserve">  </w:t>
      </w:r>
      <w:r>
        <w:rPr>
          <w:rFonts w:hint="eastAsia" w:eastAsia="仿宋_GB2312" w:cs="仿宋_GB2312"/>
          <w:bCs/>
          <w:sz w:val="32"/>
          <w:szCs w:val="32"/>
        </w:rPr>
        <w:t xml:space="preserve">  </w:t>
      </w:r>
      <w:r>
        <w:rPr>
          <w:rFonts w:eastAsia="仿宋_GB2312" w:cs="仿宋_GB2312"/>
          <w:bCs/>
          <w:sz w:val="32"/>
          <w:szCs w:val="32"/>
        </w:rPr>
        <w:t xml:space="preserve"> </w:t>
      </w:r>
      <w:r>
        <w:rPr>
          <w:rFonts w:hint="eastAsia" w:eastAsia="仿宋_GB2312" w:cs="仿宋_GB2312"/>
          <w:bCs/>
          <w:sz w:val="32"/>
          <w:szCs w:val="32"/>
        </w:rPr>
        <w:t xml:space="preserve">               联系电话：7</w:t>
      </w:r>
      <w:r>
        <w:rPr>
          <w:rFonts w:eastAsia="仿宋_GB2312" w:cs="仿宋_GB2312"/>
          <w:bCs/>
          <w:sz w:val="32"/>
          <w:szCs w:val="32"/>
        </w:rPr>
        <w:t>608823</w:t>
      </w:r>
    </w:p>
    <w:tbl>
      <w:tblPr>
        <w:tblStyle w:val="6"/>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996" w:type="dxa"/>
          </w:tcPr>
          <w:p>
            <w:pPr>
              <w:jc w:val="center"/>
              <w:rPr>
                <w:b/>
                <w:sz w:val="32"/>
                <w:szCs w:val="32"/>
              </w:rPr>
            </w:pPr>
            <w:bookmarkStart w:id="0" w:name="_Hlk46413598"/>
            <w:r>
              <w:rPr>
                <w:rFonts w:hint="eastAsia"/>
                <w:b/>
                <w:sz w:val="32"/>
                <w:szCs w:val="32"/>
              </w:rPr>
              <w:t>岳阳人力资源和社会保障局</w:t>
            </w:r>
          </w:p>
          <w:p>
            <w:pPr>
              <w:jc w:val="center"/>
              <w:rPr>
                <w:b/>
                <w:sz w:val="32"/>
                <w:szCs w:val="32"/>
              </w:rPr>
            </w:pPr>
            <w:r>
              <w:rPr>
                <w:rFonts w:hint="eastAsia"/>
                <w:b/>
                <w:sz w:val="32"/>
                <w:szCs w:val="32"/>
              </w:rPr>
              <w:t>2020年部门整体财政支出绩效</w:t>
            </w:r>
          </w:p>
          <w:p>
            <w:pPr>
              <w:jc w:val="center"/>
              <w:rPr>
                <w:b/>
                <w:sz w:val="32"/>
                <w:szCs w:val="32"/>
              </w:rPr>
            </w:pPr>
            <w:r>
              <w:rPr>
                <w:rFonts w:hint="eastAsia"/>
                <w:b/>
                <w:sz w:val="32"/>
                <w:szCs w:val="32"/>
              </w:rPr>
              <w:t>自评报告</w:t>
            </w:r>
          </w:p>
          <w:bookmarkEnd w:id="0"/>
          <w:p>
            <w:pPr>
              <w:widowControl/>
              <w:spacing w:line="600" w:lineRule="exact"/>
              <w:ind w:firstLine="640"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一、部门基本概况</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（一）职能职责</w:t>
            </w:r>
          </w:p>
          <w:p>
            <w:pPr>
              <w:pStyle w:val="5"/>
              <w:shd w:val="clear" w:color="auto" w:fill="FFFFFF"/>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1、负责贯彻执行国家、省人社厅的方针、政策和法律、法规。</w:t>
            </w:r>
          </w:p>
          <w:p>
            <w:pPr>
              <w:pStyle w:val="5"/>
              <w:shd w:val="clear" w:color="auto" w:fill="FFFFFF"/>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负责劳动力市场建设，完善市场就业机制，组织开展劳务交流，指导并组织农村剩余劳动力开发与跨地区有序流动工作；组织下岗、失业人员的转岗培训；实施劳动力预备制建设，开展就业前培训；开展创业贷款工作；对全县劳动就业服务企业进行业务指导；负责全县失业保险基金的征缴、发放工作。</w:t>
            </w:r>
          </w:p>
          <w:p>
            <w:pPr>
              <w:pStyle w:val="5"/>
              <w:shd w:val="clear" w:color="auto" w:fill="FFFFFF"/>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负责企业养老保险政策宣传；负责办理缴费人社会保险登记、变更登记、注销登记及年检工作；负责养老保险缴费申报的审核、缴费基数的核定及机关事业养老保险的征缴和清欠工作；负责缴费人台帐、卡片、申报表、明细表的建立和管理，录入和管理个人账户，打印和发放个人账户对帐单；建立和管理非公有制企业职工、个体户、自由职业者的档案；负责养老保险的查询和接续以及个人帐户的转移和支付；对职工退休进行审核、计算养老金待遇；对离退休职工的人员增减进行调整，审核办理离退休职工、在职职工死亡后的社会保险待遇；对缴费单位的缴费情况进行稽核，对养老金的领取资格进行认定。</w:t>
            </w:r>
          </w:p>
          <w:p>
            <w:pPr>
              <w:pStyle w:val="5"/>
              <w:shd w:val="clear" w:color="auto" w:fill="FFFFFF"/>
              <w:spacing w:beforeAutospacing="0" w:afterAutospacing="0"/>
              <w:ind w:firstLine="640" w:firstLineChars="200"/>
              <w:rPr>
                <w:rFonts w:ascii="仿宋" w:hAnsi="仿宋" w:eastAsia="仿宋" w:cs="仿宋"/>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负责对工伤定点医疗机构、职业康复机构的协议签订及管理；负责参保职工因工负伤医疗期间的医疗跟踪管理工作，办理转外地治疗的有关手续；负责工伤职工待遇审核，支付和工亡职工供养遗属的待遇项目审核、支付。</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（二）机构设置</w:t>
            </w:r>
          </w:p>
          <w:p>
            <w:pPr>
              <w:pStyle w:val="5"/>
              <w:shd w:val="clear" w:color="auto" w:fill="FFFFFF"/>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sz w:val="32"/>
                <w:szCs w:val="32"/>
              </w:rPr>
              <w:t>岳阳县人力资源和社会保障局有内设股室21个，</w:t>
            </w:r>
            <w:r>
              <w:rPr>
                <w:rFonts w:hint="eastAsia" w:ascii="仿宋" w:hAnsi="仿宋" w:eastAsia="仿宋" w:cs="微软雅黑"/>
                <w:color w:val="555555"/>
                <w:sz w:val="32"/>
                <w:szCs w:val="32"/>
                <w:shd w:val="clear" w:color="auto" w:fill="FFFFFF"/>
              </w:rPr>
              <w:t>机关有干部职工80人(其中离退休20人)，党员75人，大专及其以上学历80人，副科级及其以上干部24人</w:t>
            </w:r>
            <w:r>
              <w:rPr>
                <w:rFonts w:hint="eastAsia" w:ascii="仿宋" w:hAnsi="仿宋" w:eastAsia="仿宋" w:cs="仿宋"/>
                <w:sz w:val="32"/>
                <w:szCs w:val="32"/>
              </w:rPr>
              <w:t>。</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（三）部门预算单位构成</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单位所属二级社会保险服务中心、机关事业单位养老保险服务中心、劳动就业服务中心、人力资源服务中心、工伤保险基金管理服务中心为财务独立核算二级机构，因此2021年度部门预算为包括本级预算以及所属二级机构预算在内的汇总预算。</w:t>
            </w:r>
          </w:p>
          <w:p>
            <w:pPr>
              <w:rPr>
                <w:b/>
                <w:sz w:val="32"/>
                <w:szCs w:val="32"/>
              </w:rPr>
            </w:pPr>
            <w:r>
              <w:rPr>
                <w:rFonts w:hint="eastAsia"/>
                <w:b/>
                <w:sz w:val="32"/>
                <w:szCs w:val="32"/>
              </w:rPr>
              <w:t>二、单位整体支出管理及使用情况</w:t>
            </w:r>
          </w:p>
          <w:p>
            <w:pPr>
              <w:ind w:firstLine="480" w:firstLineChars="150"/>
              <w:rPr>
                <w:rFonts w:ascii="仿宋" w:hAnsi="仿宋" w:eastAsia="仿宋" w:cs="仿宋"/>
                <w:color w:val="000000"/>
                <w:kern w:val="0"/>
                <w:sz w:val="32"/>
                <w:szCs w:val="32"/>
              </w:rPr>
            </w:pPr>
            <w:r>
              <w:rPr>
                <w:rFonts w:hint="eastAsia" w:ascii="仿宋" w:hAnsi="仿宋" w:eastAsia="仿宋" w:cs="仿宋"/>
                <w:color w:val="000000"/>
                <w:kern w:val="0"/>
                <w:sz w:val="32"/>
                <w:szCs w:val="32"/>
              </w:rPr>
              <w:t>（一）基本支出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2020年基本支出共1457.91万元，主要用于人员支出696.82万元，公用支出457.87万元，其中“三公”经费合计5.83万元，包括公务接待费5.83万。</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（二）专项支出</w:t>
            </w:r>
          </w:p>
          <w:p>
            <w:pPr>
              <w:ind w:firstLine="640" w:firstLineChars="200"/>
              <w:rPr>
                <w:sz w:val="32"/>
                <w:szCs w:val="32"/>
              </w:rPr>
            </w:pPr>
            <w:r>
              <w:rPr>
                <w:rFonts w:hint="eastAsia" w:ascii="仿宋" w:hAnsi="仿宋" w:eastAsia="仿宋" w:cs="仿宋"/>
                <w:color w:val="000000"/>
                <w:kern w:val="0"/>
                <w:sz w:val="32"/>
                <w:szCs w:val="32"/>
              </w:rPr>
              <w:t>2020年财政预算安排专项资金163.43万，专项资金按实际情况实行了专款专用，单位分管领导对资金的使用进行全程监督，保证资金使用的合规性。</w:t>
            </w:r>
          </w:p>
          <w:p>
            <w:pPr>
              <w:rPr>
                <w:b/>
                <w:sz w:val="32"/>
                <w:szCs w:val="32"/>
              </w:rPr>
            </w:pPr>
            <w:r>
              <w:rPr>
                <w:rFonts w:hint="eastAsia"/>
                <w:b/>
                <w:sz w:val="32"/>
                <w:szCs w:val="32"/>
              </w:rPr>
              <w:t>三、绩效分析</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预算管理</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1、控制日常公用经费开支，年日常公用经费457.87万元，主要用于人员经费开支，办公电脑耗材，办公室日常用品、房屋设备维修及保养等开支。</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2、“三公”经费控制率100%。</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3、管理制度健全，按照县财政有关文件，严格按照制度执行。</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4、预决算信息公开性，按照规定的内容、时间在政府网站公开预决算信息，做到基础数据信息和会计资料真实、完整、准确。</w:t>
            </w:r>
          </w:p>
          <w:p>
            <w:pPr>
              <w:rPr>
                <w:b/>
                <w:sz w:val="32"/>
                <w:szCs w:val="32"/>
              </w:rPr>
            </w:pPr>
            <w:r>
              <w:rPr>
                <w:rFonts w:hint="eastAsia"/>
                <w:b/>
                <w:sz w:val="32"/>
                <w:szCs w:val="32"/>
              </w:rPr>
              <w:t>四、存在的主要问题</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1、监督管理机制还有待加强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2、财务工作是一个单位的命脉，创新机制正在逐步加强，要求财务工作水平越来越高。</w:t>
            </w:r>
          </w:p>
          <w:p>
            <w:pPr>
              <w:rPr>
                <w:b/>
                <w:sz w:val="32"/>
                <w:szCs w:val="32"/>
              </w:rPr>
            </w:pPr>
            <w:r>
              <w:rPr>
                <w:rFonts w:hint="eastAsia"/>
                <w:b/>
                <w:sz w:val="32"/>
                <w:szCs w:val="32"/>
              </w:rPr>
              <w:t>五、改进措施</w:t>
            </w:r>
          </w:p>
          <w:p>
            <w:pPr>
              <w:ind w:firstLine="480" w:firstLineChars="150"/>
              <w:rPr>
                <w:rFonts w:ascii="仿宋" w:hAnsi="仿宋" w:eastAsia="仿宋" w:cs="仿宋"/>
                <w:color w:val="000000"/>
                <w:kern w:val="0"/>
                <w:sz w:val="32"/>
                <w:szCs w:val="32"/>
              </w:rPr>
            </w:pPr>
            <w:r>
              <w:rPr>
                <w:rFonts w:hint="eastAsia" w:ascii="仿宋" w:hAnsi="仿宋" w:eastAsia="仿宋" w:cs="仿宋"/>
                <w:color w:val="000000"/>
                <w:kern w:val="0"/>
                <w:sz w:val="32"/>
                <w:szCs w:val="32"/>
              </w:rPr>
              <w:t>1、进一步完善财务制度，规范财经纪律，严格控制非生产性开支。</w:t>
            </w:r>
          </w:p>
          <w:p>
            <w:pPr>
              <w:ind w:firstLine="480" w:firstLineChars="150"/>
              <w:rPr>
                <w:rFonts w:ascii="仿宋" w:hAnsi="仿宋" w:eastAsia="仿宋" w:cs="仿宋"/>
                <w:color w:val="000000"/>
                <w:kern w:val="0"/>
                <w:sz w:val="32"/>
                <w:szCs w:val="32"/>
              </w:rPr>
            </w:pPr>
            <w:r>
              <w:rPr>
                <w:rFonts w:hint="eastAsia" w:ascii="仿宋" w:hAnsi="仿宋" w:eastAsia="仿宋" w:cs="仿宋"/>
                <w:color w:val="000000"/>
                <w:kern w:val="0"/>
                <w:sz w:val="32"/>
                <w:szCs w:val="32"/>
              </w:rPr>
              <w:t>2、充实财务人员，加强财务人员培训，不断提高财务人员素质。</w:t>
            </w:r>
          </w:p>
          <w:p>
            <w:pPr>
              <w:rPr>
                <w:b/>
                <w:sz w:val="32"/>
                <w:szCs w:val="32"/>
              </w:rPr>
            </w:pPr>
            <w:r>
              <w:rPr>
                <w:rFonts w:hint="eastAsia"/>
                <w:b/>
                <w:sz w:val="32"/>
                <w:szCs w:val="32"/>
              </w:rPr>
              <w:t>六、评分结论</w:t>
            </w:r>
          </w:p>
          <w:p>
            <w:pPr>
              <w:ind w:firstLine="640" w:firstLineChars="200"/>
              <w:rPr>
                <w:sz w:val="32"/>
                <w:szCs w:val="32"/>
              </w:rPr>
            </w:pPr>
            <w:r>
              <w:rPr>
                <w:rFonts w:hint="eastAsia" w:ascii="仿宋" w:hAnsi="仿宋" w:eastAsia="仿宋" w:cs="仿宋"/>
                <w:color w:val="000000"/>
                <w:kern w:val="0"/>
                <w:sz w:val="32"/>
                <w:szCs w:val="32"/>
              </w:rPr>
              <w:t>综合以上各项指标，财务管理健全规范，没有发生违法违规现象，财政局2020年的部门整体支出绩效自我评价得到96分，自评结果：优秀。我们将在以后的工作中加强预算管理，严格控制各项经费的开支，提高经费的使用效率。</w:t>
            </w:r>
            <w:r>
              <w:rPr>
                <w:rFonts w:hint="eastAsia"/>
                <w:sz w:val="32"/>
                <w:szCs w:val="32"/>
              </w:rPr>
              <w:t xml:space="preserve">                            </w:t>
            </w:r>
          </w:p>
          <w:p>
            <w:pPr>
              <w:ind w:firstLine="640" w:firstLineChars="200"/>
              <w:rPr>
                <w:sz w:val="32"/>
                <w:szCs w:val="32"/>
              </w:rPr>
            </w:pPr>
          </w:p>
          <w:p>
            <w:pPr>
              <w:ind w:firstLine="640" w:firstLineChars="200"/>
              <w:rPr>
                <w:rFonts w:eastAsia="楷体_GB2312"/>
                <w:bCs/>
                <w:sz w:val="32"/>
                <w:szCs w:val="32"/>
              </w:rPr>
            </w:pPr>
            <w:r>
              <w:rPr>
                <w:rFonts w:hint="eastAsia"/>
                <w:sz w:val="32"/>
                <w:szCs w:val="32"/>
              </w:rPr>
              <w:t xml:space="preserve">                           2020年7月1</w:t>
            </w:r>
            <w:r>
              <w:rPr>
                <w:sz w:val="32"/>
                <w:szCs w:val="32"/>
              </w:rPr>
              <w:t>2</w:t>
            </w:r>
            <w:r>
              <w:rPr>
                <w:rFonts w:hint="eastAsia"/>
                <w:sz w:val="32"/>
                <w:szCs w:val="32"/>
              </w:rPr>
              <w:t>日</w:t>
            </w:r>
          </w:p>
        </w:tc>
      </w:tr>
    </w:tbl>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- 15 -</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1MjM1MTY3MzhjNzFjYTAzMGE0MjkyZmJlMGMzMDAifQ=="/>
  </w:docVars>
  <w:rsids>
    <w:rsidRoot w:val="004506F9"/>
    <w:rsid w:val="0002229B"/>
    <w:rsid w:val="000273BD"/>
    <w:rsid w:val="0003757F"/>
    <w:rsid w:val="000415B7"/>
    <w:rsid w:val="00041E3F"/>
    <w:rsid w:val="00055DAA"/>
    <w:rsid w:val="00061F7B"/>
    <w:rsid w:val="000658A3"/>
    <w:rsid w:val="00074155"/>
    <w:rsid w:val="000A3F69"/>
    <w:rsid w:val="000D08ED"/>
    <w:rsid w:val="00103957"/>
    <w:rsid w:val="001474E3"/>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80DBB"/>
    <w:rsid w:val="002E0A30"/>
    <w:rsid w:val="002E3A7A"/>
    <w:rsid w:val="003130C4"/>
    <w:rsid w:val="00316C4B"/>
    <w:rsid w:val="003211E1"/>
    <w:rsid w:val="0032192B"/>
    <w:rsid w:val="00340F18"/>
    <w:rsid w:val="003479BD"/>
    <w:rsid w:val="0037197D"/>
    <w:rsid w:val="003742C9"/>
    <w:rsid w:val="003768D5"/>
    <w:rsid w:val="003C47E6"/>
    <w:rsid w:val="003C4FC2"/>
    <w:rsid w:val="00416E61"/>
    <w:rsid w:val="004210CD"/>
    <w:rsid w:val="0042790C"/>
    <w:rsid w:val="00445D00"/>
    <w:rsid w:val="00445D60"/>
    <w:rsid w:val="004506F9"/>
    <w:rsid w:val="004717A2"/>
    <w:rsid w:val="00473DF3"/>
    <w:rsid w:val="00487911"/>
    <w:rsid w:val="00491741"/>
    <w:rsid w:val="004C3A5E"/>
    <w:rsid w:val="00500E5F"/>
    <w:rsid w:val="00510FB5"/>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5173"/>
    <w:rsid w:val="00787B42"/>
    <w:rsid w:val="007C4539"/>
    <w:rsid w:val="007D19D7"/>
    <w:rsid w:val="007F3657"/>
    <w:rsid w:val="00804172"/>
    <w:rsid w:val="00812ED5"/>
    <w:rsid w:val="008277D9"/>
    <w:rsid w:val="0084478C"/>
    <w:rsid w:val="0086638C"/>
    <w:rsid w:val="008A3E8D"/>
    <w:rsid w:val="008E45DF"/>
    <w:rsid w:val="009237C4"/>
    <w:rsid w:val="00931FFF"/>
    <w:rsid w:val="00944C48"/>
    <w:rsid w:val="00950252"/>
    <w:rsid w:val="00957031"/>
    <w:rsid w:val="0096680A"/>
    <w:rsid w:val="00967F5D"/>
    <w:rsid w:val="00981DE4"/>
    <w:rsid w:val="009A0F95"/>
    <w:rsid w:val="009B3ADF"/>
    <w:rsid w:val="009C3B52"/>
    <w:rsid w:val="009D7A1D"/>
    <w:rsid w:val="009E6817"/>
    <w:rsid w:val="009E6E9A"/>
    <w:rsid w:val="00A01D2B"/>
    <w:rsid w:val="00A42218"/>
    <w:rsid w:val="00A70249"/>
    <w:rsid w:val="00A70B02"/>
    <w:rsid w:val="00A71D9F"/>
    <w:rsid w:val="00A74911"/>
    <w:rsid w:val="00A92E9F"/>
    <w:rsid w:val="00A96FC7"/>
    <w:rsid w:val="00B33BEA"/>
    <w:rsid w:val="00B57C9F"/>
    <w:rsid w:val="00B63572"/>
    <w:rsid w:val="00B77478"/>
    <w:rsid w:val="00B845B3"/>
    <w:rsid w:val="00B85D8B"/>
    <w:rsid w:val="00BB4A40"/>
    <w:rsid w:val="00BC56D3"/>
    <w:rsid w:val="00BD6C3E"/>
    <w:rsid w:val="00BE3674"/>
    <w:rsid w:val="00C10681"/>
    <w:rsid w:val="00C3049A"/>
    <w:rsid w:val="00C31B1E"/>
    <w:rsid w:val="00C52BAA"/>
    <w:rsid w:val="00C60DB0"/>
    <w:rsid w:val="00C77645"/>
    <w:rsid w:val="00C835D8"/>
    <w:rsid w:val="00CE04C3"/>
    <w:rsid w:val="00CE76A0"/>
    <w:rsid w:val="00D148C6"/>
    <w:rsid w:val="00D17A8A"/>
    <w:rsid w:val="00D415BA"/>
    <w:rsid w:val="00D644EE"/>
    <w:rsid w:val="00D82458"/>
    <w:rsid w:val="00DD06FF"/>
    <w:rsid w:val="00DD5FE9"/>
    <w:rsid w:val="00E00C7A"/>
    <w:rsid w:val="00E05478"/>
    <w:rsid w:val="00E37D6C"/>
    <w:rsid w:val="00E53652"/>
    <w:rsid w:val="00E55B68"/>
    <w:rsid w:val="00E67BE6"/>
    <w:rsid w:val="00E8683C"/>
    <w:rsid w:val="00EA2B72"/>
    <w:rsid w:val="00F438D9"/>
    <w:rsid w:val="00F620A7"/>
    <w:rsid w:val="00F74360"/>
    <w:rsid w:val="00FB462F"/>
    <w:rsid w:val="00FE16FA"/>
    <w:rsid w:val="00FE328A"/>
    <w:rsid w:val="00FE6269"/>
    <w:rsid w:val="14516DD7"/>
    <w:rsid w:val="3F6939A6"/>
    <w:rsid w:val="4E4574D4"/>
    <w:rsid w:val="51D14D1E"/>
    <w:rsid w:val="65754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szCs w:val="24"/>
    </w:rPr>
  </w:style>
  <w:style w:type="character" w:styleId="8">
    <w:name w:val="page number"/>
    <w:basedOn w:val="7"/>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2">
    <w:name w:val="列出段落1"/>
    <w:basedOn w:val="1"/>
    <w:qFormat/>
    <w:uiPriority w:val="34"/>
    <w:pPr>
      <w:ind w:firstLine="420" w:firstLineChars="200"/>
    </w:pPr>
  </w:style>
  <w:style w:type="character" w:customStyle="1" w:styleId="13">
    <w:name w:val="批注框文本 Char"/>
    <w:basedOn w:val="7"/>
    <w:link w:val="2"/>
    <w:semiHidden/>
    <w:uiPriority w:val="99"/>
    <w:rPr>
      <w:sz w:val="18"/>
      <w:szCs w:val="18"/>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53785-2DB8-41C4-9C27-B5B17279B8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3189</Words>
  <Characters>3530</Characters>
  <Lines>126</Lines>
  <Paragraphs>35</Paragraphs>
  <TotalTime>283</TotalTime>
  <ScaleCrop>false</ScaleCrop>
  <LinksUpToDate>false</LinksUpToDate>
  <CharactersWithSpaces>3869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2022-08-26T09:28:58Z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E64C336107384A4AB8D1FA97F23F856E</vt:lpwstr>
  </property>
</Properties>
</file>