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铁山水资源保护中心2020年绩效评价自评报告</w:t>
      </w:r>
    </w:p>
    <w:p>
      <w:pPr>
        <w:rPr>
          <w:rFonts w:hint="eastAsia"/>
        </w:rPr>
      </w:pPr>
    </w:p>
    <w:p>
      <w:pPr>
        <w:widowControl/>
        <w:spacing w:line="48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岳阳县2020年度部门（单位）整体支出</w:t>
      </w:r>
    </w:p>
    <w:p>
      <w:pPr>
        <w:widowControl/>
        <w:spacing w:line="48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绩效评价自评报告</w:t>
      </w:r>
    </w:p>
    <w:p>
      <w:pPr>
        <w:widowControl/>
        <w:spacing w:line="48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部门(单位)名称  岳阳县铁山水资源保护中心</w:t>
      </w:r>
    </w:p>
    <w:p>
      <w:pPr>
        <w:widowControl/>
        <w:spacing w:line="48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预算编码      094016</w:t>
      </w:r>
    </w:p>
    <w:p>
      <w:pPr>
        <w:widowControl/>
        <w:spacing w:line="48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评价方式：部门（单位）绩效自评</w:t>
      </w:r>
    </w:p>
    <w:p>
      <w:pPr>
        <w:widowControl/>
        <w:spacing w:line="48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评价机构：部门（单位）评价组</w:t>
      </w:r>
    </w:p>
    <w:p>
      <w:pPr>
        <w:widowControl/>
        <w:spacing w:line="48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报告日期：  2021年6月11日</w:t>
      </w:r>
    </w:p>
    <w:p>
      <w:pPr>
        <w:widowControl/>
        <w:spacing w:line="48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岳阳县铁山水资源保护中心</w:t>
      </w:r>
    </w:p>
    <w:tbl>
      <w:tblPr>
        <w:tblStyle w:val="4"/>
        <w:tblW w:w="21600" w:type="dxa"/>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30" w:type="dxa"/>
          <w:left w:w="30" w:type="dxa"/>
          <w:bottom w:w="30" w:type="dxa"/>
          <w:right w:w="30" w:type="dxa"/>
        </w:tblCellMar>
      </w:tblPr>
      <w:tblGrid>
        <w:gridCol w:w="856"/>
        <w:gridCol w:w="856"/>
        <w:gridCol w:w="430"/>
        <w:gridCol w:w="306"/>
        <w:gridCol w:w="329"/>
        <w:gridCol w:w="198"/>
        <w:gridCol w:w="329"/>
        <w:gridCol w:w="105"/>
        <w:gridCol w:w="333"/>
        <w:gridCol w:w="147"/>
        <w:gridCol w:w="256"/>
        <w:gridCol w:w="379"/>
        <w:gridCol w:w="477"/>
        <w:gridCol w:w="7874"/>
        <w:gridCol w:w="962"/>
        <w:gridCol w:w="66"/>
        <w:gridCol w:w="6831"/>
        <w:gridCol w:w="800"/>
        <w:gridCol w:w="66"/>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13845" w:type="dxa"/>
            <w:gridSpan w:val="14"/>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一、部门（单位）基本概况</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51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联系人</w:t>
            </w:r>
          </w:p>
        </w:tc>
        <w:tc>
          <w:tcPr>
            <w:tcW w:w="1335" w:type="dxa"/>
            <w:gridSpan w:val="6"/>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刘芳琴</w:t>
            </w:r>
          </w:p>
        </w:tc>
        <w:tc>
          <w:tcPr>
            <w:tcW w:w="1095" w:type="dxa"/>
            <w:gridSpan w:val="6"/>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联络电话</w:t>
            </w:r>
          </w:p>
        </w:tc>
        <w:tc>
          <w:tcPr>
            <w:tcW w:w="10725"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7665292</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51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人员编制</w:t>
            </w:r>
          </w:p>
        </w:tc>
        <w:tc>
          <w:tcPr>
            <w:tcW w:w="1335" w:type="dxa"/>
            <w:gridSpan w:val="6"/>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44</w:t>
            </w:r>
          </w:p>
        </w:tc>
        <w:tc>
          <w:tcPr>
            <w:tcW w:w="1095" w:type="dxa"/>
            <w:gridSpan w:val="6"/>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实有人数</w:t>
            </w:r>
          </w:p>
        </w:tc>
        <w:tc>
          <w:tcPr>
            <w:tcW w:w="10725"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40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51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职能职责概述</w:t>
            </w:r>
          </w:p>
        </w:tc>
        <w:tc>
          <w:tcPr>
            <w:tcW w:w="13275" w:type="dxa"/>
            <w:gridSpan w:val="13"/>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1.负责贯彻执行铁山水资源保护方面的政策、法规，依法组织起草铁山水资源</w:t>
            </w:r>
          </w:p>
          <w:p>
            <w:pPr>
              <w:widowControl/>
              <w:spacing w:line="480" w:lineRule="auto"/>
              <w:rPr>
                <w:rFonts w:ascii="宋体" w:hAnsi="宋体" w:eastAsia="宋体" w:cs="宋体"/>
                <w:kern w:val="0"/>
                <w:sz w:val="24"/>
                <w:szCs w:val="24"/>
              </w:rPr>
            </w:pPr>
            <w:r>
              <w:rPr>
                <w:rFonts w:ascii="宋体" w:hAnsi="宋体" w:eastAsia="宋体" w:cs="宋体"/>
                <w:kern w:val="0"/>
                <w:sz w:val="24"/>
                <w:szCs w:val="24"/>
              </w:rPr>
              <w:t>保护方面的规范性文件，拟订库区水资源保护工作中长期规划和年度计划，经批准后组织实施。</w:t>
            </w:r>
          </w:p>
          <w:p>
            <w:pPr>
              <w:widowControl/>
              <w:spacing w:line="480" w:lineRule="auto"/>
              <w:rPr>
                <w:rFonts w:ascii="宋体" w:hAnsi="宋体" w:eastAsia="宋体" w:cs="宋体"/>
                <w:kern w:val="0"/>
                <w:sz w:val="24"/>
                <w:szCs w:val="24"/>
              </w:rPr>
            </w:pPr>
            <w:r>
              <w:rPr>
                <w:rFonts w:ascii="宋体" w:hAnsi="宋体" w:eastAsia="宋体" w:cs="宋体"/>
                <w:kern w:val="0"/>
                <w:sz w:val="24"/>
                <w:szCs w:val="24"/>
              </w:rPr>
              <w:t>2.负责库区“两保”工作，即保护铁山水资源，保障库区民生。</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51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年度主要工作内容</w:t>
            </w:r>
          </w:p>
        </w:tc>
        <w:tc>
          <w:tcPr>
            <w:tcW w:w="13275" w:type="dxa"/>
            <w:gridSpan w:val="13"/>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1.负责毛田、月田和公田三个乡镇保护范围内的水政、环保、国土、规划、农</w:t>
            </w:r>
          </w:p>
          <w:p>
            <w:pPr>
              <w:widowControl/>
              <w:spacing w:line="480" w:lineRule="auto"/>
              <w:rPr>
                <w:rFonts w:ascii="宋体" w:hAnsi="宋体" w:eastAsia="宋体" w:cs="宋体"/>
                <w:kern w:val="0"/>
                <w:sz w:val="24"/>
                <w:szCs w:val="24"/>
              </w:rPr>
            </w:pPr>
            <w:r>
              <w:rPr>
                <w:rFonts w:ascii="宋体" w:hAnsi="宋体" w:eastAsia="宋体" w:cs="宋体"/>
                <w:kern w:val="0"/>
                <w:sz w:val="24"/>
                <w:szCs w:val="24"/>
              </w:rPr>
              <w:t>业、林政、控建拆违等执法任务；</w:t>
            </w:r>
          </w:p>
          <w:p>
            <w:pPr>
              <w:widowControl/>
              <w:spacing w:line="480" w:lineRule="auto"/>
              <w:rPr>
                <w:rFonts w:ascii="宋体" w:hAnsi="宋体" w:eastAsia="宋体" w:cs="宋体"/>
                <w:kern w:val="0"/>
                <w:sz w:val="24"/>
                <w:szCs w:val="24"/>
              </w:rPr>
            </w:pPr>
            <w:r>
              <w:rPr>
                <w:rFonts w:ascii="宋体" w:hAnsi="宋体" w:eastAsia="宋体" w:cs="宋体"/>
                <w:kern w:val="0"/>
                <w:sz w:val="24"/>
                <w:szCs w:val="24"/>
              </w:rPr>
              <w:t>2.落实居民集中安置点建设与奖励、后靠建房补助、特困户危房改造补助、铁</w:t>
            </w:r>
          </w:p>
          <w:p>
            <w:pPr>
              <w:widowControl/>
              <w:spacing w:line="480" w:lineRule="auto"/>
              <w:rPr>
                <w:rFonts w:ascii="宋体" w:hAnsi="宋体" w:eastAsia="宋体" w:cs="宋体"/>
                <w:kern w:val="0"/>
                <w:sz w:val="24"/>
                <w:szCs w:val="24"/>
              </w:rPr>
            </w:pPr>
            <w:r>
              <w:rPr>
                <w:rFonts w:ascii="宋体" w:hAnsi="宋体" w:eastAsia="宋体" w:cs="宋体"/>
                <w:kern w:val="0"/>
                <w:sz w:val="24"/>
                <w:szCs w:val="24"/>
              </w:rPr>
              <w:t>山库区特困户救助和大病医疗救助等库区民生保障工作；</w:t>
            </w:r>
          </w:p>
          <w:p>
            <w:pPr>
              <w:widowControl/>
              <w:spacing w:line="480" w:lineRule="auto"/>
              <w:rPr>
                <w:rFonts w:ascii="宋体" w:hAnsi="宋体" w:eastAsia="宋体" w:cs="宋体"/>
                <w:kern w:val="0"/>
                <w:sz w:val="24"/>
                <w:szCs w:val="24"/>
              </w:rPr>
            </w:pPr>
            <w:r>
              <w:rPr>
                <w:rFonts w:ascii="宋体" w:hAnsi="宋体" w:eastAsia="宋体" w:cs="宋体"/>
                <w:kern w:val="0"/>
                <w:sz w:val="24"/>
                <w:szCs w:val="24"/>
              </w:rPr>
              <w:t>3.建设集镇和散户型居民生活污水处理设施、公共墓地、垃圾压缩中转站并关</w:t>
            </w:r>
          </w:p>
          <w:p>
            <w:pPr>
              <w:widowControl/>
              <w:spacing w:line="480" w:lineRule="auto"/>
              <w:rPr>
                <w:rFonts w:ascii="宋体" w:hAnsi="宋体" w:eastAsia="宋体" w:cs="宋体"/>
                <w:kern w:val="0"/>
                <w:sz w:val="24"/>
                <w:szCs w:val="24"/>
              </w:rPr>
            </w:pPr>
            <w:r>
              <w:rPr>
                <w:rFonts w:ascii="宋体" w:hAnsi="宋体" w:eastAsia="宋体" w:cs="宋体"/>
                <w:kern w:val="0"/>
                <w:sz w:val="24"/>
                <w:szCs w:val="24"/>
              </w:rPr>
              <w:t>退畜禽规模养殖业和污染企业等，保护饮用水源。</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51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年度部门（单位）总体运行情况及取得的成绩</w:t>
            </w:r>
          </w:p>
        </w:tc>
        <w:tc>
          <w:tcPr>
            <w:tcW w:w="13275" w:type="dxa"/>
            <w:gridSpan w:val="13"/>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（一）民生保障落到实处</w:t>
            </w:r>
          </w:p>
          <w:p>
            <w:pPr>
              <w:widowControl/>
              <w:spacing w:line="480" w:lineRule="auto"/>
              <w:rPr>
                <w:rFonts w:ascii="宋体" w:hAnsi="宋体" w:eastAsia="宋体" w:cs="宋体"/>
                <w:kern w:val="0"/>
                <w:sz w:val="24"/>
                <w:szCs w:val="24"/>
              </w:rPr>
            </w:pPr>
            <w:r>
              <w:rPr>
                <w:rFonts w:ascii="宋体" w:hAnsi="宋体" w:eastAsia="宋体" w:cs="宋体"/>
                <w:kern w:val="0"/>
                <w:sz w:val="24"/>
                <w:szCs w:val="24"/>
              </w:rPr>
              <w:t>集雨区生态公益林补偿、大病医疗救助涉及整个铁山库区，受惠群众多；对一二级保护区内因病因灾致贫返贫的特困户予以救助送去了党和政府的关怀；易地建房和一二级保护区内特困危房改造补助缓解了库区群众的建房压力；市、县领导扶贫点全部集中在库区村，实行定点扶贫、精准扶贫，将库区作为脱贫攻坚的主战场，启动了毛田镇南庙、立坪、小港、湾丘易地搬迁扶贫计划。系列惠民政策在库区落地生根，让库区群众深切地感受到，他曾经为修建铁山水库而移居山旮旯里，今天又为铁山水源保护作出了贡献，党和政府始终没有忘记他们。</w:t>
            </w:r>
          </w:p>
          <w:p>
            <w:pPr>
              <w:widowControl/>
              <w:spacing w:line="480" w:lineRule="auto"/>
              <w:rPr>
                <w:rFonts w:ascii="宋体" w:hAnsi="宋体" w:eastAsia="宋体" w:cs="宋体"/>
                <w:kern w:val="0"/>
                <w:sz w:val="24"/>
                <w:szCs w:val="24"/>
              </w:rPr>
            </w:pPr>
            <w:r>
              <w:rPr>
                <w:rFonts w:ascii="宋体" w:hAnsi="宋体" w:eastAsia="宋体" w:cs="宋体"/>
                <w:kern w:val="0"/>
                <w:sz w:val="24"/>
                <w:szCs w:val="24"/>
              </w:rPr>
              <w:t>（二）水源保护达到实效</w:t>
            </w:r>
          </w:p>
          <w:p>
            <w:pPr>
              <w:widowControl/>
              <w:spacing w:line="480" w:lineRule="auto"/>
              <w:rPr>
                <w:rFonts w:ascii="宋体" w:hAnsi="宋体" w:eastAsia="宋体" w:cs="宋体"/>
                <w:kern w:val="0"/>
                <w:sz w:val="24"/>
                <w:szCs w:val="24"/>
              </w:rPr>
            </w:pPr>
            <w:r>
              <w:rPr>
                <w:rFonts w:ascii="宋体" w:hAnsi="宋体" w:eastAsia="宋体" w:cs="宋体"/>
                <w:kern w:val="0"/>
                <w:sz w:val="24"/>
                <w:szCs w:val="24"/>
              </w:rPr>
              <w:t>库区从严治污，严格控制库区人口非自然增长，库区人口“只出不进”；严格控制乡镇集体建设用地，禁止违法建房，规范村民建房，科学规划居民安置点；严格控制一切工业项目，强力禁采、禁挖；严格控制一级、二级保护区和准保护区内的生活、农业和工业污染，一次性退出现有规模养殖场。通过先进技术与科学设备及时处理集镇居民生活污水、及时处理散户型居民生活污水、及时拦截入库河口生活垃圾及漂流物。基本构建了“控制”与“处理”相结合、多措并举的污染防治模式。最近市县对铁山水库水源入口水质监测显示：铁山水库水域中心、大坝上游50m处所测各项指标均符合《地表水环境质量标准》Ⅱ类水质标准,水质级别为优。</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13845" w:type="dxa"/>
            <w:gridSpan w:val="14"/>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二、部门（单位）收支情况</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13845" w:type="dxa"/>
            <w:gridSpan w:val="14"/>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年度收入情况（万元）</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510" w:type="dxa"/>
            <w:vMerge w:val="restart"/>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机构名称</w:t>
            </w:r>
          </w:p>
        </w:tc>
        <w:tc>
          <w:tcPr>
            <w:tcW w:w="510" w:type="dxa"/>
            <w:vMerge w:val="restart"/>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收入合计</w:t>
            </w:r>
          </w:p>
        </w:tc>
        <w:tc>
          <w:tcPr>
            <w:tcW w:w="12705" w:type="dxa"/>
            <w:gridSpan w:val="1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其中：</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345"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上年结转</w:t>
            </w:r>
          </w:p>
        </w:tc>
        <w:tc>
          <w:tcPr>
            <w:tcW w:w="360" w:type="dxa"/>
            <w:gridSpan w:val="3"/>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公共财政拨款</w:t>
            </w:r>
          </w:p>
        </w:tc>
        <w:tc>
          <w:tcPr>
            <w:tcW w:w="33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政府基金拨款</w:t>
            </w:r>
          </w:p>
        </w:tc>
        <w:tc>
          <w:tcPr>
            <w:tcW w:w="705" w:type="dxa"/>
            <w:gridSpan w:val="4"/>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纳入专户管理的非税收入拨款</w:t>
            </w:r>
          </w:p>
        </w:tc>
        <w:tc>
          <w:tcPr>
            <w:tcW w:w="10725"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其他收入</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51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局机关及二级机构汇总</w:t>
            </w:r>
          </w:p>
        </w:tc>
        <w:tc>
          <w:tcPr>
            <w:tcW w:w="51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3558.42</w:t>
            </w:r>
          </w:p>
        </w:tc>
        <w:tc>
          <w:tcPr>
            <w:tcW w:w="345"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4.64</w:t>
            </w:r>
          </w:p>
        </w:tc>
        <w:tc>
          <w:tcPr>
            <w:tcW w:w="360" w:type="dxa"/>
            <w:gridSpan w:val="3"/>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3553.78</w:t>
            </w:r>
          </w:p>
        </w:tc>
        <w:tc>
          <w:tcPr>
            <w:tcW w:w="33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705" w:type="dxa"/>
            <w:gridSpan w:val="4"/>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0725"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51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1、局机关</w:t>
            </w:r>
          </w:p>
        </w:tc>
        <w:tc>
          <w:tcPr>
            <w:tcW w:w="51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3558.42</w:t>
            </w:r>
          </w:p>
        </w:tc>
        <w:tc>
          <w:tcPr>
            <w:tcW w:w="345"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4.64</w:t>
            </w:r>
          </w:p>
        </w:tc>
        <w:tc>
          <w:tcPr>
            <w:tcW w:w="360" w:type="dxa"/>
            <w:gridSpan w:val="3"/>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3553.78</w:t>
            </w:r>
          </w:p>
        </w:tc>
        <w:tc>
          <w:tcPr>
            <w:tcW w:w="33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705" w:type="dxa"/>
            <w:gridSpan w:val="4"/>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0725"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51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2、二级机构</w:t>
            </w:r>
          </w:p>
        </w:tc>
        <w:tc>
          <w:tcPr>
            <w:tcW w:w="51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345"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360" w:type="dxa"/>
            <w:gridSpan w:val="3"/>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33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705" w:type="dxa"/>
            <w:gridSpan w:val="4"/>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0725"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13845" w:type="dxa"/>
            <w:gridSpan w:val="14"/>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部门（单位）年度支出和结余情况（万元）</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510" w:type="dxa"/>
            <w:vMerge w:val="restart"/>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机构名称</w:t>
            </w:r>
          </w:p>
        </w:tc>
        <w:tc>
          <w:tcPr>
            <w:tcW w:w="510" w:type="dxa"/>
            <w:vMerge w:val="restart"/>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支出合计</w:t>
            </w:r>
          </w:p>
        </w:tc>
        <w:tc>
          <w:tcPr>
            <w:tcW w:w="1920" w:type="dxa"/>
            <w:gridSpan w:val="11"/>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其中：</w:t>
            </w:r>
          </w:p>
        </w:tc>
        <w:tc>
          <w:tcPr>
            <w:tcW w:w="10725" w:type="dxa"/>
            <w:vMerge w:val="restart"/>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结余</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345" w:type="dxa"/>
            <w:gridSpan w:val="2"/>
            <w:vMerge w:val="restart"/>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基本支出</w:t>
            </w:r>
          </w:p>
        </w:tc>
        <w:tc>
          <w:tcPr>
            <w:tcW w:w="1035" w:type="dxa"/>
            <w:gridSpan w:val="7"/>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其中：</w:t>
            </w:r>
          </w:p>
        </w:tc>
        <w:tc>
          <w:tcPr>
            <w:tcW w:w="420" w:type="dxa"/>
            <w:gridSpan w:val="2"/>
            <w:vMerge w:val="restart"/>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项目支出</w:t>
            </w:r>
          </w:p>
        </w:tc>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525" w:type="dxa"/>
            <w:gridSpan w:val="4"/>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人员支出</w:t>
            </w:r>
          </w:p>
        </w:tc>
        <w:tc>
          <w:tcPr>
            <w:tcW w:w="450" w:type="dxa"/>
            <w:gridSpan w:val="3"/>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公用支出</w:t>
            </w:r>
          </w:p>
        </w:tc>
        <w:tc>
          <w:tcPr>
            <w:tcW w:w="0" w:type="auto"/>
            <w:gridSpan w:val="2"/>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51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局机关及二级机构汇总</w:t>
            </w:r>
          </w:p>
        </w:tc>
        <w:tc>
          <w:tcPr>
            <w:tcW w:w="51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2436.11</w:t>
            </w:r>
          </w:p>
        </w:tc>
        <w:tc>
          <w:tcPr>
            <w:tcW w:w="345"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704.82</w:t>
            </w:r>
          </w:p>
        </w:tc>
        <w:tc>
          <w:tcPr>
            <w:tcW w:w="525" w:type="dxa"/>
            <w:gridSpan w:val="4"/>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382.26</w:t>
            </w:r>
          </w:p>
        </w:tc>
        <w:tc>
          <w:tcPr>
            <w:tcW w:w="450" w:type="dxa"/>
            <w:gridSpan w:val="3"/>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322.55</w:t>
            </w:r>
          </w:p>
        </w:tc>
        <w:tc>
          <w:tcPr>
            <w:tcW w:w="42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1731.29</w:t>
            </w:r>
          </w:p>
        </w:tc>
        <w:tc>
          <w:tcPr>
            <w:tcW w:w="10725"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1122.3</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51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1、局机关</w:t>
            </w:r>
          </w:p>
        </w:tc>
        <w:tc>
          <w:tcPr>
            <w:tcW w:w="51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2436.11</w:t>
            </w:r>
          </w:p>
        </w:tc>
        <w:tc>
          <w:tcPr>
            <w:tcW w:w="345"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704.82</w:t>
            </w:r>
          </w:p>
        </w:tc>
        <w:tc>
          <w:tcPr>
            <w:tcW w:w="525" w:type="dxa"/>
            <w:gridSpan w:val="4"/>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382.26</w:t>
            </w:r>
          </w:p>
        </w:tc>
        <w:tc>
          <w:tcPr>
            <w:tcW w:w="450" w:type="dxa"/>
            <w:gridSpan w:val="3"/>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322.55</w:t>
            </w:r>
          </w:p>
        </w:tc>
        <w:tc>
          <w:tcPr>
            <w:tcW w:w="42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1731.29</w:t>
            </w:r>
          </w:p>
        </w:tc>
        <w:tc>
          <w:tcPr>
            <w:tcW w:w="10725"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1122.3</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51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2、二级机构</w:t>
            </w:r>
          </w:p>
        </w:tc>
        <w:tc>
          <w:tcPr>
            <w:tcW w:w="51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345"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525" w:type="dxa"/>
            <w:gridSpan w:val="4"/>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450" w:type="dxa"/>
            <w:gridSpan w:val="3"/>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42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0725"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510" w:type="dxa"/>
            <w:vMerge w:val="restart"/>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机构名称</w:t>
            </w:r>
          </w:p>
        </w:tc>
        <w:tc>
          <w:tcPr>
            <w:tcW w:w="510" w:type="dxa"/>
            <w:vMerge w:val="restart"/>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三公经费</w:t>
            </w:r>
          </w:p>
          <w:p>
            <w:pPr>
              <w:widowControl/>
              <w:spacing w:line="480" w:lineRule="auto"/>
              <w:rPr>
                <w:rFonts w:ascii="宋体" w:hAnsi="宋体" w:eastAsia="宋体" w:cs="宋体"/>
                <w:kern w:val="0"/>
                <w:sz w:val="24"/>
                <w:szCs w:val="24"/>
              </w:rPr>
            </w:pPr>
            <w:r>
              <w:rPr>
                <w:rFonts w:ascii="宋体" w:hAnsi="宋体" w:eastAsia="宋体" w:cs="宋体"/>
                <w:kern w:val="0"/>
                <w:sz w:val="24"/>
                <w:szCs w:val="24"/>
              </w:rPr>
              <w:t>合计</w:t>
            </w:r>
          </w:p>
        </w:tc>
        <w:tc>
          <w:tcPr>
            <w:tcW w:w="12705" w:type="dxa"/>
            <w:gridSpan w:val="1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其中：</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345"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公务接待费</w:t>
            </w:r>
          </w:p>
        </w:tc>
        <w:tc>
          <w:tcPr>
            <w:tcW w:w="525" w:type="dxa"/>
            <w:gridSpan w:val="4"/>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公务用车运维费</w:t>
            </w:r>
          </w:p>
        </w:tc>
        <w:tc>
          <w:tcPr>
            <w:tcW w:w="450" w:type="dxa"/>
            <w:gridSpan w:val="3"/>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公务用车购置费</w:t>
            </w:r>
          </w:p>
        </w:tc>
        <w:tc>
          <w:tcPr>
            <w:tcW w:w="42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因公出国费</w:t>
            </w:r>
          </w:p>
        </w:tc>
        <w:tc>
          <w:tcPr>
            <w:tcW w:w="10725"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会议费</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51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局机关及二级机构汇总</w:t>
            </w:r>
          </w:p>
        </w:tc>
        <w:tc>
          <w:tcPr>
            <w:tcW w:w="51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44.88</w:t>
            </w:r>
          </w:p>
        </w:tc>
        <w:tc>
          <w:tcPr>
            <w:tcW w:w="345"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2.62</w:t>
            </w:r>
          </w:p>
        </w:tc>
        <w:tc>
          <w:tcPr>
            <w:tcW w:w="525" w:type="dxa"/>
            <w:gridSpan w:val="4"/>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42.26</w:t>
            </w:r>
          </w:p>
        </w:tc>
        <w:tc>
          <w:tcPr>
            <w:tcW w:w="450" w:type="dxa"/>
            <w:gridSpan w:val="3"/>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42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0725"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51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1、局机关</w:t>
            </w:r>
          </w:p>
        </w:tc>
        <w:tc>
          <w:tcPr>
            <w:tcW w:w="51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44.88</w:t>
            </w:r>
          </w:p>
        </w:tc>
        <w:tc>
          <w:tcPr>
            <w:tcW w:w="345"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2.62</w:t>
            </w:r>
          </w:p>
        </w:tc>
        <w:tc>
          <w:tcPr>
            <w:tcW w:w="525" w:type="dxa"/>
            <w:gridSpan w:val="4"/>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42.26</w:t>
            </w:r>
          </w:p>
        </w:tc>
        <w:tc>
          <w:tcPr>
            <w:tcW w:w="450" w:type="dxa"/>
            <w:gridSpan w:val="3"/>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42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0725"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51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2、二级机构</w:t>
            </w:r>
          </w:p>
        </w:tc>
        <w:tc>
          <w:tcPr>
            <w:tcW w:w="51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345"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525" w:type="dxa"/>
            <w:gridSpan w:val="4"/>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450" w:type="dxa"/>
            <w:gridSpan w:val="3"/>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42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0725"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510" w:type="dxa"/>
            <w:vMerge w:val="restart"/>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机构名称</w:t>
            </w:r>
          </w:p>
        </w:tc>
        <w:tc>
          <w:tcPr>
            <w:tcW w:w="510" w:type="dxa"/>
            <w:vMerge w:val="restart"/>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固定资产</w:t>
            </w:r>
          </w:p>
          <w:p>
            <w:pPr>
              <w:widowControl/>
              <w:spacing w:line="480" w:lineRule="auto"/>
              <w:rPr>
                <w:rFonts w:ascii="宋体" w:hAnsi="宋体" w:eastAsia="宋体" w:cs="宋体"/>
                <w:kern w:val="0"/>
                <w:sz w:val="24"/>
                <w:szCs w:val="24"/>
              </w:rPr>
            </w:pPr>
            <w:r>
              <w:rPr>
                <w:rFonts w:ascii="宋体" w:hAnsi="宋体" w:eastAsia="宋体" w:cs="宋体"/>
                <w:kern w:val="0"/>
                <w:sz w:val="24"/>
                <w:szCs w:val="24"/>
              </w:rPr>
              <w:t>合计</w:t>
            </w:r>
          </w:p>
        </w:tc>
        <w:tc>
          <w:tcPr>
            <w:tcW w:w="1920" w:type="dxa"/>
            <w:gridSpan w:val="11"/>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其中：</w:t>
            </w:r>
          </w:p>
        </w:tc>
        <w:tc>
          <w:tcPr>
            <w:tcW w:w="10725" w:type="dxa"/>
            <w:vMerge w:val="restart"/>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其他</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930" w:type="dxa"/>
            <w:gridSpan w:val="6"/>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在用固定资产</w:t>
            </w:r>
          </w:p>
        </w:tc>
        <w:tc>
          <w:tcPr>
            <w:tcW w:w="930" w:type="dxa"/>
            <w:gridSpan w:val="5"/>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出租固定资产</w:t>
            </w:r>
          </w:p>
        </w:tc>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51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局机关及二级机构汇总</w:t>
            </w:r>
          </w:p>
        </w:tc>
        <w:tc>
          <w:tcPr>
            <w:tcW w:w="51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360.5</w:t>
            </w:r>
          </w:p>
        </w:tc>
        <w:tc>
          <w:tcPr>
            <w:tcW w:w="930" w:type="dxa"/>
            <w:gridSpan w:val="6"/>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360.5</w:t>
            </w:r>
          </w:p>
        </w:tc>
        <w:tc>
          <w:tcPr>
            <w:tcW w:w="930" w:type="dxa"/>
            <w:gridSpan w:val="5"/>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0725"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51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1、局机关</w:t>
            </w:r>
          </w:p>
        </w:tc>
        <w:tc>
          <w:tcPr>
            <w:tcW w:w="51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360.5</w:t>
            </w:r>
          </w:p>
        </w:tc>
        <w:tc>
          <w:tcPr>
            <w:tcW w:w="930" w:type="dxa"/>
            <w:gridSpan w:val="6"/>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360.5</w:t>
            </w:r>
          </w:p>
        </w:tc>
        <w:tc>
          <w:tcPr>
            <w:tcW w:w="930" w:type="dxa"/>
            <w:gridSpan w:val="5"/>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0725"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51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2、二级机构</w:t>
            </w:r>
          </w:p>
        </w:tc>
        <w:tc>
          <w:tcPr>
            <w:tcW w:w="51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930" w:type="dxa"/>
            <w:gridSpan w:val="6"/>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930" w:type="dxa"/>
            <w:gridSpan w:val="5"/>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0725"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13845" w:type="dxa"/>
            <w:gridSpan w:val="14"/>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三、部门（单位）整体支出绩效自评情况</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510" w:type="dxa"/>
            <w:vMerge w:val="restart"/>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整体支出绩效定性目标及实施计划完成情况</w:t>
            </w:r>
          </w:p>
        </w:tc>
        <w:tc>
          <w:tcPr>
            <w:tcW w:w="1200" w:type="dxa"/>
            <w:gridSpan w:val="5"/>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预期目标</w:t>
            </w:r>
          </w:p>
        </w:tc>
        <w:tc>
          <w:tcPr>
            <w:tcW w:w="12015" w:type="dxa"/>
            <w:gridSpan w:val="8"/>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实际完成</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1200" w:type="dxa"/>
            <w:gridSpan w:val="5"/>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目标1：全面开展铁山库区“两保”工作，即保护铁山水资源，保障库区民生。</w:t>
            </w:r>
          </w:p>
          <w:p>
            <w:pPr>
              <w:widowControl/>
              <w:spacing w:line="480" w:lineRule="auto"/>
              <w:rPr>
                <w:rFonts w:ascii="宋体" w:hAnsi="宋体" w:eastAsia="宋体" w:cs="宋体"/>
                <w:kern w:val="0"/>
                <w:sz w:val="24"/>
                <w:szCs w:val="24"/>
              </w:rPr>
            </w:pPr>
            <w:r>
              <w:rPr>
                <w:rFonts w:ascii="宋体" w:hAnsi="宋体" w:eastAsia="宋体" w:cs="宋体"/>
                <w:kern w:val="0"/>
                <w:sz w:val="24"/>
                <w:szCs w:val="24"/>
              </w:rPr>
              <w:t>目标2：确保单位整体支出预算资金全额用于单位正常支出和专项工作支出，三公经费不突破限额并逐年有所降低。</w:t>
            </w:r>
          </w:p>
          <w:p>
            <w:pPr>
              <w:widowControl/>
              <w:spacing w:line="480" w:lineRule="auto"/>
              <w:rPr>
                <w:rFonts w:ascii="宋体" w:hAnsi="宋体" w:eastAsia="宋体" w:cs="宋体"/>
                <w:kern w:val="0"/>
                <w:sz w:val="24"/>
                <w:szCs w:val="24"/>
              </w:rPr>
            </w:pPr>
            <w:r>
              <w:rPr>
                <w:rFonts w:ascii="宋体" w:hAnsi="宋体" w:eastAsia="宋体" w:cs="宋体"/>
                <w:kern w:val="0"/>
                <w:sz w:val="24"/>
                <w:szCs w:val="24"/>
              </w:rPr>
              <w:t>目标3：严格按照相关规定进行机关财务管理，确保机关正常运行、工作正常开展。</w:t>
            </w:r>
          </w:p>
          <w:p>
            <w:pPr>
              <w:widowControl/>
              <w:spacing w:line="480" w:lineRule="auto"/>
              <w:rPr>
                <w:rFonts w:ascii="宋体" w:hAnsi="宋体" w:eastAsia="宋体" w:cs="宋体"/>
                <w:kern w:val="0"/>
                <w:sz w:val="24"/>
                <w:szCs w:val="24"/>
              </w:rPr>
            </w:pPr>
            <w:r>
              <w:rPr>
                <w:rFonts w:ascii="宋体" w:hAnsi="宋体" w:eastAsia="宋体" w:cs="宋体"/>
                <w:kern w:val="0"/>
                <w:sz w:val="24"/>
                <w:szCs w:val="24"/>
              </w:rPr>
              <w:t>目标4：确保社会效益、经济效益、生态效益、可持续影响以及社会公众满意度达到预期目标。</w:t>
            </w:r>
          </w:p>
        </w:tc>
        <w:tc>
          <w:tcPr>
            <w:tcW w:w="12015" w:type="dxa"/>
            <w:gridSpan w:val="8"/>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1、大力完成库区污水处理建设；顺利完成办公场地改造工程；加大投入垃圾焚烧及填埋建设；稳步推行公共墓地建设；积极突破污染企业关停工作；强力推进居民安置点建设；不断完善库区特困救助、大病救助、后靠建房补助、特困建房补助等民生保障工作。</w:t>
            </w:r>
          </w:p>
          <w:p>
            <w:pPr>
              <w:widowControl/>
              <w:spacing w:line="480" w:lineRule="auto"/>
              <w:rPr>
                <w:rFonts w:ascii="宋体" w:hAnsi="宋体" w:eastAsia="宋体" w:cs="宋体"/>
                <w:kern w:val="0"/>
                <w:sz w:val="24"/>
                <w:szCs w:val="24"/>
              </w:rPr>
            </w:pPr>
            <w:r>
              <w:rPr>
                <w:rFonts w:ascii="宋体" w:hAnsi="宋体" w:eastAsia="宋体" w:cs="宋体"/>
                <w:kern w:val="0"/>
                <w:sz w:val="24"/>
                <w:szCs w:val="24"/>
              </w:rPr>
              <w:t>2、严控资金，合理使用，机关内部财务管理规范。确保了机关正常运行、工作正常开展。机关事务的三公经费相比上年有所下降。</w:t>
            </w:r>
          </w:p>
          <w:p>
            <w:pPr>
              <w:widowControl/>
              <w:spacing w:line="480" w:lineRule="auto"/>
              <w:rPr>
                <w:rFonts w:ascii="宋体" w:hAnsi="宋体" w:eastAsia="宋体" w:cs="宋体"/>
                <w:kern w:val="0"/>
                <w:sz w:val="24"/>
                <w:szCs w:val="24"/>
              </w:rPr>
            </w:pPr>
            <w:r>
              <w:rPr>
                <w:rFonts w:ascii="宋体" w:hAnsi="宋体" w:eastAsia="宋体" w:cs="宋体"/>
                <w:kern w:val="0"/>
                <w:sz w:val="24"/>
                <w:szCs w:val="24"/>
              </w:rPr>
              <w:t>3、机关整体运行良好，包括两个大队日常工作开展顺利。</w:t>
            </w:r>
          </w:p>
          <w:p>
            <w:pPr>
              <w:widowControl/>
              <w:spacing w:line="480" w:lineRule="auto"/>
              <w:rPr>
                <w:rFonts w:ascii="宋体" w:hAnsi="宋体" w:eastAsia="宋体" w:cs="宋体"/>
                <w:kern w:val="0"/>
                <w:sz w:val="24"/>
                <w:szCs w:val="24"/>
              </w:rPr>
            </w:pPr>
            <w:r>
              <w:rPr>
                <w:rFonts w:ascii="宋体" w:hAnsi="宋体" w:eastAsia="宋体" w:cs="宋体"/>
                <w:kern w:val="0"/>
                <w:sz w:val="24"/>
                <w:szCs w:val="24"/>
              </w:rPr>
              <w:t>4、工作扎实，群众受益，产生了良好的社会效益和经济效益。铁山水质得到了明显提升，库区群众得到了明显实惠。</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510" w:type="dxa"/>
            <w:vMerge w:val="restart"/>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整体支出</w:t>
            </w:r>
          </w:p>
          <w:p>
            <w:pPr>
              <w:widowControl/>
              <w:spacing w:line="480" w:lineRule="auto"/>
              <w:rPr>
                <w:rFonts w:ascii="宋体" w:hAnsi="宋体" w:eastAsia="宋体" w:cs="宋体"/>
                <w:kern w:val="0"/>
                <w:sz w:val="24"/>
                <w:szCs w:val="24"/>
              </w:rPr>
            </w:pPr>
            <w:r>
              <w:rPr>
                <w:rFonts w:ascii="宋体" w:hAnsi="宋体" w:eastAsia="宋体" w:cs="宋体"/>
                <w:kern w:val="0"/>
                <w:sz w:val="24"/>
                <w:szCs w:val="24"/>
              </w:rPr>
              <w:t>绩效定量目标及实施计划完成情况</w:t>
            </w:r>
          </w:p>
        </w:tc>
        <w:tc>
          <w:tcPr>
            <w:tcW w:w="1095" w:type="dxa"/>
            <w:gridSpan w:val="4"/>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评价内容</w:t>
            </w:r>
          </w:p>
        </w:tc>
        <w:tc>
          <w:tcPr>
            <w:tcW w:w="690" w:type="dxa"/>
            <w:gridSpan w:val="5"/>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绩效内容</w:t>
            </w:r>
          </w:p>
        </w:tc>
        <w:tc>
          <w:tcPr>
            <w:tcW w:w="36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绩效</w:t>
            </w:r>
          </w:p>
          <w:p>
            <w:pPr>
              <w:widowControl/>
              <w:spacing w:line="480" w:lineRule="auto"/>
              <w:rPr>
                <w:rFonts w:ascii="宋体" w:hAnsi="宋体" w:eastAsia="宋体" w:cs="宋体"/>
                <w:kern w:val="0"/>
                <w:sz w:val="24"/>
                <w:szCs w:val="24"/>
              </w:rPr>
            </w:pPr>
            <w:r>
              <w:rPr>
                <w:rFonts w:ascii="宋体" w:hAnsi="宋体" w:eastAsia="宋体" w:cs="宋体"/>
                <w:kern w:val="0"/>
                <w:sz w:val="24"/>
                <w:szCs w:val="24"/>
              </w:rPr>
              <w:t>目标值</w:t>
            </w:r>
          </w:p>
        </w:tc>
        <w:tc>
          <w:tcPr>
            <w:tcW w:w="1095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完成情况</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690" w:type="dxa"/>
            <w:gridSpan w:val="2"/>
            <w:vMerge w:val="restart"/>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产出目标</w:t>
            </w:r>
          </w:p>
          <w:p>
            <w:pPr>
              <w:widowControl/>
              <w:spacing w:line="480" w:lineRule="auto"/>
              <w:rPr>
                <w:rFonts w:ascii="宋体" w:hAnsi="宋体" w:eastAsia="宋体" w:cs="宋体"/>
                <w:kern w:val="0"/>
                <w:sz w:val="24"/>
                <w:szCs w:val="24"/>
              </w:rPr>
            </w:pPr>
            <w:r>
              <w:rPr>
                <w:rFonts w:ascii="宋体" w:hAnsi="宋体" w:eastAsia="宋体" w:cs="宋体"/>
                <w:kern w:val="0"/>
                <w:sz w:val="24"/>
                <w:szCs w:val="24"/>
              </w:rPr>
              <w:t>（部门工作实绩，即绩效办制定的单位年度考核计分办法中考核的部门工作实绩内容）</w:t>
            </w:r>
          </w:p>
        </w:tc>
        <w:tc>
          <w:tcPr>
            <w:tcW w:w="345" w:type="dxa"/>
            <w:gridSpan w:val="2"/>
            <w:vMerge w:val="restart"/>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质量指标</w:t>
            </w:r>
          </w:p>
        </w:tc>
        <w:tc>
          <w:tcPr>
            <w:tcW w:w="690" w:type="dxa"/>
            <w:gridSpan w:val="5"/>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bottom"/>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三公经费控制率</w:t>
            </w:r>
          </w:p>
        </w:tc>
        <w:tc>
          <w:tcPr>
            <w:tcW w:w="36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100%</w:t>
            </w:r>
          </w:p>
        </w:tc>
        <w:tc>
          <w:tcPr>
            <w:tcW w:w="1095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100%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690" w:type="dxa"/>
            <w:gridSpan w:val="5"/>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政府采购执行率</w:t>
            </w:r>
          </w:p>
        </w:tc>
        <w:tc>
          <w:tcPr>
            <w:tcW w:w="36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100%</w:t>
            </w:r>
          </w:p>
        </w:tc>
        <w:tc>
          <w:tcPr>
            <w:tcW w:w="1095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100%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690" w:type="dxa"/>
            <w:gridSpan w:val="5"/>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固定资产利用率</w:t>
            </w:r>
          </w:p>
        </w:tc>
        <w:tc>
          <w:tcPr>
            <w:tcW w:w="36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100%</w:t>
            </w:r>
          </w:p>
        </w:tc>
        <w:tc>
          <w:tcPr>
            <w:tcW w:w="1095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100%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690" w:type="dxa"/>
            <w:gridSpan w:val="5"/>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专项资金利用率</w:t>
            </w:r>
          </w:p>
        </w:tc>
        <w:tc>
          <w:tcPr>
            <w:tcW w:w="36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100%</w:t>
            </w:r>
          </w:p>
        </w:tc>
        <w:tc>
          <w:tcPr>
            <w:tcW w:w="1095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100%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690" w:type="dxa"/>
            <w:gridSpan w:val="5"/>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库区群众上访率</w:t>
            </w:r>
          </w:p>
        </w:tc>
        <w:tc>
          <w:tcPr>
            <w:tcW w:w="36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零上访</w:t>
            </w:r>
          </w:p>
        </w:tc>
        <w:tc>
          <w:tcPr>
            <w:tcW w:w="1095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无上访</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345" w:type="dxa"/>
            <w:gridSpan w:val="2"/>
            <w:vMerge w:val="restart"/>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数量指标</w:t>
            </w:r>
          </w:p>
        </w:tc>
        <w:tc>
          <w:tcPr>
            <w:tcW w:w="690" w:type="dxa"/>
            <w:gridSpan w:val="5"/>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财政供养人员控制率</w:t>
            </w:r>
          </w:p>
        </w:tc>
        <w:tc>
          <w:tcPr>
            <w:tcW w:w="36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100%</w:t>
            </w:r>
          </w:p>
        </w:tc>
        <w:tc>
          <w:tcPr>
            <w:tcW w:w="1095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100%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690" w:type="dxa"/>
            <w:gridSpan w:val="5"/>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“三公经费”变动率</w:t>
            </w:r>
          </w:p>
        </w:tc>
        <w:tc>
          <w:tcPr>
            <w:tcW w:w="36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≤0</w:t>
            </w:r>
          </w:p>
        </w:tc>
        <w:tc>
          <w:tcPr>
            <w:tcW w:w="1095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限额控制数内</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690" w:type="dxa"/>
            <w:gridSpan w:val="5"/>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一、二级保护区污水处理设施普及率</w:t>
            </w:r>
          </w:p>
        </w:tc>
        <w:tc>
          <w:tcPr>
            <w:tcW w:w="36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40%</w:t>
            </w:r>
          </w:p>
        </w:tc>
        <w:tc>
          <w:tcPr>
            <w:tcW w:w="1095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40%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690" w:type="dxa"/>
            <w:gridSpan w:val="5"/>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库区乡镇垃圾压缩中转站建设</w:t>
            </w:r>
          </w:p>
        </w:tc>
        <w:tc>
          <w:tcPr>
            <w:tcW w:w="36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3个</w:t>
            </w:r>
          </w:p>
        </w:tc>
        <w:tc>
          <w:tcPr>
            <w:tcW w:w="1095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已全面建设完成</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690" w:type="dxa"/>
            <w:gridSpan w:val="5"/>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一、二级特困救助</w:t>
            </w:r>
          </w:p>
        </w:tc>
        <w:tc>
          <w:tcPr>
            <w:tcW w:w="36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1000户</w:t>
            </w:r>
          </w:p>
        </w:tc>
        <w:tc>
          <w:tcPr>
            <w:tcW w:w="1095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基本涵盖各核心村</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690" w:type="dxa"/>
            <w:gridSpan w:val="5"/>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后靠建房及特困建房补助</w:t>
            </w:r>
          </w:p>
        </w:tc>
        <w:tc>
          <w:tcPr>
            <w:tcW w:w="36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100户</w:t>
            </w:r>
          </w:p>
        </w:tc>
        <w:tc>
          <w:tcPr>
            <w:tcW w:w="1095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基本按照条件补助到位</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690" w:type="dxa"/>
            <w:gridSpan w:val="5"/>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库区大病救助</w:t>
            </w:r>
          </w:p>
        </w:tc>
        <w:tc>
          <w:tcPr>
            <w:tcW w:w="36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200户</w:t>
            </w:r>
          </w:p>
        </w:tc>
        <w:tc>
          <w:tcPr>
            <w:tcW w:w="1095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广泛覆盖库区</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345" w:type="dxa"/>
            <w:gridSpan w:val="2"/>
            <w:vMerge w:val="restart"/>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时效指标</w:t>
            </w:r>
          </w:p>
        </w:tc>
        <w:tc>
          <w:tcPr>
            <w:tcW w:w="690" w:type="dxa"/>
            <w:gridSpan w:val="5"/>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专项资金到位率</w:t>
            </w:r>
          </w:p>
        </w:tc>
        <w:tc>
          <w:tcPr>
            <w:tcW w:w="36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95%以上</w:t>
            </w:r>
          </w:p>
        </w:tc>
        <w:tc>
          <w:tcPr>
            <w:tcW w:w="1095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全额到位</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690" w:type="dxa"/>
            <w:gridSpan w:val="5"/>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公共墓地建设</w:t>
            </w:r>
          </w:p>
        </w:tc>
        <w:tc>
          <w:tcPr>
            <w:tcW w:w="36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年底前完成</w:t>
            </w:r>
          </w:p>
        </w:tc>
        <w:tc>
          <w:tcPr>
            <w:tcW w:w="1095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全面完成</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690" w:type="dxa"/>
            <w:gridSpan w:val="5"/>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居民集中安置点</w:t>
            </w:r>
          </w:p>
        </w:tc>
        <w:tc>
          <w:tcPr>
            <w:tcW w:w="36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年底前完成</w:t>
            </w:r>
          </w:p>
        </w:tc>
        <w:tc>
          <w:tcPr>
            <w:tcW w:w="1095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全面完成</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690" w:type="dxa"/>
            <w:gridSpan w:val="5"/>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财政支出绩效目标</w:t>
            </w:r>
          </w:p>
        </w:tc>
        <w:tc>
          <w:tcPr>
            <w:tcW w:w="36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309.5</w:t>
            </w:r>
          </w:p>
        </w:tc>
        <w:tc>
          <w:tcPr>
            <w:tcW w:w="1095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办公场地改造后办公用品全面采购</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345"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成本指标</w:t>
            </w:r>
          </w:p>
        </w:tc>
        <w:tc>
          <w:tcPr>
            <w:tcW w:w="690" w:type="dxa"/>
            <w:gridSpan w:val="5"/>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控建拆违工作强硬有力，建房规划审批日趋完善</w:t>
            </w:r>
          </w:p>
        </w:tc>
        <w:tc>
          <w:tcPr>
            <w:tcW w:w="36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库区群众规划意识明显增强</w:t>
            </w:r>
          </w:p>
        </w:tc>
        <w:tc>
          <w:tcPr>
            <w:tcW w:w="1095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效益明显</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690" w:type="dxa"/>
            <w:gridSpan w:val="2"/>
            <w:vMerge w:val="restart"/>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效益目标</w:t>
            </w:r>
          </w:p>
          <w:p>
            <w:pPr>
              <w:widowControl/>
              <w:spacing w:line="480" w:lineRule="auto"/>
              <w:rPr>
                <w:rFonts w:ascii="宋体" w:hAnsi="宋体" w:eastAsia="宋体" w:cs="宋体"/>
                <w:kern w:val="0"/>
                <w:sz w:val="24"/>
                <w:szCs w:val="24"/>
              </w:rPr>
            </w:pPr>
            <w:r>
              <w:rPr>
                <w:rFonts w:ascii="宋体" w:hAnsi="宋体" w:eastAsia="宋体" w:cs="宋体"/>
                <w:kern w:val="0"/>
                <w:sz w:val="24"/>
                <w:szCs w:val="24"/>
              </w:rPr>
              <w:t>（预期实现的效益）</w:t>
            </w:r>
          </w:p>
        </w:tc>
        <w:tc>
          <w:tcPr>
            <w:tcW w:w="345"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社会效益</w:t>
            </w:r>
          </w:p>
        </w:tc>
        <w:tc>
          <w:tcPr>
            <w:tcW w:w="690" w:type="dxa"/>
            <w:gridSpan w:val="5"/>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污染企业关停之畜禽退养完成全面摸底并启动补贴程序</w:t>
            </w:r>
          </w:p>
        </w:tc>
        <w:tc>
          <w:tcPr>
            <w:tcW w:w="36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效益明显</w:t>
            </w:r>
          </w:p>
        </w:tc>
        <w:tc>
          <w:tcPr>
            <w:tcW w:w="1095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全面退养后铁山水库水质得到明显提升</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345"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环保效益</w:t>
            </w:r>
          </w:p>
        </w:tc>
        <w:tc>
          <w:tcPr>
            <w:tcW w:w="690" w:type="dxa"/>
            <w:gridSpan w:val="5"/>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社会公众满意度</w:t>
            </w:r>
          </w:p>
        </w:tc>
        <w:tc>
          <w:tcPr>
            <w:tcW w:w="36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95%以上</w:t>
            </w:r>
          </w:p>
        </w:tc>
        <w:tc>
          <w:tcPr>
            <w:tcW w:w="1095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95%以上</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345"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社会公众或服务对象满意度</w:t>
            </w:r>
          </w:p>
        </w:tc>
        <w:tc>
          <w:tcPr>
            <w:tcW w:w="690" w:type="dxa"/>
            <w:gridSpan w:val="5"/>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36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0950"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1260" w:type="dxa"/>
            <w:gridSpan w:val="3"/>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绩效自评综合得分</w:t>
            </w:r>
          </w:p>
        </w:tc>
        <w:tc>
          <w:tcPr>
            <w:tcW w:w="12525" w:type="dxa"/>
            <w:gridSpan w:val="11"/>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95</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gridAfter w:val="5"/>
          <w:wAfter w:w="11949" w:type="dxa"/>
        </w:trPr>
        <w:tc>
          <w:tcPr>
            <w:tcW w:w="1260" w:type="dxa"/>
            <w:gridSpan w:val="3"/>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评价等次</w:t>
            </w:r>
          </w:p>
        </w:tc>
        <w:tc>
          <w:tcPr>
            <w:tcW w:w="12525" w:type="dxa"/>
            <w:gridSpan w:val="11"/>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优秀</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13845" w:type="dxa"/>
            <w:gridSpan w:val="14"/>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四、评价人员</w:t>
            </w:r>
          </w:p>
        </w:tc>
        <w:tc>
          <w:tcPr>
            <w:tcW w:w="114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7275"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签  字</w:t>
            </w:r>
          </w:p>
        </w:tc>
        <w:tc>
          <w:tcPr>
            <w:tcW w:w="1155"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5"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51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姓  名</w:t>
            </w:r>
          </w:p>
        </w:tc>
        <w:tc>
          <w:tcPr>
            <w:tcW w:w="1365" w:type="dxa"/>
            <w:gridSpan w:val="6"/>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职务/职称</w:t>
            </w:r>
          </w:p>
        </w:tc>
        <w:tc>
          <w:tcPr>
            <w:tcW w:w="1125" w:type="dxa"/>
            <w:gridSpan w:val="6"/>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单  位</w:t>
            </w:r>
          </w:p>
        </w:tc>
        <w:tc>
          <w:tcPr>
            <w:tcW w:w="10755"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0" w:type="auto"/>
            <w:vAlign w:val="center"/>
          </w:tcPr>
          <w:p>
            <w:pPr>
              <w:widowControl/>
              <w:jc w:val="left"/>
              <w:rPr>
                <w:rFonts w:ascii="Times New Roman" w:hAnsi="Times New Roman" w:eastAsia="Times New Roman" w:cs="Times New Roman"/>
                <w:kern w:val="0"/>
                <w:sz w:val="20"/>
                <w:szCs w:val="20"/>
              </w:rPr>
            </w:pPr>
          </w:p>
        </w:tc>
        <w:tc>
          <w:tcPr>
            <w:tcW w:w="0" w:type="auto"/>
            <w:vAlign w:val="center"/>
          </w:tcPr>
          <w:p>
            <w:pPr>
              <w:widowControl/>
              <w:jc w:val="left"/>
              <w:rPr>
                <w:rFonts w:ascii="Times New Roman" w:hAnsi="Times New Roman" w:eastAsia="Times New Roman" w:cs="Times New Roman"/>
                <w:kern w:val="0"/>
                <w:sz w:val="20"/>
                <w:szCs w:val="20"/>
              </w:rPr>
            </w:pPr>
          </w:p>
        </w:tc>
        <w:tc>
          <w:tcPr>
            <w:tcW w:w="0" w:type="auto"/>
            <w:vAlign w:val="center"/>
          </w:tcPr>
          <w:p>
            <w:pPr>
              <w:widowControl/>
              <w:jc w:val="left"/>
              <w:rPr>
                <w:rFonts w:ascii="Times New Roman" w:hAnsi="Times New Roman" w:eastAsia="Times New Roman" w:cs="Times New Roman"/>
                <w:kern w:val="0"/>
                <w:sz w:val="20"/>
                <w:szCs w:val="20"/>
              </w:rPr>
            </w:pPr>
          </w:p>
        </w:tc>
        <w:tc>
          <w:tcPr>
            <w:tcW w:w="0" w:type="auto"/>
            <w:vAlign w:val="center"/>
          </w:tcPr>
          <w:p>
            <w:pPr>
              <w:widowControl/>
              <w:jc w:val="left"/>
              <w:rPr>
                <w:rFonts w:ascii="Times New Roman" w:hAnsi="Times New Roman" w:eastAsia="Times New Roman" w:cs="Times New Roman"/>
                <w:kern w:val="0"/>
                <w:sz w:val="20"/>
                <w:szCs w:val="20"/>
              </w:rPr>
            </w:pPr>
          </w:p>
        </w:tc>
        <w:tc>
          <w:tcPr>
            <w:tcW w:w="0" w:type="auto"/>
            <w:vAlign w:val="center"/>
          </w:tcPr>
          <w:p>
            <w:pPr>
              <w:widowControl/>
              <w:jc w:val="left"/>
              <w:rPr>
                <w:rFonts w:ascii="Times New Roman" w:hAnsi="Times New Roman" w:eastAsia="Times New Roman" w:cs="Times New Roman"/>
                <w:kern w:val="0"/>
                <w:sz w:val="20"/>
                <w:szCs w:val="20"/>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51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付红宾</w:t>
            </w:r>
          </w:p>
        </w:tc>
        <w:tc>
          <w:tcPr>
            <w:tcW w:w="1365" w:type="dxa"/>
            <w:gridSpan w:val="6"/>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主任</w:t>
            </w:r>
          </w:p>
        </w:tc>
        <w:tc>
          <w:tcPr>
            <w:tcW w:w="1125" w:type="dxa"/>
            <w:gridSpan w:val="6"/>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本单位</w:t>
            </w:r>
          </w:p>
        </w:tc>
        <w:tc>
          <w:tcPr>
            <w:tcW w:w="10755"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0" w:type="auto"/>
            <w:vAlign w:val="center"/>
          </w:tcPr>
          <w:p>
            <w:pPr>
              <w:widowControl/>
              <w:jc w:val="left"/>
              <w:rPr>
                <w:rFonts w:ascii="Times New Roman" w:hAnsi="Times New Roman" w:eastAsia="Times New Roman" w:cs="Times New Roman"/>
                <w:kern w:val="0"/>
                <w:sz w:val="20"/>
                <w:szCs w:val="20"/>
              </w:rPr>
            </w:pPr>
          </w:p>
        </w:tc>
        <w:tc>
          <w:tcPr>
            <w:tcW w:w="0" w:type="auto"/>
            <w:vAlign w:val="center"/>
          </w:tcPr>
          <w:p>
            <w:pPr>
              <w:widowControl/>
              <w:jc w:val="left"/>
              <w:rPr>
                <w:rFonts w:ascii="Times New Roman" w:hAnsi="Times New Roman" w:eastAsia="Times New Roman" w:cs="Times New Roman"/>
                <w:kern w:val="0"/>
                <w:sz w:val="20"/>
                <w:szCs w:val="20"/>
              </w:rPr>
            </w:pPr>
          </w:p>
        </w:tc>
        <w:tc>
          <w:tcPr>
            <w:tcW w:w="0" w:type="auto"/>
            <w:vAlign w:val="center"/>
          </w:tcPr>
          <w:p>
            <w:pPr>
              <w:widowControl/>
              <w:jc w:val="left"/>
              <w:rPr>
                <w:rFonts w:ascii="Times New Roman" w:hAnsi="Times New Roman" w:eastAsia="Times New Roman" w:cs="Times New Roman"/>
                <w:kern w:val="0"/>
                <w:sz w:val="20"/>
                <w:szCs w:val="20"/>
              </w:rPr>
            </w:pPr>
          </w:p>
        </w:tc>
        <w:tc>
          <w:tcPr>
            <w:tcW w:w="0" w:type="auto"/>
            <w:vAlign w:val="center"/>
          </w:tcPr>
          <w:p>
            <w:pPr>
              <w:widowControl/>
              <w:jc w:val="left"/>
              <w:rPr>
                <w:rFonts w:ascii="Times New Roman" w:hAnsi="Times New Roman" w:eastAsia="Times New Roman" w:cs="Times New Roman"/>
                <w:kern w:val="0"/>
                <w:sz w:val="20"/>
                <w:szCs w:val="20"/>
              </w:rPr>
            </w:pPr>
          </w:p>
        </w:tc>
        <w:tc>
          <w:tcPr>
            <w:tcW w:w="0" w:type="auto"/>
            <w:vAlign w:val="center"/>
          </w:tcPr>
          <w:p>
            <w:pPr>
              <w:widowControl/>
              <w:jc w:val="left"/>
              <w:rPr>
                <w:rFonts w:ascii="Times New Roman" w:hAnsi="Times New Roman" w:eastAsia="Times New Roman" w:cs="Times New Roman"/>
                <w:kern w:val="0"/>
                <w:sz w:val="20"/>
                <w:szCs w:val="20"/>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51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杨拥军</w:t>
            </w:r>
          </w:p>
        </w:tc>
        <w:tc>
          <w:tcPr>
            <w:tcW w:w="1365" w:type="dxa"/>
            <w:gridSpan w:val="6"/>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副主任</w:t>
            </w:r>
          </w:p>
        </w:tc>
        <w:tc>
          <w:tcPr>
            <w:tcW w:w="1125" w:type="dxa"/>
            <w:gridSpan w:val="6"/>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本单位</w:t>
            </w:r>
          </w:p>
        </w:tc>
        <w:tc>
          <w:tcPr>
            <w:tcW w:w="10755"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0" w:type="auto"/>
            <w:vAlign w:val="center"/>
          </w:tcPr>
          <w:p>
            <w:pPr>
              <w:widowControl/>
              <w:jc w:val="left"/>
              <w:rPr>
                <w:rFonts w:ascii="Times New Roman" w:hAnsi="Times New Roman" w:eastAsia="Times New Roman" w:cs="Times New Roman"/>
                <w:kern w:val="0"/>
                <w:sz w:val="20"/>
                <w:szCs w:val="20"/>
              </w:rPr>
            </w:pPr>
          </w:p>
        </w:tc>
        <w:tc>
          <w:tcPr>
            <w:tcW w:w="0" w:type="auto"/>
            <w:vAlign w:val="center"/>
          </w:tcPr>
          <w:p>
            <w:pPr>
              <w:widowControl/>
              <w:jc w:val="left"/>
              <w:rPr>
                <w:rFonts w:ascii="Times New Roman" w:hAnsi="Times New Roman" w:eastAsia="Times New Roman" w:cs="Times New Roman"/>
                <w:kern w:val="0"/>
                <w:sz w:val="20"/>
                <w:szCs w:val="20"/>
              </w:rPr>
            </w:pPr>
          </w:p>
        </w:tc>
        <w:tc>
          <w:tcPr>
            <w:tcW w:w="0" w:type="auto"/>
            <w:vAlign w:val="center"/>
          </w:tcPr>
          <w:p>
            <w:pPr>
              <w:widowControl/>
              <w:jc w:val="left"/>
              <w:rPr>
                <w:rFonts w:ascii="Times New Roman" w:hAnsi="Times New Roman" w:eastAsia="Times New Roman" w:cs="Times New Roman"/>
                <w:kern w:val="0"/>
                <w:sz w:val="20"/>
                <w:szCs w:val="20"/>
              </w:rPr>
            </w:pPr>
          </w:p>
        </w:tc>
        <w:tc>
          <w:tcPr>
            <w:tcW w:w="0" w:type="auto"/>
            <w:vAlign w:val="center"/>
          </w:tcPr>
          <w:p>
            <w:pPr>
              <w:widowControl/>
              <w:jc w:val="left"/>
              <w:rPr>
                <w:rFonts w:ascii="Times New Roman" w:hAnsi="Times New Roman" w:eastAsia="Times New Roman" w:cs="Times New Roman"/>
                <w:kern w:val="0"/>
                <w:sz w:val="20"/>
                <w:szCs w:val="20"/>
              </w:rPr>
            </w:pPr>
          </w:p>
        </w:tc>
        <w:tc>
          <w:tcPr>
            <w:tcW w:w="0" w:type="auto"/>
            <w:vAlign w:val="center"/>
          </w:tcPr>
          <w:p>
            <w:pPr>
              <w:widowControl/>
              <w:jc w:val="left"/>
              <w:rPr>
                <w:rFonts w:ascii="Times New Roman" w:hAnsi="Times New Roman" w:eastAsia="Times New Roman" w:cs="Times New Roman"/>
                <w:kern w:val="0"/>
                <w:sz w:val="20"/>
                <w:szCs w:val="20"/>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51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刘芳琴</w:t>
            </w:r>
          </w:p>
        </w:tc>
        <w:tc>
          <w:tcPr>
            <w:tcW w:w="1365" w:type="dxa"/>
            <w:gridSpan w:val="6"/>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会计</w:t>
            </w:r>
          </w:p>
        </w:tc>
        <w:tc>
          <w:tcPr>
            <w:tcW w:w="1125" w:type="dxa"/>
            <w:gridSpan w:val="6"/>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本单位</w:t>
            </w:r>
          </w:p>
        </w:tc>
        <w:tc>
          <w:tcPr>
            <w:tcW w:w="10755"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0" w:type="auto"/>
            <w:vAlign w:val="center"/>
          </w:tcPr>
          <w:p>
            <w:pPr>
              <w:widowControl/>
              <w:jc w:val="left"/>
              <w:rPr>
                <w:rFonts w:ascii="Times New Roman" w:hAnsi="Times New Roman" w:eastAsia="Times New Roman" w:cs="Times New Roman"/>
                <w:kern w:val="0"/>
                <w:sz w:val="20"/>
                <w:szCs w:val="20"/>
              </w:rPr>
            </w:pPr>
          </w:p>
        </w:tc>
        <w:tc>
          <w:tcPr>
            <w:tcW w:w="0" w:type="auto"/>
            <w:vAlign w:val="center"/>
          </w:tcPr>
          <w:p>
            <w:pPr>
              <w:widowControl/>
              <w:jc w:val="left"/>
              <w:rPr>
                <w:rFonts w:ascii="Times New Roman" w:hAnsi="Times New Roman" w:eastAsia="Times New Roman" w:cs="Times New Roman"/>
                <w:kern w:val="0"/>
                <w:sz w:val="20"/>
                <w:szCs w:val="20"/>
              </w:rPr>
            </w:pPr>
          </w:p>
        </w:tc>
        <w:tc>
          <w:tcPr>
            <w:tcW w:w="0" w:type="auto"/>
            <w:vAlign w:val="center"/>
          </w:tcPr>
          <w:p>
            <w:pPr>
              <w:widowControl/>
              <w:jc w:val="left"/>
              <w:rPr>
                <w:rFonts w:ascii="Times New Roman" w:hAnsi="Times New Roman" w:eastAsia="Times New Roman" w:cs="Times New Roman"/>
                <w:kern w:val="0"/>
                <w:sz w:val="20"/>
                <w:szCs w:val="20"/>
              </w:rPr>
            </w:pPr>
          </w:p>
        </w:tc>
        <w:tc>
          <w:tcPr>
            <w:tcW w:w="0" w:type="auto"/>
            <w:vAlign w:val="center"/>
          </w:tcPr>
          <w:p>
            <w:pPr>
              <w:widowControl/>
              <w:jc w:val="left"/>
              <w:rPr>
                <w:rFonts w:ascii="Times New Roman" w:hAnsi="Times New Roman" w:eastAsia="Times New Roman" w:cs="Times New Roman"/>
                <w:kern w:val="0"/>
                <w:sz w:val="20"/>
                <w:szCs w:val="20"/>
              </w:rPr>
            </w:pPr>
          </w:p>
        </w:tc>
        <w:tc>
          <w:tcPr>
            <w:tcW w:w="0" w:type="auto"/>
            <w:vAlign w:val="center"/>
          </w:tcPr>
          <w:p>
            <w:pPr>
              <w:widowControl/>
              <w:jc w:val="left"/>
              <w:rPr>
                <w:rFonts w:ascii="Times New Roman" w:hAnsi="Times New Roman" w:eastAsia="Times New Roman" w:cs="Times New Roman"/>
                <w:kern w:val="0"/>
                <w:sz w:val="20"/>
                <w:szCs w:val="20"/>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51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何东凯</w:t>
            </w:r>
          </w:p>
        </w:tc>
        <w:tc>
          <w:tcPr>
            <w:tcW w:w="1365" w:type="dxa"/>
            <w:gridSpan w:val="6"/>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办公室主任</w:t>
            </w:r>
          </w:p>
        </w:tc>
        <w:tc>
          <w:tcPr>
            <w:tcW w:w="1125" w:type="dxa"/>
            <w:gridSpan w:val="6"/>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本单位</w:t>
            </w:r>
          </w:p>
        </w:tc>
        <w:tc>
          <w:tcPr>
            <w:tcW w:w="10755"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0" w:type="auto"/>
            <w:vAlign w:val="center"/>
          </w:tcPr>
          <w:p>
            <w:pPr>
              <w:widowControl/>
              <w:jc w:val="left"/>
              <w:rPr>
                <w:rFonts w:ascii="Times New Roman" w:hAnsi="Times New Roman" w:eastAsia="Times New Roman" w:cs="Times New Roman"/>
                <w:kern w:val="0"/>
                <w:sz w:val="20"/>
                <w:szCs w:val="20"/>
              </w:rPr>
            </w:pPr>
          </w:p>
        </w:tc>
        <w:tc>
          <w:tcPr>
            <w:tcW w:w="0" w:type="auto"/>
            <w:vAlign w:val="center"/>
          </w:tcPr>
          <w:p>
            <w:pPr>
              <w:widowControl/>
              <w:jc w:val="left"/>
              <w:rPr>
                <w:rFonts w:ascii="Times New Roman" w:hAnsi="Times New Roman" w:eastAsia="Times New Roman" w:cs="Times New Roman"/>
                <w:kern w:val="0"/>
                <w:sz w:val="20"/>
                <w:szCs w:val="20"/>
              </w:rPr>
            </w:pPr>
          </w:p>
        </w:tc>
        <w:tc>
          <w:tcPr>
            <w:tcW w:w="0" w:type="auto"/>
            <w:vAlign w:val="center"/>
          </w:tcPr>
          <w:p>
            <w:pPr>
              <w:widowControl/>
              <w:jc w:val="left"/>
              <w:rPr>
                <w:rFonts w:ascii="Times New Roman" w:hAnsi="Times New Roman" w:eastAsia="Times New Roman" w:cs="Times New Roman"/>
                <w:kern w:val="0"/>
                <w:sz w:val="20"/>
                <w:szCs w:val="20"/>
              </w:rPr>
            </w:pPr>
          </w:p>
        </w:tc>
        <w:tc>
          <w:tcPr>
            <w:tcW w:w="0" w:type="auto"/>
            <w:vAlign w:val="center"/>
          </w:tcPr>
          <w:p>
            <w:pPr>
              <w:widowControl/>
              <w:jc w:val="left"/>
              <w:rPr>
                <w:rFonts w:ascii="Times New Roman" w:hAnsi="Times New Roman" w:eastAsia="Times New Roman" w:cs="Times New Roman"/>
                <w:kern w:val="0"/>
                <w:sz w:val="20"/>
                <w:szCs w:val="20"/>
              </w:rPr>
            </w:pPr>
          </w:p>
        </w:tc>
        <w:tc>
          <w:tcPr>
            <w:tcW w:w="0" w:type="auto"/>
            <w:vAlign w:val="center"/>
          </w:tcPr>
          <w:p>
            <w:pPr>
              <w:widowControl/>
              <w:jc w:val="left"/>
              <w:rPr>
                <w:rFonts w:ascii="Times New Roman" w:hAnsi="Times New Roman" w:eastAsia="Times New Roman" w:cs="Times New Roman"/>
                <w:kern w:val="0"/>
                <w:sz w:val="20"/>
                <w:szCs w:val="20"/>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13935" w:type="dxa"/>
            <w:gridSpan w:val="14"/>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评价组组长（签字）：</w:t>
            </w:r>
          </w:p>
          <w:p>
            <w:pPr>
              <w:widowControl/>
              <w:spacing w:line="480" w:lineRule="auto"/>
              <w:rPr>
                <w:rFonts w:ascii="宋体" w:hAnsi="宋体" w:eastAsia="宋体" w:cs="宋体"/>
                <w:kern w:val="0"/>
                <w:sz w:val="24"/>
                <w:szCs w:val="24"/>
              </w:rPr>
            </w:pPr>
            <w:r>
              <w:rPr>
                <w:rFonts w:ascii="宋体" w:hAnsi="宋体" w:eastAsia="宋体" w:cs="宋体"/>
                <w:kern w:val="0"/>
                <w:sz w:val="24"/>
                <w:szCs w:val="24"/>
              </w:rPr>
              <w:t>年    月    日</w:t>
            </w:r>
          </w:p>
        </w:tc>
        <w:tc>
          <w:tcPr>
            <w:tcW w:w="0" w:type="auto"/>
            <w:vAlign w:val="center"/>
          </w:tcPr>
          <w:p>
            <w:pPr>
              <w:widowControl/>
              <w:jc w:val="left"/>
              <w:rPr>
                <w:rFonts w:ascii="Times New Roman" w:hAnsi="Times New Roman" w:eastAsia="Times New Roman" w:cs="Times New Roman"/>
                <w:kern w:val="0"/>
                <w:sz w:val="20"/>
                <w:szCs w:val="20"/>
              </w:rPr>
            </w:pPr>
          </w:p>
        </w:tc>
        <w:tc>
          <w:tcPr>
            <w:tcW w:w="0" w:type="auto"/>
            <w:vAlign w:val="center"/>
          </w:tcPr>
          <w:p>
            <w:pPr>
              <w:widowControl/>
              <w:jc w:val="left"/>
              <w:rPr>
                <w:rFonts w:ascii="Times New Roman" w:hAnsi="Times New Roman" w:eastAsia="Times New Roman" w:cs="Times New Roman"/>
                <w:kern w:val="0"/>
                <w:sz w:val="20"/>
                <w:szCs w:val="20"/>
              </w:rPr>
            </w:pPr>
          </w:p>
        </w:tc>
        <w:tc>
          <w:tcPr>
            <w:tcW w:w="0" w:type="auto"/>
            <w:vAlign w:val="center"/>
          </w:tcPr>
          <w:p>
            <w:pPr>
              <w:widowControl/>
              <w:jc w:val="left"/>
              <w:rPr>
                <w:rFonts w:ascii="Times New Roman" w:hAnsi="Times New Roman" w:eastAsia="Times New Roman" w:cs="Times New Roman"/>
                <w:kern w:val="0"/>
                <w:sz w:val="20"/>
                <w:szCs w:val="20"/>
              </w:rPr>
            </w:pPr>
          </w:p>
        </w:tc>
        <w:tc>
          <w:tcPr>
            <w:tcW w:w="0" w:type="auto"/>
            <w:vAlign w:val="center"/>
          </w:tcPr>
          <w:p>
            <w:pPr>
              <w:widowControl/>
              <w:jc w:val="left"/>
              <w:rPr>
                <w:rFonts w:ascii="Times New Roman" w:hAnsi="Times New Roman" w:eastAsia="Times New Roman" w:cs="Times New Roman"/>
                <w:kern w:val="0"/>
                <w:sz w:val="20"/>
                <w:szCs w:val="20"/>
              </w:rPr>
            </w:pPr>
          </w:p>
        </w:tc>
        <w:tc>
          <w:tcPr>
            <w:tcW w:w="0" w:type="auto"/>
            <w:vAlign w:val="center"/>
          </w:tcPr>
          <w:p>
            <w:pPr>
              <w:widowControl/>
              <w:jc w:val="left"/>
              <w:rPr>
                <w:rFonts w:ascii="Times New Roman" w:hAnsi="Times New Roman" w:eastAsia="Times New Roman" w:cs="Times New Roman"/>
                <w:kern w:val="0"/>
                <w:sz w:val="20"/>
                <w:szCs w:val="20"/>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13935" w:type="dxa"/>
            <w:gridSpan w:val="14"/>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部门（单位）意见：</w:t>
            </w:r>
          </w:p>
          <w:p>
            <w:pPr>
              <w:widowControl/>
              <w:spacing w:line="480" w:lineRule="auto"/>
              <w:rPr>
                <w:rFonts w:ascii="宋体" w:hAnsi="宋体" w:eastAsia="宋体" w:cs="宋体"/>
                <w:kern w:val="0"/>
                <w:sz w:val="24"/>
                <w:szCs w:val="24"/>
              </w:rPr>
            </w:pPr>
            <w:r>
              <w:rPr>
                <w:rFonts w:ascii="宋体" w:hAnsi="宋体" w:eastAsia="宋体" w:cs="宋体"/>
                <w:kern w:val="0"/>
                <w:sz w:val="24"/>
                <w:szCs w:val="24"/>
              </w:rPr>
              <w:t>部门（单位）负责人（签字）：</w:t>
            </w:r>
          </w:p>
          <w:p>
            <w:pPr>
              <w:widowControl/>
              <w:spacing w:line="480" w:lineRule="auto"/>
              <w:rPr>
                <w:rFonts w:ascii="宋体" w:hAnsi="宋体" w:eastAsia="宋体" w:cs="宋体"/>
                <w:kern w:val="0"/>
                <w:sz w:val="24"/>
                <w:szCs w:val="24"/>
              </w:rPr>
            </w:pPr>
            <w:r>
              <w:rPr>
                <w:rFonts w:ascii="宋体" w:hAnsi="宋体" w:eastAsia="宋体" w:cs="宋体"/>
                <w:kern w:val="0"/>
                <w:sz w:val="24"/>
                <w:szCs w:val="24"/>
              </w:rPr>
              <w:t>年    月    日</w:t>
            </w:r>
          </w:p>
        </w:tc>
        <w:tc>
          <w:tcPr>
            <w:tcW w:w="0" w:type="auto"/>
            <w:vAlign w:val="center"/>
          </w:tcPr>
          <w:p>
            <w:pPr>
              <w:widowControl/>
              <w:spacing w:line="480" w:lineRule="auto"/>
              <w:rPr>
                <w:rFonts w:ascii="宋体" w:hAnsi="宋体" w:eastAsia="宋体" w:cs="宋体"/>
                <w:kern w:val="0"/>
                <w:sz w:val="24"/>
                <w:szCs w:val="24"/>
              </w:rPr>
            </w:pPr>
          </w:p>
        </w:tc>
        <w:tc>
          <w:tcPr>
            <w:tcW w:w="0" w:type="auto"/>
            <w:vAlign w:val="center"/>
          </w:tcPr>
          <w:p>
            <w:pPr>
              <w:widowControl/>
              <w:spacing w:line="480" w:lineRule="auto"/>
              <w:rPr>
                <w:rFonts w:ascii="宋体" w:hAnsi="宋体" w:eastAsia="宋体" w:cs="宋体"/>
                <w:kern w:val="0"/>
                <w:sz w:val="24"/>
                <w:szCs w:val="24"/>
              </w:rPr>
            </w:pPr>
          </w:p>
        </w:tc>
        <w:tc>
          <w:tcPr>
            <w:tcW w:w="0" w:type="auto"/>
            <w:vAlign w:val="center"/>
          </w:tcPr>
          <w:p>
            <w:pPr>
              <w:widowControl/>
              <w:spacing w:line="480" w:lineRule="auto"/>
              <w:rPr>
                <w:rFonts w:ascii="宋体" w:hAnsi="宋体" w:eastAsia="宋体" w:cs="宋体"/>
                <w:kern w:val="0"/>
                <w:sz w:val="24"/>
                <w:szCs w:val="24"/>
              </w:rPr>
            </w:pPr>
          </w:p>
        </w:tc>
        <w:tc>
          <w:tcPr>
            <w:tcW w:w="0" w:type="auto"/>
            <w:vAlign w:val="center"/>
          </w:tcPr>
          <w:p>
            <w:pPr>
              <w:widowControl/>
              <w:spacing w:line="480" w:lineRule="auto"/>
              <w:rPr>
                <w:rFonts w:ascii="宋体" w:hAnsi="宋体" w:eastAsia="宋体" w:cs="宋体"/>
                <w:kern w:val="0"/>
                <w:sz w:val="24"/>
                <w:szCs w:val="24"/>
              </w:rPr>
            </w:pPr>
          </w:p>
        </w:tc>
        <w:tc>
          <w:tcPr>
            <w:tcW w:w="0" w:type="auto"/>
            <w:vAlign w:val="center"/>
          </w:tcPr>
          <w:p>
            <w:pPr>
              <w:widowControl/>
              <w:spacing w:line="480" w:lineRule="auto"/>
              <w:rPr>
                <w:rFonts w:ascii="宋体" w:hAnsi="宋体" w:eastAsia="宋体" w:cs="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51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p>
        </w:tc>
        <w:tc>
          <w:tcPr>
            <w:tcW w:w="51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p>
        </w:tc>
        <w:tc>
          <w:tcPr>
            <w:tcW w:w="18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p>
        </w:tc>
        <w:tc>
          <w:tcPr>
            <w:tcW w:w="195"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p>
        </w:tc>
        <w:tc>
          <w:tcPr>
            <w:tcW w:w="165"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p>
        </w:tc>
        <w:tc>
          <w:tcPr>
            <w:tcW w:w="45"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p>
        </w:tc>
        <w:tc>
          <w:tcPr>
            <w:tcW w:w="6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p>
        </w:tc>
        <w:tc>
          <w:tcPr>
            <w:tcW w:w="105"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p>
        </w:tc>
        <w:tc>
          <w:tcPr>
            <w:tcW w:w="21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p>
        </w:tc>
        <w:tc>
          <w:tcPr>
            <w:tcW w:w="75"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p>
        </w:tc>
        <w:tc>
          <w:tcPr>
            <w:tcW w:w="105"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p>
        </w:tc>
        <w:tc>
          <w:tcPr>
            <w:tcW w:w="24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p>
        </w:tc>
        <w:tc>
          <w:tcPr>
            <w:tcW w:w="21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p>
        </w:tc>
        <w:tc>
          <w:tcPr>
            <w:tcW w:w="1077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p>
        </w:tc>
        <w:tc>
          <w:tcPr>
            <w:tcW w:w="1395"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p>
        </w:tc>
        <w:tc>
          <w:tcPr>
            <w:tcW w:w="15"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p>
        </w:tc>
        <w:tc>
          <w:tcPr>
            <w:tcW w:w="975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spacing w:line="480" w:lineRule="auto"/>
              <w:rPr>
                <w:rFonts w:ascii="宋体" w:hAnsi="宋体" w:eastAsia="宋体" w:cs="宋体"/>
                <w:kern w:val="0"/>
                <w:sz w:val="24"/>
                <w:szCs w:val="24"/>
              </w:rPr>
            </w:pPr>
          </w:p>
        </w:tc>
        <w:tc>
          <w:tcPr>
            <w:tcW w:w="0" w:type="auto"/>
            <w:vAlign w:val="center"/>
          </w:tcPr>
          <w:p>
            <w:pPr>
              <w:widowControl/>
              <w:spacing w:line="480" w:lineRule="auto"/>
              <w:rPr>
                <w:rFonts w:ascii="宋体" w:hAnsi="宋体" w:eastAsia="宋体" w:cs="宋体"/>
                <w:kern w:val="0"/>
                <w:sz w:val="24"/>
                <w:szCs w:val="24"/>
              </w:rPr>
            </w:pPr>
          </w:p>
        </w:tc>
        <w:tc>
          <w:tcPr>
            <w:tcW w:w="0" w:type="auto"/>
            <w:vAlign w:val="center"/>
          </w:tcPr>
          <w:p>
            <w:pPr>
              <w:widowControl/>
              <w:spacing w:line="480" w:lineRule="auto"/>
              <w:rPr>
                <w:rFonts w:ascii="宋体" w:hAnsi="宋体" w:eastAsia="宋体" w:cs="宋体"/>
                <w:kern w:val="0"/>
                <w:sz w:val="24"/>
                <w:szCs w:val="24"/>
              </w:rPr>
            </w:pPr>
          </w:p>
        </w:tc>
      </w:tr>
    </w:tbl>
    <w:p>
      <w:pPr>
        <w:widowControl/>
        <w:spacing w:line="480" w:lineRule="auto"/>
        <w:rPr>
          <w:rFonts w:hint="default" w:ascii="宋体" w:hAnsi="宋体" w:eastAsia="宋体" w:cs="宋体"/>
          <w:kern w:val="0"/>
          <w:sz w:val="24"/>
          <w:szCs w:val="24"/>
          <w:lang w:val="en-US" w:eastAsia="zh-CN"/>
        </w:rPr>
      </w:pPr>
      <w:r>
        <w:rPr>
          <w:rFonts w:hint="eastAsia" w:ascii="宋体" w:hAnsi="宋体" w:eastAsia="宋体" w:cs="宋体"/>
          <w:kern w:val="0"/>
          <w:sz w:val="24"/>
          <w:szCs w:val="24"/>
        </w:rPr>
        <w:t>填报人（签名）：</w:t>
      </w:r>
      <w:r>
        <w:rPr>
          <w:rFonts w:hint="eastAsia" w:ascii="宋体" w:hAnsi="宋体" w:eastAsia="宋体" w:cs="宋体"/>
          <w:kern w:val="0"/>
          <w:sz w:val="24"/>
          <w:szCs w:val="24"/>
          <w:lang w:val="en-US" w:eastAsia="zh-CN"/>
        </w:rPr>
        <w:t>刘芳琴</w:t>
      </w:r>
      <w:r>
        <w:rPr>
          <w:rFonts w:hint="eastAsia" w:ascii="宋体" w:hAnsi="宋体" w:eastAsia="宋体" w:cs="宋体"/>
          <w:kern w:val="0"/>
          <w:sz w:val="24"/>
          <w:szCs w:val="24"/>
        </w:rPr>
        <w:t>          联系电话：</w:t>
      </w:r>
      <w:r>
        <w:rPr>
          <w:rFonts w:hint="eastAsia" w:ascii="宋体" w:hAnsi="宋体" w:eastAsia="宋体" w:cs="宋体"/>
          <w:kern w:val="0"/>
          <w:sz w:val="24"/>
          <w:szCs w:val="24"/>
          <w:lang w:val="en-US" w:eastAsia="zh-CN"/>
        </w:rPr>
        <w:t>13974011219</w:t>
      </w:r>
      <w:bookmarkStart w:id="0" w:name="_GoBack"/>
      <w:bookmarkEnd w:id="0"/>
    </w:p>
    <w:p>
      <w:pPr>
        <w:rPr>
          <w:rFonts w:hint="eastAsia"/>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县铁山水资源保护中心整体支出绩效自评报告</w:t>
      </w:r>
    </w:p>
    <w:p>
      <w:pPr>
        <w:keepNext w:val="0"/>
        <w:keepLines w:val="0"/>
        <w:pageBreakBefore w:val="0"/>
        <w:widowControl/>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kern w:val="0"/>
          <w:sz w:val="24"/>
          <w:szCs w:val="24"/>
        </w:rPr>
      </w:pPr>
    </w:p>
    <w:p>
      <w:pPr>
        <w:keepNext w:val="0"/>
        <w:keepLines w:val="0"/>
        <w:pageBreakBefore w:val="0"/>
        <w:widowControl/>
        <w:kinsoku/>
        <w:wordWrap/>
        <w:overflowPunct/>
        <w:topLinePunct w:val="0"/>
        <w:autoSpaceDE/>
        <w:autoSpaceDN/>
        <w:bidi w:val="0"/>
        <w:adjustRightInd/>
        <w:snapToGrid/>
        <w:spacing w:line="480" w:lineRule="auto"/>
        <w:ind w:firstLine="480" w:firstLineChars="200"/>
        <w:textAlignment w:val="auto"/>
        <w:rPr>
          <w:rFonts w:hint="eastAsia" w:ascii="黑体" w:hAnsi="黑体" w:eastAsia="黑体" w:cs="黑体"/>
          <w:kern w:val="0"/>
          <w:sz w:val="24"/>
          <w:szCs w:val="24"/>
        </w:rPr>
      </w:pPr>
      <w:r>
        <w:rPr>
          <w:rFonts w:hint="eastAsia" w:ascii="黑体" w:hAnsi="黑体" w:eastAsia="黑体" w:cs="黑体"/>
          <w:kern w:val="0"/>
          <w:sz w:val="24"/>
          <w:szCs w:val="24"/>
        </w:rPr>
        <w:t>一、单位概况</w:t>
      </w:r>
    </w:p>
    <w:p>
      <w:pPr>
        <w:keepNext w:val="0"/>
        <w:keepLines w:val="0"/>
        <w:pageBreakBefore w:val="0"/>
        <w:widowControl/>
        <w:kinsoku/>
        <w:wordWrap/>
        <w:overflowPunct/>
        <w:topLinePunct w:val="0"/>
        <w:autoSpaceDE/>
        <w:autoSpaceDN/>
        <w:bidi w:val="0"/>
        <w:adjustRightInd/>
        <w:snapToGrid/>
        <w:spacing w:line="480" w:lineRule="auto"/>
        <w:ind w:firstLine="482" w:firstLineChars="200"/>
        <w:textAlignment w:val="auto"/>
        <w:rPr>
          <w:rFonts w:hint="eastAsia" w:ascii="楷体_GB2312" w:hAnsi="楷体_GB2312" w:eastAsia="楷体_GB2312" w:cs="楷体_GB2312"/>
          <w:b/>
          <w:bCs/>
          <w:kern w:val="0"/>
          <w:sz w:val="24"/>
          <w:szCs w:val="24"/>
        </w:rPr>
      </w:pPr>
      <w:r>
        <w:rPr>
          <w:rFonts w:hint="eastAsia" w:ascii="楷体_GB2312" w:hAnsi="楷体_GB2312" w:eastAsia="楷体_GB2312" w:cs="楷体_GB2312"/>
          <w:b/>
          <w:bCs/>
          <w:kern w:val="0"/>
          <w:sz w:val="24"/>
          <w:szCs w:val="24"/>
        </w:rPr>
        <w:t>（一）单位基本情况</w:t>
      </w:r>
    </w:p>
    <w:p>
      <w:pPr>
        <w:keepNext w:val="0"/>
        <w:keepLines w:val="0"/>
        <w:pageBreakBefore w:val="0"/>
        <w:widowControl/>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1.主要职能</w:t>
      </w:r>
    </w:p>
    <w:p>
      <w:pPr>
        <w:keepNext w:val="0"/>
        <w:keepLines w:val="0"/>
        <w:pageBreakBefore w:val="0"/>
        <w:widowControl/>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负责贯彻执行铁山水资源保护方面的政策、法规，依法组织起草铁山水资源保护方面的规范性文件，拟订库区水资源保护工作中长期规划和年度计划，经批准后组织实施；负责库区“两保”工作，即保护铁山水资源，保障库区民生。</w:t>
      </w:r>
    </w:p>
    <w:p>
      <w:pPr>
        <w:keepNext w:val="0"/>
        <w:keepLines w:val="0"/>
        <w:pageBreakBefore w:val="0"/>
        <w:widowControl/>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2.机构设置</w:t>
      </w:r>
    </w:p>
    <w:p>
      <w:pPr>
        <w:keepNext w:val="0"/>
        <w:keepLines w:val="0"/>
        <w:pageBreakBefore w:val="0"/>
        <w:widowControl/>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机关内设7个股室，下属两个二级机构，分别为：办公室、水资源保护股、民生保障股、规划建设股、计划财务股、政工人事股、纪检监察室、毛田执法大队和月田执法大队。</w:t>
      </w:r>
    </w:p>
    <w:p>
      <w:pPr>
        <w:keepNext w:val="0"/>
        <w:keepLines w:val="0"/>
        <w:pageBreakBefore w:val="0"/>
        <w:widowControl/>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3.人员情况</w:t>
      </w:r>
    </w:p>
    <w:p>
      <w:pPr>
        <w:keepNext w:val="0"/>
        <w:keepLines w:val="0"/>
        <w:pageBreakBefore w:val="0"/>
        <w:widowControl/>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我中心应有编制数44个（其中三性用工人员编制8个），实际在职工作人员40人，无离退休人员，配置执法车3台、执法船1条，垃圾压缩车18台。</w:t>
      </w:r>
    </w:p>
    <w:p>
      <w:pPr>
        <w:keepNext w:val="0"/>
        <w:keepLines w:val="0"/>
        <w:pageBreakBefore w:val="0"/>
        <w:widowControl/>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4.2020年工作计划</w:t>
      </w:r>
    </w:p>
    <w:p>
      <w:pPr>
        <w:keepNext w:val="0"/>
        <w:keepLines w:val="0"/>
        <w:pageBreakBefore w:val="0"/>
        <w:widowControl/>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2020年是全面建成小康社会的关键之年，我们要紧紧抓住并用好这一重要战略机遇期，继续秉承“强基础，讲公心，严管理，正风纪，促两保，创双优”，集中力量开展“六控一治”，推进主题教育深入开展，全面建设惠及铁山库区的更高水平的小康社会。</w:t>
      </w:r>
    </w:p>
    <w:p>
      <w:pPr>
        <w:keepNext w:val="0"/>
        <w:keepLines w:val="0"/>
        <w:pageBreakBefore w:val="0"/>
        <w:widowControl/>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kern w:val="0"/>
          <w:sz w:val="24"/>
          <w:szCs w:val="24"/>
        </w:rPr>
      </w:pPr>
      <w:r>
        <w:rPr>
          <w:rFonts w:hint="eastAsia" w:ascii="宋体" w:hAnsi="宋体" w:eastAsia="宋体" w:cs="宋体"/>
          <w:b/>
          <w:bCs/>
          <w:kern w:val="0"/>
          <w:sz w:val="24"/>
          <w:szCs w:val="24"/>
        </w:rPr>
        <w:t>一是常态化深入开展主题教育。</w:t>
      </w:r>
      <w:r>
        <w:rPr>
          <w:rFonts w:hint="eastAsia" w:ascii="宋体" w:hAnsi="宋体" w:eastAsia="宋体" w:cs="宋体"/>
          <w:kern w:val="0"/>
          <w:sz w:val="24"/>
          <w:szCs w:val="24"/>
        </w:rPr>
        <w:t>坚持讲政治。开展主题教育，要把讲政治摆在首位，强化政治引领，加强政治能力锻炼，增强政治定力，切实把“旗帜鲜明讲政治”落实到一言一行中。坚持新思想。深入学习贯彻习近平新时代中国特色社会主义思想，坚持思想建党、理论强党，坚持用习近平新时代中国特色社会主义思想武装全党，抓好集中教育和经常性教育，深刻把握其精髓要义。坚持强宗旨。继续教育引导广大党员干部自觉践行党的根本宗旨，把群众观点、群众路线深深植根于思想中、具体落实到行动上。</w:t>
      </w:r>
    </w:p>
    <w:p>
      <w:pPr>
        <w:keepNext w:val="0"/>
        <w:keepLines w:val="0"/>
        <w:pageBreakBefore w:val="0"/>
        <w:widowControl/>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kern w:val="0"/>
          <w:sz w:val="24"/>
          <w:szCs w:val="24"/>
        </w:rPr>
      </w:pPr>
      <w:r>
        <w:rPr>
          <w:rFonts w:hint="eastAsia" w:ascii="宋体" w:hAnsi="宋体" w:eastAsia="宋体" w:cs="宋体"/>
          <w:b/>
          <w:bCs/>
          <w:kern w:val="0"/>
          <w:sz w:val="24"/>
          <w:szCs w:val="24"/>
        </w:rPr>
        <w:t>二是勠力同心打好脱贫攻坚战。</w:t>
      </w:r>
      <w:r>
        <w:rPr>
          <w:rFonts w:hint="eastAsia" w:ascii="宋体" w:hAnsi="宋体" w:eastAsia="宋体" w:cs="宋体"/>
          <w:kern w:val="0"/>
          <w:sz w:val="24"/>
          <w:szCs w:val="24"/>
        </w:rPr>
        <w:t>为深入贯彻落实省、市、县关于打赢脱贫攻坚战的指示精神，我中心立足帮扶点芭蕉村的禀赋和发展基础，认真谋划2020年打赢脱贫攻坚战工作思路。进一步明确脱贫攻坚工作目标。在省、市、县的统一部署下，大力发展芭蕉村的相关产业，带动贫困户增加收入；加大对芭蕉村的帮扶力度和就业培训，积极保障贫困人员就业增收稳定。进一步明确扶贫工作重点。加快制订库区产业规划，推进绿色无污染的扶贫产业的建设，大力发展林下经济，大力发展特色产业，大力发展乡村旅游等方面作为扶贫工作重点，积极抓好产业扶贫、合作社建设、就业创业、资源整合、驻村管理等工作，积极推进乡村人居环境建设，确保如期实现脱贫摘帽。进一步压实责任分解工作任务。全面落实扶贫的责任，进一步细化扶贫的办法和措施，认真解决好“需什么就扶什么”“缺什么就扶什么”“什么管用就怎么扶”的问题。紧紧围绕发展产业帮扶脱贫一批、培训就业脱贫一批、生态保护和补偿脱贫一批，制订并细化扶贫方案。</w:t>
      </w:r>
    </w:p>
    <w:p>
      <w:pPr>
        <w:keepNext w:val="0"/>
        <w:keepLines w:val="0"/>
        <w:pageBreakBefore w:val="0"/>
        <w:widowControl/>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kern w:val="0"/>
          <w:sz w:val="24"/>
          <w:szCs w:val="24"/>
        </w:rPr>
      </w:pPr>
      <w:r>
        <w:rPr>
          <w:rFonts w:hint="eastAsia" w:ascii="宋体" w:hAnsi="宋体" w:eastAsia="宋体" w:cs="宋体"/>
          <w:b/>
          <w:bCs/>
          <w:kern w:val="0"/>
          <w:sz w:val="24"/>
          <w:szCs w:val="24"/>
        </w:rPr>
        <w:t>三是狠抓“两保”工作。</w:t>
      </w:r>
      <w:r>
        <w:rPr>
          <w:rFonts w:hint="eastAsia" w:ascii="宋体" w:hAnsi="宋体" w:eastAsia="宋体" w:cs="宋体"/>
          <w:kern w:val="0"/>
          <w:sz w:val="24"/>
          <w:szCs w:val="24"/>
        </w:rPr>
        <w:t>认真落实“六控一治”。“控”是指“控迁、控建、控伐、控采、控工、控养”，“一治”是指“污染治理”。 控迁：严格控制,只出不进；控建：常态巡查，鼓励后靠；控伐：严禁开垦，退耕还林；控采：联合执法，专项整理；控工：依据方案，有序关停；控养：严格把关，稳步推进；污染治理：加大力度，加快建设。计划落实建设集中安置点2个，公墓山2处，散户型污水处理设施1000套，确保月田、毛田污水处理厂和库区10个垃圾中转站正常运营。</w:t>
      </w:r>
    </w:p>
    <w:p>
      <w:pPr>
        <w:keepNext w:val="0"/>
        <w:keepLines w:val="0"/>
        <w:pageBreakBefore w:val="0"/>
        <w:widowControl/>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（二）单位整体支出规模、使用方向和主要内容、涉及范围</w:t>
      </w:r>
    </w:p>
    <w:p>
      <w:pPr>
        <w:keepNext w:val="0"/>
        <w:keepLines w:val="0"/>
        <w:pageBreakBefore w:val="0"/>
        <w:widowControl/>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我中心属财政全额拨款的一类公益类事业单位，二级机构财务单立，未纳入机关财务一并进行核算，机关财务执行事业单位会计制度，单位机关运行来源全额由财政预算拨款，专项资金由市县两级财政预算。</w:t>
      </w:r>
    </w:p>
    <w:p>
      <w:pPr>
        <w:keepNext w:val="0"/>
        <w:keepLines w:val="0"/>
        <w:pageBreakBefore w:val="0"/>
        <w:widowControl/>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2020年，单位整体收入共计3558.42万元，其中上年结余4.64万元、公共财政拨款3553.78万元。单位整体支出共计2436.11万元，主要用以单位基本支出704.82万元和专项工作支出1731.29万元，其中：基本支出包括人员支出和公用支出，专项工作支出主要用于污水处理建设、办公场地改造、垃圾焚烧填埋、1-2级特困救助、居民集中安置点建设、后靠建房补助、特困建房补助、公共墓地建设、污染企业关停、大病医疗救助等专项工作。年末结余4.64万元。</w:t>
      </w:r>
    </w:p>
    <w:p>
      <w:pPr>
        <w:keepNext w:val="0"/>
        <w:keepLines w:val="0"/>
        <w:pageBreakBefore w:val="0"/>
        <w:widowControl/>
        <w:kinsoku/>
        <w:wordWrap/>
        <w:overflowPunct/>
        <w:topLinePunct w:val="0"/>
        <w:autoSpaceDE/>
        <w:autoSpaceDN/>
        <w:bidi w:val="0"/>
        <w:adjustRightInd/>
        <w:snapToGrid/>
        <w:spacing w:line="480" w:lineRule="auto"/>
        <w:ind w:firstLine="482" w:firstLineChars="200"/>
        <w:textAlignment w:val="auto"/>
        <w:rPr>
          <w:rFonts w:hint="eastAsia" w:ascii="楷体_GB2312" w:hAnsi="楷体_GB2312" w:eastAsia="楷体_GB2312" w:cs="楷体_GB2312"/>
          <w:b/>
          <w:bCs/>
          <w:kern w:val="0"/>
          <w:sz w:val="24"/>
          <w:szCs w:val="24"/>
        </w:rPr>
      </w:pPr>
      <w:r>
        <w:rPr>
          <w:rFonts w:hint="eastAsia" w:ascii="楷体_GB2312" w:hAnsi="楷体_GB2312" w:eastAsia="楷体_GB2312" w:cs="楷体_GB2312"/>
          <w:b/>
          <w:bCs/>
          <w:kern w:val="0"/>
          <w:sz w:val="24"/>
          <w:szCs w:val="24"/>
        </w:rPr>
        <w:t>二、单位整体支出管理及使用情况</w:t>
      </w:r>
    </w:p>
    <w:p>
      <w:pPr>
        <w:keepNext w:val="0"/>
        <w:keepLines w:val="0"/>
        <w:pageBreakBefore w:val="0"/>
        <w:widowControl/>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（一）基本支出</w:t>
      </w:r>
    </w:p>
    <w:p>
      <w:pPr>
        <w:keepNext w:val="0"/>
        <w:keepLines w:val="0"/>
        <w:pageBreakBefore w:val="0"/>
        <w:widowControl/>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单位运转支704.82万元。一是人员支出382.26万元（其中：工资福利支出360.21万元）。二是公用支出322.55万元，主要用于机关办公、印刷、会议、邮电、公务接待、差旅、交通及其他等方面开支。其中“三公”经费开支合计44.88万元，包括公务接待费2.63万元、公务用车运行维护费42.26万元。</w:t>
      </w:r>
    </w:p>
    <w:p>
      <w:pPr>
        <w:keepNext w:val="0"/>
        <w:keepLines w:val="0"/>
        <w:pageBreakBefore w:val="0"/>
        <w:widowControl/>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（二）专项支出</w:t>
      </w:r>
    </w:p>
    <w:p>
      <w:pPr>
        <w:keepNext w:val="0"/>
        <w:keepLines w:val="0"/>
        <w:pageBreakBefore w:val="0"/>
        <w:widowControl/>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专项工作支出1731.29万元，主要用于库区“两保”项目建设。</w:t>
      </w:r>
    </w:p>
    <w:p>
      <w:pPr>
        <w:keepNext w:val="0"/>
        <w:keepLines w:val="0"/>
        <w:pageBreakBefore w:val="0"/>
        <w:widowControl/>
        <w:kinsoku/>
        <w:wordWrap/>
        <w:overflowPunct/>
        <w:topLinePunct w:val="0"/>
        <w:autoSpaceDE/>
        <w:autoSpaceDN/>
        <w:bidi w:val="0"/>
        <w:adjustRightInd/>
        <w:snapToGrid/>
        <w:spacing w:line="480" w:lineRule="auto"/>
        <w:ind w:firstLine="482" w:firstLineChars="200"/>
        <w:textAlignment w:val="auto"/>
        <w:rPr>
          <w:rFonts w:hint="eastAsia" w:ascii="楷体_GB2312" w:hAnsi="楷体_GB2312" w:eastAsia="楷体_GB2312" w:cs="楷体_GB2312"/>
          <w:b/>
          <w:bCs/>
          <w:kern w:val="0"/>
          <w:sz w:val="24"/>
          <w:szCs w:val="24"/>
        </w:rPr>
      </w:pPr>
      <w:r>
        <w:rPr>
          <w:rFonts w:hint="eastAsia" w:ascii="楷体_GB2312" w:hAnsi="楷体_GB2312" w:eastAsia="楷体_GB2312" w:cs="楷体_GB2312"/>
          <w:b/>
          <w:bCs/>
          <w:kern w:val="0"/>
          <w:sz w:val="24"/>
          <w:szCs w:val="24"/>
        </w:rPr>
        <w:t>三、单位专项组织实施情况</w:t>
      </w:r>
    </w:p>
    <w:p>
      <w:pPr>
        <w:keepNext w:val="0"/>
        <w:keepLines w:val="0"/>
        <w:pageBreakBefore w:val="0"/>
        <w:widowControl/>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我中心在财务管理上，严把预算资金和专项资金使用关，确保了机关工作高效运转，在专项工作中，让市县两级财政资金发挥出了明显的推进作用。一年来，通过全体工作人员的努力，我中心“两保”工作取得了县委、县政府的充分肯定，获得了市区及库区群众的一致好评。</w:t>
      </w:r>
    </w:p>
    <w:p>
      <w:pPr>
        <w:keepNext w:val="0"/>
        <w:keepLines w:val="0"/>
        <w:pageBreakBefore w:val="0"/>
        <w:widowControl/>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1.各个专项建设工程从预算计划到立项财审再到实际施行，从无到有在摸索中稳步有序推进；</w:t>
      </w:r>
    </w:p>
    <w:p>
      <w:pPr>
        <w:keepNext w:val="0"/>
        <w:keepLines w:val="0"/>
        <w:pageBreakBefore w:val="0"/>
        <w:widowControl/>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2.各项民生保障资金从申请到层层审批再到实际发放，从少到多在试点中逐步全面铺开。</w:t>
      </w:r>
    </w:p>
    <w:p>
      <w:pPr>
        <w:keepNext w:val="0"/>
        <w:keepLines w:val="0"/>
        <w:pageBreakBefore w:val="0"/>
        <w:widowControl/>
        <w:kinsoku/>
        <w:wordWrap/>
        <w:overflowPunct/>
        <w:topLinePunct w:val="0"/>
        <w:autoSpaceDE/>
        <w:autoSpaceDN/>
        <w:bidi w:val="0"/>
        <w:adjustRightInd/>
        <w:snapToGrid/>
        <w:spacing w:line="480" w:lineRule="auto"/>
        <w:ind w:firstLine="482" w:firstLineChars="200"/>
        <w:textAlignment w:val="auto"/>
        <w:rPr>
          <w:rFonts w:hint="eastAsia" w:ascii="楷体_GB2312" w:hAnsi="楷体_GB2312" w:eastAsia="楷体_GB2312" w:cs="楷体_GB2312"/>
          <w:b/>
          <w:bCs/>
          <w:kern w:val="0"/>
          <w:sz w:val="24"/>
          <w:szCs w:val="24"/>
        </w:rPr>
      </w:pPr>
      <w:r>
        <w:rPr>
          <w:rFonts w:hint="eastAsia" w:ascii="楷体_GB2312" w:hAnsi="楷体_GB2312" w:eastAsia="楷体_GB2312" w:cs="楷体_GB2312"/>
          <w:b/>
          <w:bCs/>
          <w:kern w:val="0"/>
          <w:sz w:val="24"/>
          <w:szCs w:val="24"/>
        </w:rPr>
        <w:t>四、单位整体支出绩效情况</w:t>
      </w:r>
    </w:p>
    <w:p>
      <w:pPr>
        <w:keepNext w:val="0"/>
        <w:keepLines w:val="0"/>
        <w:pageBreakBefore w:val="0"/>
        <w:widowControl/>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我中心虽属县直单位，但工作阵地在乡镇，面对的是库区群众，工作环境复杂，工作经验不足，然而，全体干部职工精诚团结，精神振奋，通过一年多的努力，摸索出了一条“两保”工作可持续发展之路，铁山库区保护性专项规划正在研究制定。市委荣华书记在铁山调研时指出：铁山“两保”环境大有改观，群众情绪有效理顺，市县两级“两保”认识高度一致。</w:t>
      </w:r>
    </w:p>
    <w:p>
      <w:pPr>
        <w:keepNext w:val="0"/>
        <w:keepLines w:val="0"/>
        <w:pageBreakBefore w:val="0"/>
        <w:widowControl/>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（一）民生保障落到实处</w:t>
      </w:r>
    </w:p>
    <w:p>
      <w:pPr>
        <w:keepNext w:val="0"/>
        <w:keepLines w:val="0"/>
        <w:pageBreakBefore w:val="0"/>
        <w:widowControl/>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集雨区生态公益林补偿、大病医疗救助涉及整个铁山库区，受惠群众多；对一二级保护区内因病因灾致贫返贫的特困户予以救助送去了党和政府的关怀；易地建房和一二级保护区内特困危房改造补助缓解了库区群众的建房压力；市、县领导扶贫点全部集中在库区村，实行定点扶贫、精准扶贫，将库区作为脱贫攻坚的主战场，启动了毛田镇南庙、立坪、小港、湾丘易地搬迁扶贫计划。系列惠民政策在库区落地生根，让库区群众深切地感受到，他们曾经为修建铁山水库而移居山旮旯里，今天又为铁山水源保护作出了贡献，党和政府始终没有忘记他们。</w:t>
      </w:r>
    </w:p>
    <w:p>
      <w:pPr>
        <w:keepNext w:val="0"/>
        <w:keepLines w:val="0"/>
        <w:pageBreakBefore w:val="0"/>
        <w:widowControl/>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（二）水源保护达到实效</w:t>
      </w:r>
    </w:p>
    <w:p>
      <w:pPr>
        <w:keepNext w:val="0"/>
        <w:keepLines w:val="0"/>
        <w:pageBreakBefore w:val="0"/>
        <w:widowControl/>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库区从严治污，严格控制库区人口非自然增长，库区人口“只出不进”；严格控制乡镇集体建设用地，禁止违法建房，规范村民建房，科学规划居民安置点；严格控制一切工业项目，强力禁采、禁挖；严格控制一级、二级保护区和准保护区内的生活、农业和工业污染，一次性退出现有规模养殖场。通过先进技术与科学设备及时处理集镇居民生活污水、及时处理散户型居民生活污水、及时拦截入库河口生活垃圾及漂流物。基本构建了“控制”与“处理”相结合、多措并举的污染防治模式。最近市县对铁山水库水源入口水质监测显示：铁山水库水域中心、大坝上游50m处所测各项指标均符合《地表水环境质量标准》Ⅱ类水质标准,水质级别为优。</w:t>
      </w:r>
    </w:p>
    <w:p>
      <w:pPr>
        <w:keepNext w:val="0"/>
        <w:keepLines w:val="0"/>
        <w:pageBreakBefore w:val="0"/>
        <w:widowControl/>
        <w:kinsoku/>
        <w:wordWrap/>
        <w:overflowPunct/>
        <w:topLinePunct w:val="0"/>
        <w:autoSpaceDE/>
        <w:autoSpaceDN/>
        <w:bidi w:val="0"/>
        <w:adjustRightInd/>
        <w:snapToGrid/>
        <w:spacing w:line="480" w:lineRule="auto"/>
        <w:ind w:firstLine="482" w:firstLineChars="200"/>
        <w:textAlignment w:val="auto"/>
        <w:rPr>
          <w:rFonts w:hint="eastAsia" w:ascii="楷体_GB2312" w:hAnsi="楷体_GB2312" w:eastAsia="楷体_GB2312" w:cs="楷体_GB2312"/>
          <w:b/>
          <w:bCs/>
          <w:kern w:val="0"/>
          <w:sz w:val="24"/>
          <w:szCs w:val="24"/>
        </w:rPr>
      </w:pPr>
      <w:r>
        <w:rPr>
          <w:rFonts w:hint="eastAsia" w:ascii="楷体_GB2312" w:hAnsi="楷体_GB2312" w:eastAsia="楷体_GB2312" w:cs="楷体_GB2312"/>
          <w:b/>
          <w:bCs/>
          <w:kern w:val="0"/>
          <w:sz w:val="24"/>
          <w:szCs w:val="24"/>
        </w:rPr>
        <w:t>五、存在的主要问题</w:t>
      </w:r>
    </w:p>
    <w:p>
      <w:pPr>
        <w:keepNext w:val="0"/>
        <w:keepLines w:val="0"/>
        <w:pageBreakBefore w:val="0"/>
        <w:widowControl/>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kern w:val="0"/>
          <w:sz w:val="24"/>
          <w:szCs w:val="24"/>
        </w:rPr>
      </w:pPr>
      <w:r>
        <w:rPr>
          <w:rFonts w:hint="eastAsia" w:ascii="宋体" w:hAnsi="宋体" w:eastAsia="宋体" w:cs="宋体"/>
          <w:b/>
          <w:bCs/>
          <w:kern w:val="0"/>
          <w:sz w:val="24"/>
          <w:szCs w:val="24"/>
        </w:rPr>
        <w:t>1、专项资金到账滞后。</w:t>
      </w:r>
      <w:r>
        <w:rPr>
          <w:rFonts w:hint="eastAsia" w:ascii="宋体" w:hAnsi="宋体" w:eastAsia="宋体" w:cs="宋体"/>
          <w:kern w:val="0"/>
          <w:sz w:val="24"/>
          <w:szCs w:val="24"/>
        </w:rPr>
        <w:t>专项工作在一开展的时候就需要相关工作经费，而实际情况是必须等到各项手续完善后，财政才拨款，造成有关支出只能延迟结算。</w:t>
      </w:r>
    </w:p>
    <w:p>
      <w:pPr>
        <w:keepNext w:val="0"/>
        <w:keepLines w:val="0"/>
        <w:pageBreakBefore w:val="0"/>
        <w:widowControl/>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kern w:val="0"/>
          <w:sz w:val="24"/>
          <w:szCs w:val="24"/>
        </w:rPr>
      </w:pPr>
      <w:r>
        <w:rPr>
          <w:rFonts w:hint="eastAsia" w:ascii="宋体" w:hAnsi="宋体" w:eastAsia="宋体" w:cs="宋体"/>
          <w:b/>
          <w:bCs/>
          <w:kern w:val="0"/>
          <w:sz w:val="24"/>
          <w:szCs w:val="24"/>
        </w:rPr>
        <w:t>2、资金存在混用现象。</w:t>
      </w:r>
      <w:r>
        <w:rPr>
          <w:rFonts w:hint="eastAsia" w:ascii="宋体" w:hAnsi="宋体" w:eastAsia="宋体" w:cs="宋体"/>
          <w:kern w:val="0"/>
          <w:sz w:val="24"/>
          <w:szCs w:val="24"/>
        </w:rPr>
        <w:t>虽然汇总各专项资金开支总额显示不存在违规情况，但是在开支过程中，受实际情况影响，有甲项资金用于乙项工作、甲项工作使用乙项资金的现象。</w:t>
      </w:r>
    </w:p>
    <w:p>
      <w:pPr>
        <w:keepNext w:val="0"/>
        <w:keepLines w:val="0"/>
        <w:pageBreakBefore w:val="0"/>
        <w:widowControl/>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kern w:val="0"/>
          <w:sz w:val="24"/>
          <w:szCs w:val="24"/>
        </w:rPr>
      </w:pPr>
      <w:r>
        <w:rPr>
          <w:rFonts w:hint="eastAsia" w:ascii="宋体" w:hAnsi="宋体" w:eastAsia="宋体" w:cs="宋体"/>
          <w:b/>
          <w:bCs/>
          <w:kern w:val="0"/>
          <w:sz w:val="24"/>
          <w:szCs w:val="24"/>
        </w:rPr>
        <w:t>3、财务基础工作需进一步完善。</w:t>
      </w:r>
      <w:r>
        <w:rPr>
          <w:rFonts w:hint="eastAsia" w:ascii="宋体" w:hAnsi="宋体" w:eastAsia="宋体" w:cs="宋体"/>
          <w:kern w:val="0"/>
          <w:sz w:val="24"/>
          <w:szCs w:val="24"/>
        </w:rPr>
        <w:t>由于单位二级机构未纳入机关统一核算存在支出管理监督乏力情况；有些财务基础工作，例如报送财务资料、与财政相关股室加强联系等方面有所欠缺。</w:t>
      </w:r>
    </w:p>
    <w:p>
      <w:pPr>
        <w:keepNext w:val="0"/>
        <w:keepLines w:val="0"/>
        <w:pageBreakBefore w:val="0"/>
        <w:widowControl/>
        <w:kinsoku/>
        <w:wordWrap/>
        <w:overflowPunct/>
        <w:topLinePunct w:val="0"/>
        <w:autoSpaceDE/>
        <w:autoSpaceDN/>
        <w:bidi w:val="0"/>
        <w:adjustRightInd/>
        <w:snapToGrid/>
        <w:spacing w:line="480" w:lineRule="auto"/>
        <w:ind w:firstLine="482" w:firstLineChars="200"/>
        <w:textAlignment w:val="auto"/>
        <w:rPr>
          <w:rFonts w:hint="eastAsia" w:ascii="楷体_GB2312" w:hAnsi="楷体_GB2312" w:eastAsia="楷体_GB2312" w:cs="楷体_GB2312"/>
          <w:b/>
          <w:bCs/>
          <w:kern w:val="0"/>
          <w:sz w:val="24"/>
          <w:szCs w:val="24"/>
        </w:rPr>
      </w:pPr>
      <w:r>
        <w:rPr>
          <w:rFonts w:hint="eastAsia" w:ascii="楷体_GB2312" w:hAnsi="楷体_GB2312" w:eastAsia="楷体_GB2312" w:cs="楷体_GB2312"/>
          <w:b/>
          <w:bCs/>
          <w:kern w:val="0"/>
          <w:sz w:val="24"/>
          <w:szCs w:val="24"/>
        </w:rPr>
        <w:t>六、改进措施和有关建议</w:t>
      </w:r>
    </w:p>
    <w:p>
      <w:pPr>
        <w:keepNext w:val="0"/>
        <w:keepLines w:val="0"/>
        <w:pageBreakBefore w:val="0"/>
        <w:widowControl/>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1．加强与财政的相关业务联系，及时提供各项资金拨付的有关手续，尽可能争取各项资金及时到账，以便能及时结算开支费用。</w:t>
      </w:r>
    </w:p>
    <w:p>
      <w:pPr>
        <w:keepNext w:val="0"/>
        <w:keepLines w:val="0"/>
        <w:pageBreakBefore w:val="0"/>
        <w:widowControl/>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2．进一步完善专项资金管理制度，严格监管专项资金的使用，坚决杜绝资金混用现象。</w:t>
      </w:r>
    </w:p>
    <w:p>
      <w:pPr>
        <w:keepNext w:val="0"/>
        <w:keepLines w:val="0"/>
        <w:pageBreakBefore w:val="0"/>
        <w:widowControl/>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3．进一步加强机关财务管理工作，财务管理人员要充分保障处理机关财务业务的工作时间，不断加强学习，与时俱进。</w:t>
      </w:r>
    </w:p>
    <w:p>
      <w:pPr>
        <w:keepNext w:val="0"/>
        <w:keepLines w:val="0"/>
        <w:pageBreakBefore w:val="0"/>
        <w:widowControl/>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二〇二一年六月十一日</w:t>
      </w:r>
    </w:p>
    <w:p>
      <w:pPr>
        <w:keepNext w:val="0"/>
        <w:keepLines w:val="0"/>
        <w:pageBreakBefore w:val="0"/>
        <w:widowControl/>
        <w:kinsoku/>
        <w:wordWrap/>
        <w:overflowPunct/>
        <w:topLinePunct w:val="0"/>
        <w:autoSpaceDE/>
        <w:autoSpaceDN/>
        <w:bidi w:val="0"/>
        <w:adjustRightInd/>
        <w:snapToGrid/>
        <w:spacing w:line="480" w:lineRule="auto"/>
        <w:ind w:firstLine="480" w:firstLineChars="200"/>
        <w:textAlignment w:val="auto"/>
        <w:rPr>
          <w:rFonts w:ascii="宋体" w:hAnsi="宋体" w:eastAsia="宋体" w:cs="宋体"/>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IwYWU2ZDNiZjZkNmM3YmI4NGVmZmYxNGQ1NTdiNDkifQ=="/>
  </w:docVars>
  <w:rsids>
    <w:rsidRoot w:val="00F3084A"/>
    <w:rsid w:val="00075B1D"/>
    <w:rsid w:val="00F3084A"/>
    <w:rsid w:val="4E2E7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6"/>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标题 2 Char"/>
    <w:basedOn w:val="5"/>
    <w:link w:val="2"/>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5429</Words>
  <Characters>5745</Characters>
  <Lines>44</Lines>
  <Paragraphs>12</Paragraphs>
  <TotalTime>4</TotalTime>
  <ScaleCrop>false</ScaleCrop>
  <LinksUpToDate>false</LinksUpToDate>
  <CharactersWithSpaces>5804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2022-08-31T03:47:00Z</dcterms:created>
  <dc:creator>Administrator</dc:creator>
  <cp:lastModifiedBy>忒睏糊</cp:lastModifiedBy>
  <dcterms:modified xsi:type="dcterms:W3CDTF">2022-08-31T03:52:39Z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EA74C948BC2B42C79172E8690D6F07D8</vt:lpwstr>
  </property>
</Properties>
</file>