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2020年度</w:t>
      </w:r>
    </w:p>
    <w:p>
      <w:pPr>
        <w:pStyle w:val="10"/>
        <w:jc w:val="center"/>
        <w:rPr>
          <w:sz w:val="84"/>
          <w:szCs w:val="84"/>
        </w:rPr>
      </w:pPr>
      <w:r>
        <w:rPr>
          <w:rFonts w:hint="eastAsia"/>
          <w:sz w:val="84"/>
          <w:szCs w:val="84"/>
          <w:lang w:eastAsia="zh-CN"/>
        </w:rPr>
        <w:t>岳阳县动物疫病预防控制中心</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岳阳县动物疫病预防控制中心</w:t>
      </w:r>
      <w:r>
        <w:rPr>
          <w:rFonts w:hint="eastAsia"/>
          <w:b/>
          <w:sz w:val="28"/>
          <w:szCs w:val="28"/>
        </w:rPr>
        <w:t>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lang w:eastAsia="zh-CN"/>
        </w:rPr>
        <w:t>岳阳县动物疫病预防控制中心</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600" w:lineRule="exact"/>
        <w:ind w:firstLine="560" w:firstLineChars="200"/>
        <w:jc w:val="left"/>
        <w:rPr>
          <w:rFonts w:hint="eastAsia" w:ascii="宋体" w:hAnsi="宋体" w:eastAsia="宋体" w:cs="宋体"/>
          <w:b w:val="0"/>
          <w:bCs w:val="0"/>
          <w:kern w:val="2"/>
          <w:sz w:val="28"/>
          <w:szCs w:val="28"/>
        </w:rPr>
      </w:pPr>
      <w:r>
        <w:rPr>
          <w:rFonts w:hint="eastAsia" w:ascii="宋体" w:hAnsi="宋体" w:eastAsia="宋体" w:cs="宋体"/>
          <w:b w:val="0"/>
          <w:bCs w:val="0"/>
          <w:kern w:val="2"/>
          <w:sz w:val="28"/>
          <w:szCs w:val="28"/>
        </w:rPr>
        <w:t>负责全县动物疫病预防、控制、扑灭措施的制定，承担全县头发重大动物疫情应急处置的技术工作，负责全县组织重大疫病免疫接种并加施免疫标识，实施可追溯管理；组织动物疫病防控物资、免疫标识的供应；承担全县动物防疫技术推广应用和指导，承担全县动物防疫人员的技术培训工作等。</w:t>
      </w:r>
    </w:p>
    <w:p>
      <w:pPr>
        <w:jc w:val="left"/>
        <w:rPr>
          <w:rFonts w:ascii="仿宋_GB2312" w:eastAsia="仿宋_GB2312" w:hAnsiTheme="minorEastAsia"/>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5"/>
        <w:shd w:val="clear" w:color="auto" w:fill="FFFFFF"/>
        <w:wordWrap w:val="0"/>
        <w:spacing w:before="0" w:beforeAutospacing="0" w:after="0" w:afterAutospacing="0" w:line="480" w:lineRule="auto"/>
        <w:jc w:val="both"/>
        <w:rPr>
          <w:rFonts w:hint="eastAsia"/>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岳阳县动物疫病预防控制中心</w:t>
      </w:r>
      <w:r>
        <w:rPr>
          <w:rFonts w:hint="eastAsia" w:asciiTheme="minorEastAsia" w:hAnsiTheme="minorEastAsia"/>
          <w:bCs/>
          <w:kern w:val="0"/>
          <w:sz w:val="32"/>
          <w:szCs w:val="32"/>
        </w:rPr>
        <w:t>单位内设机构包括：</w:t>
      </w:r>
      <w:r>
        <w:rPr>
          <w:rFonts w:hint="eastAsia"/>
          <w:sz w:val="32"/>
          <w:szCs w:val="32"/>
        </w:rPr>
        <w:t>岳阳县</w:t>
      </w:r>
      <w:r>
        <w:rPr>
          <w:rFonts w:hint="eastAsia"/>
          <w:sz w:val="32"/>
          <w:szCs w:val="32"/>
          <w:lang w:eastAsia="zh-CN"/>
        </w:rPr>
        <w:t>动物疫病预防控制</w:t>
      </w:r>
      <w:r>
        <w:rPr>
          <w:rFonts w:hint="eastAsia"/>
          <w:sz w:val="32"/>
          <w:szCs w:val="32"/>
        </w:rPr>
        <w:t>中心属全额拨款事业单位，设</w:t>
      </w:r>
      <w:r>
        <w:rPr>
          <w:rFonts w:hint="eastAsia"/>
          <w:sz w:val="32"/>
          <w:szCs w:val="32"/>
          <w:lang w:eastAsia="zh-CN"/>
        </w:rPr>
        <w:t>有</w:t>
      </w:r>
      <w:r>
        <w:rPr>
          <w:rFonts w:hint="eastAsia"/>
          <w:sz w:val="32"/>
          <w:szCs w:val="32"/>
        </w:rPr>
        <w:t>办公室、</w:t>
      </w:r>
      <w:r>
        <w:rPr>
          <w:rFonts w:hint="eastAsia"/>
          <w:sz w:val="32"/>
          <w:szCs w:val="32"/>
          <w:lang w:eastAsia="zh-CN"/>
        </w:rPr>
        <w:t>实验室</w:t>
      </w:r>
      <w:r>
        <w:rPr>
          <w:rFonts w:hint="eastAsia"/>
          <w:sz w:val="32"/>
          <w:szCs w:val="32"/>
        </w:rPr>
        <w:t>、</w:t>
      </w:r>
      <w:r>
        <w:rPr>
          <w:rFonts w:hint="eastAsia"/>
          <w:sz w:val="32"/>
          <w:szCs w:val="32"/>
          <w:lang w:eastAsia="zh-CN"/>
        </w:rPr>
        <w:t>疫苗室、财务室。</w:t>
      </w:r>
    </w:p>
    <w:p>
      <w:pPr>
        <w:widowControl/>
        <w:spacing w:line="600" w:lineRule="exact"/>
        <w:rPr>
          <w:rFonts w:asciiTheme="minorEastAsia" w:hAnsiTheme="minorEastAsia"/>
          <w:bCs/>
          <w:kern w:val="0"/>
          <w:sz w:val="32"/>
          <w:szCs w:val="32"/>
        </w:rPr>
      </w:pPr>
    </w:p>
    <w:p>
      <w:pPr>
        <w:jc w:val="center"/>
        <w:rPr>
          <w:rFonts w:hint="eastAsia" w:ascii="黑体" w:hAnsi="黑体" w:eastAsiaTheme="minorEastAsia"/>
          <w:sz w:val="28"/>
          <w:szCs w:val="28"/>
          <w:lang w:eastAsia="zh-CN"/>
        </w:rPr>
      </w:pPr>
      <w:r>
        <w:rPr>
          <w:rFonts w:hint="eastAsia" w:asciiTheme="minorEastAsia" w:hAnsiTheme="minorEastAsia"/>
          <w:bCs/>
          <w:kern w:val="0"/>
          <w:sz w:val="32"/>
          <w:szCs w:val="32"/>
        </w:rPr>
        <w:t>（二）决算单位构成。</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w:t>
      </w:r>
      <w:r>
        <w:rPr>
          <w:rFonts w:hint="eastAsia" w:asciiTheme="minorEastAsia" w:hAnsiTheme="minorEastAsia"/>
          <w:bCs/>
          <w:kern w:val="0"/>
          <w:sz w:val="32"/>
          <w:szCs w:val="32"/>
          <w:lang w:eastAsia="zh-CN"/>
        </w:rPr>
        <w:t>仅包括本机构。</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jc w:val="center"/>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jc w:val="center"/>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jc w:val="center"/>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jc w:val="center"/>
        </w:trPr>
        <w:tc>
          <w:tcPr>
            <w:tcW w:w="5206" w:type="dxa"/>
            <w:gridSpan w:val="3"/>
            <w:tcBorders>
              <w:top w:val="nil"/>
              <w:left w:val="nil"/>
              <w:bottom w:val="nil"/>
              <w:right w:val="nil"/>
            </w:tcBorders>
            <w:shd w:val="clear" w:color="000000" w:fill="FFFFFF"/>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eastAsia="zh-CN"/>
              </w:rPr>
              <w:t>岳阳县动物疫病预防控制中心</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jc w:val="center"/>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65.4</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tabs>
                <w:tab w:val="center" w:pos="1708"/>
                <w:tab w:val="right" w:pos="3757"/>
              </w:tabs>
              <w:jc w:val="center"/>
              <w:rPr>
                <w:rFonts w:ascii="宋体" w:hAnsi="宋体" w:eastAsia="宋体" w:cs="宋体"/>
                <w:kern w:val="0"/>
                <w:sz w:val="22"/>
              </w:rPr>
            </w:pPr>
            <w:r>
              <w:rPr>
                <w:rFonts w:hint="eastAsia" w:ascii="宋体" w:hAnsi="宋体" w:eastAsia="宋体" w:cs="宋体"/>
                <w:kern w:val="0"/>
                <w:sz w:val="22"/>
                <w:lang w:val="en-US" w:eastAsia="zh-CN"/>
              </w:rPr>
              <w:t>146.57</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9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81.17</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146.57</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146.57</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146.57</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bCs/>
                <w:kern w:val="0"/>
                <w:sz w:val="22"/>
                <w:lang w:val="en-US" w:eastAsia="zh-CN"/>
              </w:rPr>
              <w:t>146.57</w:t>
            </w:r>
          </w:p>
        </w:tc>
      </w:tr>
      <w:tr>
        <w:tblPrEx>
          <w:tblCellMar>
            <w:top w:w="0" w:type="dxa"/>
            <w:left w:w="108" w:type="dxa"/>
            <w:bottom w:w="0" w:type="dxa"/>
            <w:right w:w="108" w:type="dxa"/>
          </w:tblCellMar>
        </w:tblPrEx>
        <w:trPr>
          <w:trHeight w:val="1020" w:hRule="atLeast"/>
          <w:jc w:val="center"/>
        </w:trPr>
        <w:tc>
          <w:tcPr>
            <w:tcW w:w="14081" w:type="dxa"/>
            <w:gridSpan w:val="11"/>
            <w:tcBorders>
              <w:top w:val="nil"/>
              <w:left w:val="nil"/>
              <w:bottom w:val="nil"/>
              <w:right w:val="nil"/>
            </w:tcBorders>
            <w:shd w:val="clear" w:color="auto" w:fill="auto"/>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注：1.本表反映部门本年度的总收支和年末结转结余情况。</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3900" w:type="dxa"/>
        <w:tblInd w:w="0" w:type="dxa"/>
        <w:tblLayout w:type="autofit"/>
        <w:tblCellMar>
          <w:top w:w="0" w:type="dxa"/>
          <w:left w:w="0" w:type="dxa"/>
          <w:bottom w:w="0" w:type="dxa"/>
          <w:right w:w="0" w:type="dxa"/>
        </w:tblCellMar>
      </w:tblPr>
      <w:tblGrid>
        <w:gridCol w:w="315"/>
        <w:gridCol w:w="315"/>
        <w:gridCol w:w="2981"/>
        <w:gridCol w:w="1640"/>
        <w:gridCol w:w="1640"/>
        <w:gridCol w:w="1482"/>
        <w:gridCol w:w="1482"/>
        <w:gridCol w:w="1482"/>
        <w:gridCol w:w="1482"/>
        <w:gridCol w:w="1640"/>
      </w:tblGrid>
      <w:tr>
        <w:tblPrEx>
          <w:tblCellMar>
            <w:top w:w="0" w:type="dxa"/>
            <w:left w:w="0" w:type="dxa"/>
            <w:bottom w:w="0" w:type="dxa"/>
            <w:right w:w="0" w:type="dxa"/>
          </w:tblCellMar>
        </w:tblPrEx>
        <w:trPr>
          <w:trHeight w:val="435" w:hRule="atLeast"/>
        </w:trPr>
        <w:tc>
          <w:tcPr>
            <w:tcW w:w="13900"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tabs>
                <w:tab w:val="left" w:pos="221"/>
                <w:tab w:val="right" w:pos="1623"/>
              </w:tabs>
              <w:jc w:val="left"/>
              <w:rPr>
                <w:rFonts w:ascii="宋体" w:hAnsi="宋体" w:eastAsia="宋体" w:cs="宋体"/>
                <w:sz w:val="24"/>
                <w:szCs w:val="24"/>
              </w:rPr>
            </w:pPr>
            <w:r>
              <w:rPr>
                <w:rFonts w:hint="eastAsia"/>
                <w:lang w:eastAsia="zh-CN"/>
              </w:rPr>
              <w:tab/>
            </w:r>
            <w:r>
              <w:rPr>
                <w:rFonts w:hint="eastAsia"/>
                <w:lang w:eastAsia="zh-CN"/>
              </w:rPr>
              <w:t>岳阳县动物疫病预防控制中心</w:t>
            </w:r>
            <w:r>
              <w:rPr>
                <w:rFonts w:hint="eastAsia"/>
                <w:lang w:eastAsia="zh-CN"/>
              </w:rPr>
              <w:tab/>
            </w: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242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4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112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30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20"/>
                <w:tab w:val="right" w:pos="1971"/>
              </w:tabs>
              <w:jc w:val="center"/>
              <w:rPr>
                <w:rFonts w:ascii="宋体" w:hAnsi="宋体" w:eastAsia="宋体" w:cs="宋体"/>
                <w:sz w:val="24"/>
                <w:szCs w:val="24"/>
              </w:rPr>
            </w:pPr>
            <w:r>
              <w:rPr>
                <w:rFonts w:hint="eastAsia"/>
                <w:lang w:val="en-US" w:eastAsia="zh-CN"/>
              </w:rPr>
              <w:t>146.57</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01"/>
                <w:tab w:val="right" w:pos="1932"/>
              </w:tabs>
              <w:jc w:val="center"/>
              <w:rPr>
                <w:rFonts w:ascii="宋体" w:hAnsi="宋体" w:eastAsia="宋体" w:cs="宋体"/>
                <w:sz w:val="24"/>
                <w:szCs w:val="24"/>
              </w:rPr>
            </w:pPr>
            <w:r>
              <w:rPr>
                <w:rFonts w:hint="eastAsia"/>
                <w:lang w:val="en-US" w:eastAsia="zh-CN"/>
              </w:rPr>
              <w:t>65.4</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1131"/>
                <w:tab w:val="right" w:pos="2593"/>
              </w:tabs>
              <w:jc w:val="center"/>
              <w:rPr>
                <w:rFonts w:ascii="宋体" w:hAnsi="宋体" w:eastAsia="宋体" w:cs="宋体"/>
                <w:sz w:val="24"/>
                <w:szCs w:val="24"/>
              </w:rPr>
            </w:pPr>
            <w:r>
              <w:rPr>
                <w:rFonts w:hint="eastAsia"/>
                <w:lang w:val="en-US" w:eastAsia="zh-CN"/>
              </w:rPr>
              <w:t>81.17</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eastAsia" w:ascii="宋体" w:hAnsi="宋体" w:cs="宋体" w:eastAsiaTheme="minorEastAsia"/>
                <w:sz w:val="24"/>
                <w:szCs w:val="24"/>
                <w:lang w:eastAsia="zh-CN"/>
              </w:rPr>
            </w:pPr>
            <w:r>
              <w:rPr>
                <w:rFonts w:hint="eastAsia"/>
                <w:lang w:eastAsia="zh-CN"/>
              </w:rPr>
              <w:t>其他农业收入</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146.57</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65.4</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81.17</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615" w:hRule="atLeast"/>
        </w:trPr>
        <w:tc>
          <w:tcPr>
            <w:tcW w:w="1390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6"/>
        <w:tblW w:w="13183" w:type="dxa"/>
        <w:tblInd w:w="93" w:type="dxa"/>
        <w:tblLayout w:type="autofit"/>
        <w:tblCellMar>
          <w:top w:w="0" w:type="dxa"/>
          <w:left w:w="108" w:type="dxa"/>
          <w:bottom w:w="0" w:type="dxa"/>
          <w:right w:w="108" w:type="dxa"/>
        </w:tblCellMar>
      </w:tblPr>
      <w:tblGrid>
        <w:gridCol w:w="1042"/>
        <w:gridCol w:w="222"/>
        <w:gridCol w:w="1249"/>
        <w:gridCol w:w="1646"/>
        <w:gridCol w:w="1679"/>
        <w:gridCol w:w="1679"/>
        <w:gridCol w:w="1679"/>
        <w:gridCol w:w="1679"/>
        <w:gridCol w:w="2308"/>
      </w:tblGrid>
      <w:tr>
        <w:tblPrEx>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3117"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p>
            <w:pPr>
              <w:widowControl/>
              <w:jc w:val="right"/>
              <w:rPr>
                <w:rFonts w:ascii="宋体" w:hAnsi="宋体" w:eastAsia="宋体" w:cs="宋体"/>
                <w:kern w:val="0"/>
                <w:sz w:val="24"/>
                <w:szCs w:val="24"/>
              </w:rPr>
            </w:pPr>
            <w:r>
              <w:rPr>
                <w:rFonts w:hint="eastAsia"/>
                <w:lang w:eastAsia="zh-CN"/>
              </w:rPr>
              <w:t>岳阳县动物疫病预防控制中心</w:t>
            </w:r>
            <w:r>
              <w:rPr>
                <w:rFonts w:hint="eastAsia" w:ascii="宋体" w:hAnsi="宋体" w:eastAsia="宋体" w:cs="宋体"/>
                <w:kern w:val="0"/>
                <w:sz w:val="24"/>
                <w:szCs w:val="24"/>
              </w:rPr>
              <w:t>　</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noWrap/>
            <w:vAlign w:val="center"/>
          </w:tcPr>
          <w:p>
            <w:pPr>
              <w:widowControl/>
              <w:tabs>
                <w:tab w:val="left" w:pos="518"/>
                <w:tab w:val="right" w:pos="1790"/>
              </w:tabs>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146.57</w:t>
            </w:r>
          </w:p>
        </w:tc>
        <w:tc>
          <w:tcPr>
            <w:tcW w:w="1679" w:type="dxa"/>
            <w:tcBorders>
              <w:top w:val="nil"/>
              <w:left w:val="nil"/>
              <w:bottom w:val="single" w:color="auto" w:sz="4" w:space="0"/>
              <w:right w:val="single" w:color="auto" w:sz="4" w:space="0"/>
            </w:tcBorders>
            <w:shd w:val="clear" w:color="auto" w:fill="auto"/>
            <w:noWrap/>
            <w:vAlign w:val="center"/>
          </w:tcPr>
          <w:p>
            <w:pPr>
              <w:widowControl/>
              <w:tabs>
                <w:tab w:val="center" w:pos="731"/>
                <w:tab w:val="right" w:pos="1823"/>
              </w:tabs>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146.57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eastAsia="zh-CN"/>
              </w:rPr>
              <w:t>农林水</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其他农业</w:t>
            </w:r>
          </w:p>
        </w:tc>
        <w:tc>
          <w:tcPr>
            <w:tcW w:w="1646" w:type="dxa"/>
            <w:tcBorders>
              <w:top w:val="nil"/>
              <w:left w:val="nil"/>
              <w:bottom w:val="single" w:color="auto" w:sz="4" w:space="0"/>
              <w:right w:val="single" w:color="auto" w:sz="4" w:space="0"/>
            </w:tcBorders>
            <w:shd w:val="clear" w:color="auto" w:fill="auto"/>
            <w:noWrap/>
            <w:vAlign w:val="center"/>
          </w:tcPr>
          <w:p>
            <w:pPr>
              <w:widowControl/>
              <w:tabs>
                <w:tab w:val="center" w:pos="715"/>
                <w:tab w:val="right" w:pos="1790"/>
              </w:tabs>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146.57</w:t>
            </w:r>
          </w:p>
        </w:tc>
        <w:tc>
          <w:tcPr>
            <w:tcW w:w="1679" w:type="dxa"/>
            <w:tcBorders>
              <w:top w:val="nil"/>
              <w:left w:val="nil"/>
              <w:bottom w:val="single" w:color="auto" w:sz="4" w:space="0"/>
              <w:right w:val="single" w:color="auto" w:sz="4" w:space="0"/>
            </w:tcBorders>
            <w:shd w:val="clear" w:color="auto" w:fill="auto"/>
            <w:noWrap/>
            <w:vAlign w:val="center"/>
          </w:tcPr>
          <w:p>
            <w:pPr>
              <w:widowControl/>
              <w:tabs>
                <w:tab w:val="center" w:pos="731"/>
                <w:tab w:val="right" w:pos="1823"/>
              </w:tabs>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146.57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6"/>
        <w:tblW w:w="15521" w:type="dxa"/>
        <w:tblInd w:w="93"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tabs>
                <w:tab w:val="center" w:pos="1689"/>
              </w:tabs>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ab/>
            </w:r>
            <w:r>
              <w:rPr>
                <w:rFonts w:hint="eastAsia"/>
                <w:lang w:eastAsia="zh-CN"/>
              </w:rPr>
              <w:t>岳阳县动物疫病预防控制中心</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65.4</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2"/>
                <w:szCs w:val="22"/>
                <w:lang w:eastAsia="zh-CN"/>
              </w:rPr>
              <w:t>七、农林水支出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65.4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65.4</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65.4</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64.5</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65.4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65.4</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65.4</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65.4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ab/>
      </w:r>
      <w:r>
        <w:rPr>
          <w:rFonts w:hint="eastAsia"/>
          <w:lang w:eastAsia="zh-CN"/>
        </w:rPr>
        <w:t>岳阳县动物疫病预防控制中心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农林水</w:t>
            </w:r>
          </w:p>
        </w:tc>
        <w:tc>
          <w:tcPr>
            <w:tcW w:w="3527"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其他农业支出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65.4</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65.4</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0" w:type="auto"/>
        <w:tblInd w:w="0" w:type="dxa"/>
        <w:tblLayout w:type="autofit"/>
        <w:tblCellMar>
          <w:top w:w="0" w:type="dxa"/>
          <w:left w:w="108" w:type="dxa"/>
          <w:bottom w:w="0" w:type="dxa"/>
          <w:right w:w="108" w:type="dxa"/>
        </w:tblCellMar>
      </w:tblPr>
      <w:tblGrid>
        <w:gridCol w:w="1338"/>
        <w:gridCol w:w="3367"/>
        <w:gridCol w:w="846"/>
        <w:gridCol w:w="1060"/>
        <w:gridCol w:w="2316"/>
        <w:gridCol w:w="846"/>
        <w:gridCol w:w="1060"/>
        <w:gridCol w:w="4206"/>
        <w:gridCol w:w="575"/>
      </w:tblGrid>
      <w:tr>
        <w:tblPrEx>
          <w:tblCellMar>
            <w:top w:w="0" w:type="dxa"/>
            <w:left w:w="108" w:type="dxa"/>
            <w:bottom w:w="0" w:type="dxa"/>
            <w:right w:w="108" w:type="dxa"/>
          </w:tblCellMar>
        </w:tblPrEx>
        <w:trPr>
          <w:trHeight w:val="113"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lang w:eastAsia="zh-CN"/>
              </w:rPr>
              <w:t>岳阳县动物疫病预防控制中心</w:t>
            </w: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45.78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19.62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19.83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0.79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6.21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7.23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4.65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1.91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0.95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0" w:type="auto"/>
            <w:tcBorders>
              <w:top w:val="nil"/>
              <w:left w:val="nil"/>
              <w:bottom w:val="single" w:color="auto" w:sz="4" w:space="0"/>
              <w:right w:val="single" w:color="auto" w:sz="4" w:space="0"/>
            </w:tcBorders>
            <w:shd w:val="clear" w:color="auto" w:fill="auto"/>
            <w:noWrap/>
            <w:vAlign w:val="center"/>
          </w:tcPr>
          <w:p>
            <w:pPr>
              <w:widowControl/>
              <w:tabs>
                <w:tab w:val="left" w:pos="462"/>
              </w:tabs>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0.77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2.77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4.23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2.63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宋体" w:hAnsi="宋体" w:eastAsia="宋体" w:cs="宋体"/>
          <w:color w:val="000000"/>
          <w:kern w:val="0"/>
          <w:sz w:val="20"/>
          <w:szCs w:val="20"/>
          <w:lang w:eastAsia="zh-CN"/>
        </w:rPr>
        <w:tab/>
      </w:r>
      <w:r>
        <w:rPr>
          <w:rFonts w:hint="eastAsia"/>
          <w:lang w:eastAsia="zh-CN"/>
        </w:rPr>
        <w:t>岳阳县动物疫病预防控制中心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公务用车</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公务用车</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公务用车</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公务用车</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0.65</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0.65</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2.63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2.63</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center"/>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lang w:eastAsia="zh-CN"/>
        </w:rPr>
        <w:t>岳阳县动物疫病预防控制中心</w:t>
      </w:r>
      <w:r>
        <w:rPr>
          <w:rFonts w:ascii="Times New Roman" w:hAnsi="Times New Roman" w:eastAsia="仿宋_GB2312" w:cs="Times New Roman"/>
          <w:color w:val="000000"/>
          <w:kern w:val="0"/>
          <w:szCs w:val="21"/>
        </w:rPr>
        <w:t xml:space="preserve">                                                                                                公开08表</w:t>
      </w:r>
    </w:p>
    <w:p>
      <w:pPr>
        <w:widowControl/>
        <w:jc w:val="center"/>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both"/>
              <w:rPr>
                <w:rFonts w:ascii="宋体" w:hAnsi="宋体" w:eastAsia="宋体" w:cs="宋体"/>
                <w:kern w:val="0"/>
                <w:sz w:val="20"/>
                <w:szCs w:val="20"/>
              </w:rPr>
            </w:pPr>
            <w:r>
              <w:rPr>
                <w:rFonts w:hint="eastAsia"/>
                <w:lang w:eastAsia="zh-CN"/>
              </w:rPr>
              <w:t>岳阳县动物疫病预防控制中心</w:t>
            </w: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eastAsia" w:ascii="宋体" w:hAnsi="宋体" w:eastAsia="宋体"/>
          <w:sz w:val="32"/>
          <w:szCs w:val="32"/>
        </w:rPr>
      </w:pPr>
      <w:r>
        <w:rPr>
          <w:rFonts w:hint="eastAsia" w:ascii="宋体" w:hAnsi="宋体" w:eastAsia="宋体"/>
          <w:sz w:val="32"/>
          <w:szCs w:val="32"/>
        </w:rPr>
        <w:t>2020年度收入总计</w:t>
      </w:r>
      <w:r>
        <w:rPr>
          <w:rFonts w:hint="eastAsia" w:ascii="宋体" w:hAnsi="宋体" w:eastAsia="宋体"/>
          <w:sz w:val="32"/>
          <w:szCs w:val="32"/>
          <w:lang w:val="en-US" w:eastAsia="zh-CN"/>
        </w:rPr>
        <w:t>146.57</w:t>
      </w:r>
      <w:r>
        <w:rPr>
          <w:rFonts w:hint="eastAsia" w:ascii="宋体" w:hAnsi="宋体" w:eastAsia="宋体"/>
          <w:sz w:val="32"/>
          <w:szCs w:val="32"/>
        </w:rPr>
        <w:t>万元，与上年相比，减少</w:t>
      </w:r>
      <w:r>
        <w:rPr>
          <w:rFonts w:hint="eastAsia" w:ascii="宋体" w:hAnsi="宋体" w:eastAsia="宋体"/>
          <w:sz w:val="32"/>
          <w:szCs w:val="32"/>
          <w:lang w:val="en-US" w:eastAsia="zh-CN"/>
        </w:rPr>
        <w:t>72.27</w:t>
      </w:r>
      <w:r>
        <w:rPr>
          <w:rFonts w:hint="eastAsia" w:ascii="宋体" w:hAnsi="宋体" w:eastAsia="宋体"/>
          <w:sz w:val="32"/>
          <w:szCs w:val="32"/>
        </w:rPr>
        <w:t>万元，减少</w:t>
      </w:r>
      <w:r>
        <w:rPr>
          <w:rFonts w:hint="eastAsia" w:ascii="宋体" w:hAnsi="宋体" w:eastAsia="宋体"/>
          <w:sz w:val="32"/>
          <w:szCs w:val="32"/>
          <w:lang w:val="en-US" w:eastAsia="zh-CN"/>
        </w:rPr>
        <w:t>33</w:t>
      </w:r>
      <w:r>
        <w:rPr>
          <w:rFonts w:hint="eastAsia" w:ascii="宋体" w:hAnsi="宋体" w:eastAsia="宋体"/>
          <w:sz w:val="32"/>
          <w:szCs w:val="32"/>
        </w:rPr>
        <w:t>%，主要是因为</w:t>
      </w:r>
      <w:r>
        <w:rPr>
          <w:rFonts w:hint="eastAsia" w:ascii="宋体" w:hAnsi="宋体" w:eastAsia="宋体"/>
          <w:sz w:val="32"/>
          <w:szCs w:val="32"/>
          <w:lang w:eastAsia="zh-CN"/>
        </w:rPr>
        <w:t>上级养殖业专项资金减少</w:t>
      </w:r>
      <w:r>
        <w:rPr>
          <w:rFonts w:hint="eastAsia" w:ascii="宋体" w:hAnsi="宋体" w:eastAsia="宋体"/>
          <w:sz w:val="32"/>
          <w:szCs w:val="32"/>
        </w:rPr>
        <w:t>。</w:t>
      </w:r>
    </w:p>
    <w:p>
      <w:pPr>
        <w:pStyle w:val="10"/>
        <w:ind w:firstLine="640" w:firstLineChars="200"/>
        <w:rPr>
          <w:rFonts w:asciiTheme="minorEastAsia" w:hAnsiTheme="minorEastAsia" w:eastAsiaTheme="minorEastAsia"/>
          <w:sz w:val="32"/>
          <w:szCs w:val="32"/>
        </w:rPr>
      </w:pPr>
      <w:r>
        <w:rPr>
          <w:rFonts w:hint="eastAsia" w:ascii="宋体" w:hAnsi="宋体" w:eastAsia="宋体"/>
          <w:sz w:val="32"/>
          <w:szCs w:val="32"/>
        </w:rPr>
        <w:t>2020年度支出总计</w:t>
      </w:r>
      <w:r>
        <w:rPr>
          <w:rFonts w:hint="eastAsia" w:ascii="宋体" w:hAnsi="宋体" w:eastAsia="宋体"/>
          <w:sz w:val="32"/>
          <w:szCs w:val="32"/>
          <w:lang w:val="en-US" w:eastAsia="zh-CN"/>
        </w:rPr>
        <w:t>146.57</w:t>
      </w:r>
      <w:r>
        <w:rPr>
          <w:rFonts w:hint="eastAsia" w:ascii="宋体" w:hAnsi="宋体" w:eastAsia="宋体"/>
          <w:sz w:val="32"/>
          <w:szCs w:val="32"/>
        </w:rPr>
        <w:t>万元，与上年相比，减少</w:t>
      </w:r>
      <w:r>
        <w:rPr>
          <w:rFonts w:hint="eastAsia" w:ascii="宋体" w:hAnsi="宋体" w:eastAsia="宋体"/>
          <w:sz w:val="32"/>
          <w:szCs w:val="32"/>
          <w:lang w:val="en-US" w:eastAsia="zh-CN"/>
        </w:rPr>
        <w:t>72.27</w:t>
      </w:r>
      <w:r>
        <w:rPr>
          <w:rFonts w:hint="eastAsia" w:ascii="宋体" w:hAnsi="宋体" w:eastAsia="宋体"/>
          <w:sz w:val="32"/>
          <w:szCs w:val="32"/>
        </w:rPr>
        <w:t>万元，减少</w:t>
      </w:r>
      <w:r>
        <w:rPr>
          <w:rFonts w:hint="eastAsia" w:ascii="宋体" w:hAnsi="宋体" w:eastAsia="宋体"/>
          <w:sz w:val="32"/>
          <w:szCs w:val="32"/>
          <w:lang w:val="en-US" w:eastAsia="zh-CN"/>
        </w:rPr>
        <w:t>33</w:t>
      </w:r>
      <w:r>
        <w:rPr>
          <w:rFonts w:hint="eastAsia" w:ascii="宋体" w:hAnsi="宋体" w:eastAsia="宋体"/>
          <w:sz w:val="32"/>
          <w:szCs w:val="32"/>
        </w:rPr>
        <w:t>%，主要是因为</w:t>
      </w:r>
      <w:r>
        <w:rPr>
          <w:rFonts w:hint="eastAsia" w:ascii="宋体" w:hAnsi="宋体" w:eastAsia="宋体"/>
          <w:sz w:val="32"/>
          <w:szCs w:val="32"/>
          <w:lang w:eastAsia="zh-CN"/>
        </w:rPr>
        <w:t>上级养殖业专项资金减少。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146.57</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65.4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44</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81.17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56</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146.57</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146.57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四、财政拨款收入支出决算总体情况说明</w:t>
      </w:r>
    </w:p>
    <w:p>
      <w:pPr>
        <w:pStyle w:val="5"/>
        <w:shd w:val="clear" w:color="auto" w:fill="FFFFFF"/>
        <w:wordWrap w:val="0"/>
        <w:spacing w:before="0" w:beforeAutospacing="0" w:after="0" w:afterAutospacing="0" w:line="480" w:lineRule="auto"/>
        <w:ind w:firstLine="480"/>
        <w:jc w:val="both"/>
        <w:rPr>
          <w:rFonts w:hint="eastAsia" w:eastAsia="宋体"/>
          <w:sz w:val="22"/>
          <w:szCs w:val="22"/>
          <w:lang w:eastAsia="zh-CN"/>
        </w:rPr>
      </w:pPr>
      <w:r>
        <w:rPr>
          <w:rFonts w:hint="eastAsia" w:asciiTheme="minorEastAsia" w:hAnsiTheme="minorEastAsia" w:eastAsiaTheme="minorEastAsia"/>
          <w:sz w:val="32"/>
          <w:szCs w:val="32"/>
        </w:rPr>
        <w:t xml:space="preserve">    </w:t>
      </w:r>
      <w:r>
        <w:rPr>
          <w:rFonts w:hint="eastAsia" w:ascii="宋体" w:hAnsi="宋体" w:eastAsia="宋体"/>
          <w:sz w:val="32"/>
          <w:szCs w:val="32"/>
        </w:rPr>
        <w:t>2020年度财政拨款收入合计</w:t>
      </w:r>
      <w:r>
        <w:rPr>
          <w:rFonts w:hint="eastAsia" w:ascii="宋体" w:hAnsi="宋体" w:eastAsia="宋体"/>
          <w:sz w:val="32"/>
          <w:szCs w:val="32"/>
          <w:lang w:val="en-US" w:eastAsia="zh-CN"/>
        </w:rPr>
        <w:t>65.4</w:t>
      </w:r>
      <w:r>
        <w:rPr>
          <w:rFonts w:hint="eastAsia" w:ascii="宋体" w:hAnsi="宋体" w:eastAsia="宋体"/>
          <w:sz w:val="32"/>
          <w:szCs w:val="32"/>
        </w:rPr>
        <w:t>万元（不含年初财政拨款结转和结余资金），与上年相比，减少</w:t>
      </w:r>
      <w:r>
        <w:rPr>
          <w:rFonts w:hint="eastAsia" w:ascii="宋体" w:hAnsi="宋体" w:eastAsia="宋体"/>
          <w:sz w:val="32"/>
          <w:szCs w:val="32"/>
          <w:lang w:val="en-US" w:eastAsia="zh-CN"/>
        </w:rPr>
        <w:t>11.3</w:t>
      </w:r>
      <w:r>
        <w:rPr>
          <w:rFonts w:hint="eastAsia" w:ascii="宋体" w:hAnsi="宋体" w:eastAsia="宋体"/>
          <w:sz w:val="32"/>
          <w:szCs w:val="32"/>
        </w:rPr>
        <w:t>万元,减少</w:t>
      </w:r>
      <w:r>
        <w:rPr>
          <w:rFonts w:hint="eastAsia" w:ascii="宋体" w:hAnsi="宋体" w:eastAsia="宋体"/>
          <w:sz w:val="32"/>
          <w:szCs w:val="32"/>
          <w:lang w:val="en-US" w:eastAsia="zh-CN"/>
        </w:rPr>
        <w:t>14.7</w:t>
      </w:r>
      <w:r>
        <w:rPr>
          <w:rFonts w:hint="eastAsia" w:ascii="宋体" w:hAnsi="宋体" w:eastAsia="宋体"/>
          <w:sz w:val="32"/>
          <w:szCs w:val="32"/>
        </w:rPr>
        <w:t>%，主要是</w:t>
      </w:r>
      <w:r>
        <w:rPr>
          <w:rFonts w:hint="eastAsia" w:eastAsia="宋体"/>
          <w:sz w:val="32"/>
          <w:szCs w:val="32"/>
          <w:lang w:eastAsia="zh-CN"/>
        </w:rPr>
        <w:t>因为县级财政减少了动物疫病防控经费投入。</w:t>
      </w:r>
    </w:p>
    <w:p>
      <w:pPr>
        <w:pStyle w:val="10"/>
        <w:ind w:firstLine="640"/>
        <w:rPr>
          <w:rFonts w:hint="eastAsia" w:ascii="宋体" w:hAnsi="宋体" w:eastAsia="宋体"/>
          <w:sz w:val="32"/>
          <w:szCs w:val="32"/>
        </w:rPr>
      </w:pPr>
    </w:p>
    <w:p>
      <w:pPr>
        <w:pStyle w:val="5"/>
        <w:shd w:val="clear" w:color="auto" w:fill="FFFFFF"/>
        <w:wordWrap w:val="0"/>
        <w:spacing w:before="0" w:beforeAutospacing="0" w:after="0" w:afterAutospacing="0" w:line="480" w:lineRule="auto"/>
        <w:ind w:firstLine="480"/>
        <w:jc w:val="both"/>
        <w:rPr>
          <w:rFonts w:hint="eastAsia" w:ascii="宋体" w:hAnsi="宋体" w:eastAsia="宋体"/>
          <w:b/>
          <w:bCs/>
          <w:color w:val="FF0000"/>
          <w:sz w:val="28"/>
          <w:szCs w:val="28"/>
          <w:lang w:eastAsia="zh-CN"/>
        </w:rPr>
      </w:pPr>
      <w:r>
        <w:rPr>
          <w:rFonts w:hint="eastAsia" w:ascii="宋体" w:hAnsi="宋体" w:eastAsia="宋体"/>
          <w:sz w:val="32"/>
          <w:szCs w:val="32"/>
        </w:rPr>
        <w:t>2020年度财政拨款支出合计</w:t>
      </w:r>
      <w:r>
        <w:rPr>
          <w:rFonts w:hint="eastAsia" w:ascii="宋体" w:hAnsi="宋体" w:eastAsia="宋体"/>
          <w:sz w:val="32"/>
          <w:szCs w:val="32"/>
          <w:lang w:val="en-US" w:eastAsia="zh-CN"/>
        </w:rPr>
        <w:t>65.4</w:t>
      </w:r>
      <w:r>
        <w:rPr>
          <w:rFonts w:hint="eastAsia" w:ascii="宋体" w:hAnsi="宋体" w:eastAsia="宋体"/>
          <w:sz w:val="32"/>
          <w:szCs w:val="32"/>
        </w:rPr>
        <w:t>万元（不含年末财政拨款结转和结余资金），与上年相比，减少</w:t>
      </w:r>
      <w:r>
        <w:rPr>
          <w:rFonts w:hint="eastAsia" w:ascii="宋体" w:hAnsi="宋体" w:eastAsia="宋体"/>
          <w:sz w:val="32"/>
          <w:szCs w:val="32"/>
          <w:lang w:val="en-US" w:eastAsia="zh-CN"/>
        </w:rPr>
        <w:t>11.3</w:t>
      </w:r>
      <w:r>
        <w:rPr>
          <w:rFonts w:hint="eastAsia" w:ascii="宋体" w:hAnsi="宋体" w:eastAsia="宋体"/>
          <w:sz w:val="32"/>
          <w:szCs w:val="32"/>
        </w:rPr>
        <w:t>万元,减少</w:t>
      </w:r>
      <w:r>
        <w:rPr>
          <w:rFonts w:hint="eastAsia" w:ascii="宋体" w:hAnsi="宋体" w:eastAsia="宋体"/>
          <w:sz w:val="32"/>
          <w:szCs w:val="32"/>
          <w:lang w:val="en-US" w:eastAsia="zh-CN"/>
        </w:rPr>
        <w:t>14.7</w:t>
      </w:r>
      <w:r>
        <w:rPr>
          <w:rFonts w:hint="eastAsia" w:ascii="宋体" w:hAnsi="宋体" w:eastAsia="宋体"/>
          <w:sz w:val="32"/>
          <w:szCs w:val="32"/>
        </w:rPr>
        <w:t>%，主要是</w:t>
      </w:r>
      <w:r>
        <w:rPr>
          <w:rFonts w:hint="eastAsia" w:ascii="宋体" w:hAnsi="宋体" w:eastAsia="宋体"/>
          <w:sz w:val="32"/>
          <w:szCs w:val="32"/>
          <w:lang w:eastAsia="zh-CN"/>
        </w:rPr>
        <w:t>因为</w:t>
      </w:r>
      <w:r>
        <w:rPr>
          <w:rFonts w:hint="eastAsia" w:eastAsia="宋体"/>
          <w:sz w:val="32"/>
          <w:szCs w:val="32"/>
          <w:lang w:eastAsia="zh-CN"/>
        </w:rPr>
        <w:t>县级财政减少了动物疫病防控经费投入。</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65.4</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44</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11.3</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14.7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5"/>
        <w:shd w:val="clear" w:color="auto" w:fill="FFFFFF"/>
        <w:wordWrap w:val="0"/>
        <w:spacing w:before="0" w:beforeAutospacing="0" w:after="0" w:afterAutospacing="0" w:line="480" w:lineRule="auto"/>
        <w:ind w:firstLine="480"/>
        <w:jc w:val="both"/>
        <w:rPr>
          <w:rFonts w:hint="eastAsia" w:eastAsiaTheme="minorEastAsia"/>
          <w:sz w:val="24"/>
          <w:szCs w:val="24"/>
          <w:lang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65.4</w:t>
      </w:r>
      <w:r>
        <w:rPr>
          <w:rFonts w:hint="eastAsia" w:asciiTheme="minorEastAsia" w:hAnsiTheme="minorEastAsia" w:eastAsiaTheme="minorEastAsia"/>
          <w:sz w:val="32"/>
          <w:szCs w:val="32"/>
        </w:rPr>
        <w:t>万元，主要用于以下方面：</w:t>
      </w:r>
      <w:r>
        <w:rPr>
          <w:rFonts w:hint="eastAsia"/>
          <w:sz w:val="22"/>
          <w:szCs w:val="22"/>
        </w:rPr>
        <w:t>:</w:t>
      </w:r>
      <w:r>
        <w:rPr>
          <w:rFonts w:hint="eastAsia"/>
          <w:sz w:val="32"/>
          <w:szCs w:val="32"/>
        </w:rPr>
        <w:t>人员经费</w:t>
      </w:r>
      <w:r>
        <w:rPr>
          <w:rFonts w:hint="eastAsia"/>
          <w:sz w:val="32"/>
          <w:szCs w:val="32"/>
          <w:lang w:val="en-US" w:eastAsia="zh-CN"/>
        </w:rPr>
        <w:t>45.78</w:t>
      </w:r>
      <w:r>
        <w:rPr>
          <w:rFonts w:hint="eastAsia"/>
          <w:sz w:val="32"/>
          <w:szCs w:val="32"/>
        </w:rPr>
        <w:t>万元，公用经费</w:t>
      </w:r>
      <w:r>
        <w:rPr>
          <w:rFonts w:hint="eastAsia"/>
          <w:sz w:val="32"/>
          <w:szCs w:val="32"/>
          <w:lang w:val="en-US" w:eastAsia="zh-CN"/>
        </w:rPr>
        <w:t>19.62</w:t>
      </w:r>
      <w:r>
        <w:rPr>
          <w:rFonts w:hint="eastAsia"/>
          <w:sz w:val="32"/>
          <w:szCs w:val="32"/>
        </w:rPr>
        <w:t>万元</w:t>
      </w:r>
      <w:r>
        <w:rPr>
          <w:rFonts w:hint="eastAsia"/>
          <w:sz w:val="32"/>
          <w:szCs w:val="32"/>
          <w:lang w:eastAsia="zh-CN"/>
        </w:rPr>
        <w:t>。</w:t>
      </w:r>
    </w:p>
    <w:p>
      <w:pPr>
        <w:pStyle w:val="10"/>
        <w:ind w:firstLine="640" w:firstLineChars="200"/>
        <w:rPr>
          <w:rFonts w:asciiTheme="minorEastAsia" w:hAnsiTheme="minorEastAsia" w:eastAsiaTheme="minorEastAsia"/>
          <w:sz w:val="32"/>
          <w:szCs w:val="32"/>
        </w:rPr>
      </w:pP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65.4</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65.4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0"/>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人员经费</w:t>
      </w:r>
      <w:r>
        <w:rPr>
          <w:rFonts w:hint="eastAsia" w:asciiTheme="minorEastAsia" w:hAnsiTheme="minorEastAsia" w:eastAsiaTheme="minorEastAsia"/>
          <w:sz w:val="32"/>
          <w:szCs w:val="32"/>
          <w:lang w:val="en-US" w:eastAsia="zh-CN"/>
        </w:rPr>
        <w:t>45.78万元。</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45.78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45.78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numPr>
          <w:ilvl w:val="0"/>
          <w:numId w:val="2"/>
        </w:numPr>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eastAsia="zh-CN"/>
        </w:rPr>
        <w:t>公用经费</w:t>
      </w:r>
      <w:r>
        <w:rPr>
          <w:rFonts w:hint="eastAsia" w:asciiTheme="minorEastAsia" w:hAnsiTheme="minorEastAsia" w:eastAsiaTheme="minorEastAsia"/>
          <w:sz w:val="32"/>
          <w:szCs w:val="32"/>
          <w:lang w:val="en-US" w:eastAsia="zh-CN"/>
        </w:rPr>
        <w:t>19.62万元。</w:t>
      </w:r>
    </w:p>
    <w:p>
      <w:pPr>
        <w:pStyle w:val="10"/>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19.62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19.62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六、一般公共预算财政拨款基本支出决算情况说明</w:t>
      </w:r>
    </w:p>
    <w:p>
      <w:pPr>
        <w:pStyle w:val="5"/>
        <w:shd w:val="clear" w:color="auto" w:fill="FFFFFF"/>
        <w:wordWrap w:val="0"/>
        <w:spacing w:before="0" w:beforeAutospacing="0" w:after="0" w:afterAutospacing="0" w:line="480" w:lineRule="auto"/>
        <w:ind w:firstLine="480"/>
        <w:jc w:val="both"/>
        <w:rPr>
          <w:rFonts w:hint="eastAsia"/>
          <w:sz w:val="28"/>
          <w:szCs w:val="28"/>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65.4</w:t>
      </w:r>
      <w:r>
        <w:rPr>
          <w:rFonts w:hint="eastAsia" w:asciiTheme="minorEastAsia" w:hAnsiTheme="minorEastAsia" w:eastAsiaTheme="minorEastAsia"/>
          <w:sz w:val="32"/>
          <w:szCs w:val="32"/>
        </w:rPr>
        <w:t>万元，</w:t>
      </w:r>
      <w:r>
        <w:rPr>
          <w:rFonts w:hint="eastAsia"/>
          <w:sz w:val="32"/>
          <w:szCs w:val="32"/>
        </w:rPr>
        <w:t>其中:人员经费</w:t>
      </w:r>
      <w:r>
        <w:rPr>
          <w:rFonts w:hint="eastAsia"/>
          <w:sz w:val="32"/>
          <w:szCs w:val="32"/>
          <w:lang w:val="en-US" w:eastAsia="zh-CN"/>
        </w:rPr>
        <w:t>45.78</w:t>
      </w:r>
      <w:r>
        <w:rPr>
          <w:rFonts w:hint="eastAsia"/>
          <w:sz w:val="32"/>
          <w:szCs w:val="32"/>
        </w:rPr>
        <w:t>万元，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公用经费</w:t>
      </w:r>
      <w:r>
        <w:rPr>
          <w:rFonts w:hint="eastAsia"/>
          <w:sz w:val="32"/>
          <w:szCs w:val="32"/>
          <w:lang w:val="en-US" w:eastAsia="zh-CN"/>
        </w:rPr>
        <w:t>19.62</w:t>
      </w:r>
      <w:r>
        <w:rPr>
          <w:rFonts w:hint="eastAsia"/>
          <w:sz w:val="32"/>
          <w:szCs w:val="32"/>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pPr>
        <w:pStyle w:val="10"/>
        <w:ind w:firstLine="640" w:firstLineChars="20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0.65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2.63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404.6</w:t>
      </w:r>
      <w:r>
        <w:rPr>
          <w:rFonts w:hint="eastAsia" w:asciiTheme="minorEastAsia" w:hAnsiTheme="minorEastAsia" w:eastAsiaTheme="minorEastAsia"/>
          <w:sz w:val="32"/>
          <w:szCs w:val="32"/>
        </w:rPr>
        <w:t>%，其中：</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0.65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2.63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404.6</w:t>
      </w:r>
      <w:r>
        <w:rPr>
          <w:rFonts w:hint="eastAsia" w:asciiTheme="minorEastAsia" w:hAnsiTheme="minorEastAsia" w:eastAsiaTheme="minorEastAsia"/>
          <w:sz w:val="32"/>
          <w:szCs w:val="32"/>
        </w:rPr>
        <w:t>%，决算数大于预算数的主要原因是</w:t>
      </w:r>
      <w:r>
        <w:rPr>
          <w:rFonts w:hint="eastAsia" w:ascii="宋体" w:hAnsi="宋体" w:eastAsia="宋体" w:cs="宋体"/>
          <w:sz w:val="32"/>
          <w:szCs w:val="32"/>
          <w:lang w:eastAsia="zh-CN"/>
        </w:rPr>
        <w:t>本部门有春、秋季重大动物疫病防疫会议，以及非洲猪瘟专项防控会议，因此将会议招待费用纳入了“三公经费”中。</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2.63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404.6</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b/>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2.66</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348</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会议</w:t>
      </w:r>
      <w:r>
        <w:rPr>
          <w:rFonts w:hint="eastAsia" w:asciiTheme="minorEastAsia" w:hAnsiTheme="minorEastAsia" w:eastAsiaTheme="minorEastAsia"/>
          <w:sz w:val="32"/>
          <w:szCs w:val="32"/>
        </w:rPr>
        <w:t>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i w:val="0"/>
          <w:iCs/>
          <w:color w:val="FF0000"/>
          <w:sz w:val="32"/>
          <w:szCs w:val="32"/>
          <w:lang w:eastAsia="zh-CN"/>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color w:val="auto"/>
          <w:sz w:val="32"/>
          <w:szCs w:val="32"/>
        </w:rPr>
        <w:t xml:space="preserve">  </w:t>
      </w:r>
      <w:r>
        <w:rPr>
          <w:rFonts w:hint="eastAsia" w:asciiTheme="minorEastAsia" w:hAnsiTheme="minorEastAsia" w:eastAsiaTheme="minorEastAsia"/>
          <w:i w:val="0"/>
          <w:iCs/>
          <w:color w:val="auto"/>
          <w:sz w:val="32"/>
          <w:szCs w:val="32"/>
        </w:rPr>
        <w:t>本单位无政府性基金收支</w:t>
      </w:r>
      <w:r>
        <w:rPr>
          <w:rFonts w:hint="eastAsia" w:asciiTheme="minorEastAsia" w:hAnsiTheme="minorEastAsia" w:eastAsiaTheme="minorEastAsia"/>
          <w:i w:val="0"/>
          <w:iCs/>
          <w:color w:val="auto"/>
          <w:sz w:val="32"/>
          <w:szCs w:val="32"/>
          <w:lang w:eastAsia="zh-CN"/>
        </w:rPr>
        <w:t>。</w:t>
      </w:r>
    </w:p>
    <w:p>
      <w:pPr>
        <w:pStyle w:val="10"/>
        <w:rPr>
          <w:rFonts w:hAnsi="黑体"/>
          <w:b/>
          <w:sz w:val="32"/>
          <w:szCs w:val="32"/>
        </w:rPr>
      </w:pPr>
      <w:r>
        <w:rPr>
          <w:rFonts w:hint="eastAsia" w:hAnsi="黑体"/>
          <w:b/>
          <w:sz w:val="32"/>
          <w:szCs w:val="32"/>
        </w:rPr>
        <w:t>九、关于机关运行经费支出说明</w:t>
      </w:r>
    </w:p>
    <w:p>
      <w:pPr>
        <w:pStyle w:val="5"/>
        <w:shd w:val="clear" w:color="auto" w:fill="FFFFFF"/>
        <w:wordWrap w:val="0"/>
        <w:spacing w:before="0" w:beforeAutospacing="0" w:after="0" w:afterAutospacing="0" w:line="480" w:lineRule="auto"/>
        <w:ind w:firstLine="480"/>
        <w:jc w:val="both"/>
        <w:rPr>
          <w:rFonts w:hint="eastAsia" w:eastAsia="宋体"/>
          <w:sz w:val="22"/>
          <w:szCs w:val="22"/>
          <w:lang w:eastAsia="zh-CN"/>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65.4</w:t>
      </w:r>
      <w:r>
        <w:rPr>
          <w:rFonts w:hint="eastAsia" w:asciiTheme="minorEastAsia" w:hAnsiTheme="minorEastAsia" w:eastAsiaTheme="minorEastAsia"/>
          <w:sz w:val="32"/>
          <w:szCs w:val="32"/>
        </w:rPr>
        <w:t>万元，比年初预算数（或者上年决算数）减少</w:t>
      </w:r>
      <w:r>
        <w:rPr>
          <w:rFonts w:hint="eastAsia" w:asciiTheme="minorEastAsia" w:hAnsiTheme="minorEastAsia" w:eastAsiaTheme="minorEastAsia"/>
          <w:sz w:val="32"/>
          <w:szCs w:val="32"/>
          <w:lang w:val="en-US" w:eastAsia="zh-CN"/>
        </w:rPr>
        <w:t>11.3</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14.7</w:t>
      </w:r>
      <w:r>
        <w:rPr>
          <w:rFonts w:hint="eastAsia" w:asciiTheme="minorEastAsia" w:hAnsiTheme="minorEastAsia" w:eastAsiaTheme="minorEastAsia"/>
          <w:sz w:val="32"/>
          <w:szCs w:val="32"/>
        </w:rPr>
        <w:t>%。主要原因是</w:t>
      </w:r>
      <w:r>
        <w:rPr>
          <w:rFonts w:hint="eastAsia" w:eastAsia="宋体"/>
          <w:sz w:val="32"/>
          <w:szCs w:val="32"/>
          <w:lang w:eastAsia="zh-CN"/>
        </w:rPr>
        <w:t>因为县级财政减少了动物疫病防控经费投入。</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十、一般性支出情况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2.63</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eastAsia="zh-CN"/>
        </w:rPr>
        <w:t>春、秋季动物疫病防控会议</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70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岳阳县重大动物疫病防控</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2.63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十一、关于政府采购支出说明</w:t>
      </w:r>
    </w:p>
    <w:p>
      <w:pPr>
        <w:pStyle w:val="10"/>
        <w:ind w:firstLine="640" w:firstLineChars="200"/>
        <w:rPr>
          <w:rFonts w:hint="eastAsia"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十二、关于国有资产占用情况说明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rPr>
        <w:t>十三、关于2020年度预算绩效情况的说明</w:t>
      </w:r>
    </w:p>
    <w:p>
      <w:pPr>
        <w:pStyle w:val="10"/>
        <w:ind w:firstLine="640" w:firstLineChars="200"/>
        <w:rPr>
          <w:rFonts w:hint="eastAsia" w:ascii="宋体" w:hAnsi="宋体" w:eastAsia="宋体"/>
          <w:sz w:val="32"/>
          <w:szCs w:val="32"/>
        </w:rPr>
      </w:pPr>
      <w:r>
        <w:rPr>
          <w:rFonts w:hint="eastAsia" w:ascii="宋体" w:hAnsi="宋体" w:eastAsia="宋体"/>
          <w:sz w:val="32"/>
          <w:szCs w:val="32"/>
        </w:rPr>
        <w:t>根据</w:t>
      </w:r>
      <w:r>
        <w:rPr>
          <w:rFonts w:hint="eastAsia" w:ascii="宋体" w:hAnsi="宋体" w:eastAsia="宋体"/>
          <w:sz w:val="32"/>
          <w:szCs w:val="32"/>
          <w:lang w:val="en-US" w:eastAsia="zh-Hans"/>
        </w:rPr>
        <w:t>xxxx等文件的</w:t>
      </w:r>
      <w:r>
        <w:rPr>
          <w:rFonts w:hint="eastAsia" w:ascii="宋体" w:hAnsi="宋体" w:eastAsia="宋体"/>
          <w:sz w:val="32"/>
          <w:szCs w:val="32"/>
        </w:rPr>
        <w:t>要求，为进一步规范财政资金管理，强化绩效和责任意识，切实提高财政资金使用效益，我单位对</w:t>
      </w:r>
      <w:r>
        <w:rPr>
          <w:rFonts w:hint="eastAsia" w:ascii="宋体" w:hAnsi="宋体" w:eastAsia="宋体"/>
          <w:sz w:val="32"/>
          <w:szCs w:val="32"/>
          <w:highlight w:val="none"/>
        </w:rPr>
        <w:t>2020年度部门整体支出、单位项目支出、重点（专项）项目支出进行了绩效自评</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rPr>
        <w:t>部门整体支出绩效自评得分</w:t>
      </w:r>
      <w:r>
        <w:rPr>
          <w:rFonts w:hint="eastAsia" w:ascii="宋体" w:hAnsi="宋体" w:eastAsia="宋体"/>
          <w:sz w:val="32"/>
          <w:szCs w:val="32"/>
          <w:lang w:val="en-US" w:eastAsia="zh-CN"/>
        </w:rPr>
        <w:t>98分</w:t>
      </w:r>
      <w:r>
        <w:rPr>
          <w:rFonts w:hint="eastAsia" w:ascii="宋体" w:hAnsi="宋体" w:eastAsia="宋体"/>
          <w:sz w:val="32"/>
          <w:szCs w:val="32"/>
        </w:rPr>
        <w:t>，评价等级为“</w:t>
      </w:r>
      <w:r>
        <w:rPr>
          <w:rFonts w:hint="eastAsia" w:ascii="宋体" w:hAnsi="宋体" w:eastAsia="宋体"/>
          <w:sz w:val="32"/>
          <w:szCs w:val="32"/>
          <w:lang w:eastAsia="zh-CN"/>
        </w:rPr>
        <w:t>优秀</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rPr>
        <w:t>已按</w:t>
      </w:r>
      <w:r>
        <w:rPr>
          <w:rFonts w:hint="eastAsia" w:ascii="宋体" w:hAnsi="宋体" w:eastAsia="宋体"/>
          <w:sz w:val="32"/>
          <w:szCs w:val="32"/>
          <w:highlight w:val="none"/>
          <w:lang w:val="en-US" w:eastAsia="zh-Hans"/>
        </w:rPr>
        <w:t>县</w:t>
      </w:r>
      <w:r>
        <w:rPr>
          <w:rFonts w:hint="eastAsia" w:ascii="宋体" w:hAnsi="宋体" w:eastAsia="宋体"/>
          <w:sz w:val="32"/>
          <w:szCs w:val="32"/>
          <w:highlight w:val="none"/>
        </w:rPr>
        <w:t>财政局</w:t>
      </w:r>
      <w:r>
        <w:rPr>
          <w:rFonts w:hint="eastAsia" w:ascii="宋体" w:hAnsi="宋体" w:eastAsia="宋体"/>
          <w:sz w:val="32"/>
          <w:szCs w:val="32"/>
        </w:rPr>
        <w:t>统一要求</w:t>
      </w:r>
      <w:r>
        <w:rPr>
          <w:rFonts w:hint="eastAsia" w:asciiTheme="minorEastAsia" w:hAnsiTheme="minorEastAsia" w:eastAsiaTheme="minorEastAsia"/>
          <w:sz w:val="32"/>
          <w:szCs w:val="32"/>
        </w:rPr>
        <w:t>随同部门决算作为附件</w:t>
      </w:r>
      <w:r>
        <w:rPr>
          <w:rFonts w:hint="eastAsia" w:ascii="宋体" w:hAnsi="宋体" w:eastAsia="宋体"/>
          <w:sz w:val="32"/>
          <w:szCs w:val="32"/>
        </w:rPr>
        <w:t>公开。</w:t>
      </w:r>
    </w:p>
    <w:p>
      <w:pPr>
        <w:pStyle w:val="10"/>
        <w:ind w:firstLine="640" w:firstLineChars="200"/>
        <w:rPr>
          <w:rFonts w:hint="eastAsia" w:ascii="宋体" w:hAnsi="宋体" w:eastAsia="宋体"/>
          <w:sz w:val="32"/>
          <w:szCs w:val="32"/>
        </w:rPr>
      </w:pPr>
    </w:p>
    <w:p>
      <w:pPr>
        <w:pStyle w:val="10"/>
        <w:rPr>
          <w:rFonts w:hint="eastAsia" w:asciiTheme="minorEastAsia" w:hAnsiTheme="minorEastAsia" w:eastAsiaTheme="minorEastAsia"/>
          <w:sz w:val="32"/>
          <w:szCs w:val="32"/>
        </w:rPr>
      </w:pPr>
    </w:p>
    <w:p>
      <w:pPr>
        <w:pStyle w:val="10"/>
        <w:rPr>
          <w:rFonts w:hAnsi="黑体"/>
          <w:b/>
          <w:sz w:val="32"/>
          <w:szCs w:val="32"/>
        </w:rPr>
      </w:pPr>
      <w:bookmarkStart w:id="3" w:name="_GoBack"/>
      <w:bookmarkEnd w:id="3"/>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财政拨款收入：指本级财政当年拨付的资金。</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其他收入：指除上述“财政拨款收入”、“上级补助收入”、“事业收入”、“经营收入”、“附属单位上缴收入”等以外的收入。</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上年结转和结余：指以前年度尚未完成、结转到本年按有关规定继续使用的资金。</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年末结转和结余资金：指本年度或以前年度预算安排、因客观条件发生变化无法按原计划实施，需要延迟到以后年度按有关规定继续使用的资金。</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农林水支出（类）：是指用于农林水事务支出，包括保障机构正常运转、完成日常和特定的工作任务或事业发展目标的支出。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其他支出（类）：是指用于反映除上述项目以外其他不能划分到具体功能科目中的支出项目，包括保障机构正常运转、完成日常和特定的工作任务或事业发展目标的支出。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基本支出：指保障机构正常运转、完成支日常工作任务而发生的人员支出和公用支出。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项目支出：指在基本支出之外为完成特定行政任务和事业发展目标所发生的支出。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工资福利支出：反映单位开支的在职职工和编制外长期聘用人员的各类劳动报酬，以及为上述人员缴纳的各项社会保险费等。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津贴补贴：反映经国家批准建立的机关事业单位艰苦边远地区津贴、机关工作人员地区附加津贴、机关工作人员岗位津贴、事业单位工作人员特殊岗位津贴补贴等。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奖金：反映机关工作人员年终一次性奖金。</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绩效工资：反映事业单位工作人员的绩效工资。</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机关事业单位基本养老保险缴费：反映机关事业单位缴纳的基本养老保险费。由单位代扣的工作人员基本养老保险缴费，不在此科目反映。</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职业年金缴费：反映机关事业单位实际缴纳的职业年金支出。由单位代扣的工作人员职业年金缴费，不在此科目反映。</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职工基本医疗保险缴费：反映单位为职工缴纳的基本医疗保险费。</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公务员医疗补助缴费：反映按规定可享受公务员医疗补助单位为职工缴纳的公务员医疗补助费。</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其他社会保障缴费：反映单位为职工缴纳的基本医疗、失业、工伤、生育等社会保险费，残疾人就业保障金，军队（含武警）为军人缴纳的伤亡、退役医疗等社会保险费。</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住房公积金：反映行政事业单位按人力资源和社会保障部、财政部规定的基本工资和津贴补贴以及规定比例为职工缴纳的住房公积金。</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商品和服务支出：反映单位购买商品和服务的支出（不包括用于购置固定资产的支出、战略性和应急储备支出）。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办公费：反映单位购买按财务会计制度规定不符合固定资产确认标准的日常办公用品、书报杂志等支出。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印刷费：反映单位的印刷费支出。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手续费：反映单位支付的各类手续费支出。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水费：反映单位支付的水费、污水处理费等支出。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电费：反映单位的电费支出。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邮电费：反映单位开支的信函、包裹、货物等物品的邮寄费及电话费、电报费、传真费、网络通讯费等。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物业管理费：反映单位开支的办公用房以及未实行职工住宅物业服务改革的在职职工和离退休人员宿舍等的物业 管理费，包括综合治理、绿化、卫生等方面的支出。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差旅费：反映单位工作人员出差发生的城市间交通费、住宿费、伙食补贴费和市内交通费。</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维修(护)费：反映单位日常开支的固定资产（不包括车船等交通工具）修理和维护费用，网络信息系统运行与维护费用，以及按规定提取的修购基金。</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会议费：反映会议中按规定开支的住宿费、伙食费、会议室租金、交通费、文件印刷费、医药费等。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培训费：反映除因公出国（境）培训费以外的各类培训支出。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公务接待费：反映单位按规定开支的各类公务接待（含外宾接待）费用。</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劳务费：反映支付给单位和个人的劳务费用，如临时聘用人员、钟点工工资，稿费、翻译费，评审费等。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委托业务费：反映因委托外单位办理业务而支付的委托业务费。</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工会经费：反映单位按规定提取的工会经费。</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福利费：反映单位按规定提取的福利费。</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其他交通费用：反映单位除公务用车运行维护费以外的其他交通费用。如公务交通补贴，租车费用、出租车费用，飞机、船舶等的燃料费、维修费、保险费等。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其他商品和服务支出：反映上述科目未包括的日常公用支出。如行政赔偿费和诉讼费、国内组织的会员费、来访费、广告宣传、其他劳务费及离休人员特需费、公用经费等。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对个人和家庭的补助：反映政府用于对个人和家庭的补助支出。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抚恤金：反映按规定开支的烈士遗属、牺牲病故人员遗属的一次性和定期抚恤金，伤残人员的抚恤金，离退休人员等其他人员的各项抚恤金。</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救济费：反映按规定开支的城乡贫困人员、灾民、归侨、外侨及其他人员的生活救济费，包括城市居民的最低生活保障费，随同资源枯竭矿山破产但未参加养老保险统筹的矿山所属集体企业退休人员按最低生活保障标准发放的生活费，农村五保供养对象、贫困户、麻风病人的生活救济费，精简退职老弱残职工救济费，福利、救助机构发生的收养费以及救助支出等。实物形式的救济也在此科目反映。</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pStyle w:val="5"/>
        <w:shd w:val="clear" w:color="auto" w:fill="FFFFFF"/>
        <w:wordWrap w:val="0"/>
        <w:spacing w:before="0" w:beforeAutospacing="0" w:after="0" w:afterAutospacing="0" w:line="480" w:lineRule="auto"/>
        <w:ind w:firstLine="480"/>
        <w:jc w:val="both"/>
        <w:rPr>
          <w:rFonts w:hint="eastAsia" w:ascii="宋体" w:hAnsi="宋体" w:eastAsia="宋体" w:cs="宋体"/>
          <w:sz w:val="32"/>
          <w:szCs w:val="32"/>
        </w:rPr>
      </w:pPr>
      <w:r>
        <w:rPr>
          <w:rFonts w:hint="eastAsia" w:ascii="宋体" w:hAnsi="宋体" w:eastAsia="宋体" w:cs="宋体"/>
          <w:sz w:val="32"/>
          <w:szCs w:val="32"/>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pPr>
        <w:pStyle w:val="10"/>
        <w:jc w:val="center"/>
        <w:rPr>
          <w:rFonts w:hint="eastAsia" w:ascii="宋体" w:hAnsi="宋体" w:eastAsia="宋体" w:cs="宋体"/>
          <w:sz w:val="32"/>
          <w:szCs w:val="32"/>
        </w:rPr>
      </w:pPr>
      <w:r>
        <w:rPr>
          <w:rFonts w:hint="eastAsia" w:ascii="宋体" w:hAnsi="宋体" w:eastAsia="宋体" w:cs="宋体"/>
          <w:sz w:val="32"/>
          <w:szCs w:val="32"/>
        </w:rPr>
        <w:t>办公设备购置：反映用于购置并按财务会计制度规定纳入固定资产核算范围的办公家具和办公设备的支出，以及按规定提取的修购基金。</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75F9F96"/>
    <w:multiLevelType w:val="singleLevel"/>
    <w:tmpl w:val="675F9F96"/>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1Y2NkNzM1ZWE4NTUxMmNmYWQ0NjkzMjQ3ZWViZmU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845696D"/>
    <w:rsid w:val="0B6850D5"/>
    <w:rsid w:val="65754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1">
    <w:name w:val="List Paragraph"/>
    <w:basedOn w:val="1"/>
    <w:qFormat/>
    <w:uiPriority w:val="34"/>
    <w:pPr>
      <w:ind w:firstLine="420" w:firstLineChars="200"/>
    </w:pPr>
  </w:style>
  <w:style w:type="character" w:customStyle="1" w:styleId="12">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28</Pages>
  <Words>7954</Words>
  <Characters>8789</Characters>
  <Lines>62</Lines>
  <Paragraphs>17</Paragraphs>
  <TotalTime>1</TotalTime>
  <ScaleCrop>false</ScaleCrop>
  <LinksUpToDate>false</LinksUpToDate>
  <CharactersWithSpaces>10158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小安神</cp:lastModifiedBy>
  <cp:lastPrinted>2021-07-28T08:12:00Z</cp:lastPrinted>
  <dcterms:modified xsi:type="dcterms:W3CDTF">2022-08-31T06:58:31Z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0C804D6264154E6787C0F37C0DFEA358</vt:lpwstr>
  </property>
</Properties>
</file>