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ascii="Helvetica Neue" w:hAnsi="Helvetica Neue" w:eastAsia="Helvetica Neue" w:cs="Helvetica Neue"/>
          <w:b w:val="0"/>
          <w:bCs w:val="0"/>
          <w:i w:val="0"/>
          <w:iCs w:val="0"/>
          <w:caps w:val="0"/>
          <w:color w:val="333333"/>
          <w:spacing w:val="0"/>
          <w:sz w:val="32"/>
          <w:szCs w:val="32"/>
          <w:u w:val="none"/>
        </w:rPr>
      </w:pPr>
      <w:r>
        <w:rPr>
          <w:rFonts w:ascii="微软雅黑" w:hAnsi="微软雅黑" w:eastAsia="微软雅黑" w:cs="微软雅黑"/>
          <w:b w:val="0"/>
          <w:bCs w:val="0"/>
          <w:i w:val="0"/>
          <w:iCs w:val="0"/>
          <w:caps w:val="0"/>
          <w:color w:val="333333"/>
          <w:spacing w:val="0"/>
          <w:kern w:val="0"/>
          <w:sz w:val="44"/>
          <w:szCs w:val="44"/>
          <w:u w:val="none"/>
          <w:bdr w:val="none" w:color="auto" w:sz="0" w:space="0"/>
          <w:lang w:val="en-US" w:eastAsia="zh-CN" w:bidi="ar"/>
        </w:rPr>
        <w:t>岳阳县库区移民服务中心</w:t>
      </w:r>
      <w:r>
        <w:rPr>
          <w:rFonts w:hint="default" w:ascii="微软雅黑" w:hAnsi="微软雅黑" w:eastAsia="微软雅黑" w:cs="微软雅黑"/>
          <w:b w:val="0"/>
          <w:bCs w:val="0"/>
          <w:i w:val="0"/>
          <w:iCs w:val="0"/>
          <w:caps w:val="0"/>
          <w:color w:val="333333"/>
          <w:spacing w:val="0"/>
          <w:kern w:val="0"/>
          <w:sz w:val="44"/>
          <w:szCs w:val="44"/>
          <w:u w:val="none"/>
          <w:bdr w:val="none" w:color="auto" w:sz="0" w:space="0"/>
          <w:lang w:val="en-US" w:eastAsia="zh-CN" w:bidi="ar"/>
        </w:rPr>
        <w:t>2022年度单位预算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Helvetica Neue" w:hAnsi="Helvetica Neue" w:eastAsia="Helvetica Neue" w:cs="Helvetica Neue"/>
          <w:b w:val="0"/>
          <w:bCs w:val="0"/>
          <w:i w:val="0"/>
          <w:iCs w:val="0"/>
          <w:caps w:val="0"/>
          <w:color w:val="333333"/>
          <w:spacing w:val="0"/>
          <w:sz w:val="32"/>
          <w:szCs w:val="32"/>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center"/>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ascii="黑体" w:hAnsi="宋体" w:eastAsia="黑体" w:cs="黑体"/>
          <w:b w:val="0"/>
          <w:bCs w:val="0"/>
          <w:i w:val="0"/>
          <w:iCs w:val="0"/>
          <w:caps w:val="0"/>
          <w:color w:val="333333"/>
          <w:spacing w:val="0"/>
          <w:kern w:val="0"/>
          <w:sz w:val="44"/>
          <w:szCs w:val="44"/>
          <w:u w:val="none"/>
          <w:bdr w:val="none" w:color="auto" w:sz="0" w:space="0"/>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ascii="仿宋_GB2312" w:hAnsi="Helvetica Neue" w:eastAsia="仿宋_GB2312" w:cs="仿宋_GB2312"/>
          <w:b/>
          <w:bCs/>
          <w:i w:val="0"/>
          <w:iCs w:val="0"/>
          <w:caps w:val="0"/>
          <w:color w:val="333333"/>
          <w:spacing w:val="0"/>
          <w:kern w:val="0"/>
          <w:sz w:val="32"/>
          <w:szCs w:val="32"/>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第一部分  </w:t>
      </w:r>
      <w:r>
        <w:rPr>
          <w:rFonts w:hint="default" w:ascii="Times New Roman" w:hAnsi="Times New Roman" w:eastAsia="黑体"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年单位预算说明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一、单位基本概况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三、单位收支总体情况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（一）收入预算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（二）支出预算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（一）基本支出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（二）项目支出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（二）“三公”经费预算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（三）一般性支出情况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（四）政府采购情况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（五）国有资产占有使用情况及新增资产配置情况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（六）重点项目预算的绩效目标等预算绩效情况说明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七、名词解释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eastAsia" w:ascii="宋体" w:hAnsi="宋体" w:eastAsia="宋体" w:cs="宋体"/>
          <w:b w:val="0"/>
          <w:bCs w:val="0"/>
          <w:i w:val="0"/>
          <w:iCs w:val="0"/>
          <w:caps w:val="0"/>
          <w:color w:val="333333"/>
          <w:spacing w:val="0"/>
          <w:sz w:val="24"/>
          <w:szCs w:val="24"/>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第二部分  单位预算公开表格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、收支总表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2</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、收入总表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3</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、支出总表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4</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、支出预算分类汇总表（按政府预算经济分类）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5</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、支出预算分类汇总表（按部门预算经济分类）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6</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、财政拨款收支总表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7</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8</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lang w:eastAsia="zh-CN" w:bidi="ar"/>
        </w:rPr>
        <w:t>9、</w:t>
      </w:r>
      <w:r>
        <w:rPr>
          <w:rFonts w:hint="default" w:ascii="仿宋_GB2312" w:hAnsi="Times New Roman" w:eastAsia="仿宋_GB2312" w:cs="仿宋_GB2312"/>
          <w:b w:val="0"/>
          <w:bCs w:val="0"/>
          <w:i w:val="0"/>
          <w:iCs w:val="0"/>
          <w:caps w:val="0"/>
          <w:color w:val="333333"/>
          <w:spacing w:val="0"/>
          <w:kern w:val="0"/>
          <w:sz w:val="32"/>
          <w:szCs w:val="32"/>
          <w:u w:val="none"/>
          <w:lang w:val="en-US" w:eastAsia="zh-CN" w:bidi="ar"/>
        </w:rPr>
        <w:t>一般公</w:t>
      </w:r>
      <w:r>
        <w:rPr>
          <w:rFonts w:hint="default" w:ascii="仿宋_GB2312" w:hAnsi="Times New Roman" w:eastAsia="仿宋_GB2312" w:cs="仿宋_GB2312"/>
          <w:b w:val="0"/>
          <w:bCs w:val="0"/>
          <w:i w:val="0"/>
          <w:iCs w:val="0"/>
          <w:caps w:val="0"/>
          <w:color w:val="333333"/>
          <w:spacing w:val="0"/>
          <w:kern w:val="0"/>
          <w:sz w:val="32"/>
          <w:szCs w:val="32"/>
          <w:u w:val="none"/>
          <w:lang w:val="en-US" w:eastAsia="zh-CN" w:bidi="ar"/>
        </w:rPr>
        <w:t>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人员经费（工资福利支出）（按政府预算经济分类）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10</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人员经费（工资福利支出）（按部门预算经济分类）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1</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人员经费（对个人和家庭的补助）（按政府预算经济分类）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2</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人员经费（对个人和家庭的补助）（按部门预算经济分类）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3</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公用</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经费（商品和服务支出）（按政府预算经济分类）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4</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、一般公共预算基本支出表</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公用</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经费（商品和服务支出）（按部门预算经济分类）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5</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、一般公共预算</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三公</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经费支出表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6</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、政府性基金预算支出表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7</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、政府性基金预算支出分类汇总表（按政府预算经济分类）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8</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、政府性基金预算支出分类汇总表（按部门预算经济分类）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1</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9</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、国有资本经营预算支出表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20</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、财政专户管理资金预算支出表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2</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1</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、专项资金预算汇总表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2</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eastAsia="zh-CN" w:bidi="ar"/>
        </w:rPr>
        <w:t>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、项目支出</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val="en-US" w:eastAsia="zh-CN" w:bidi="ar"/>
        </w:rPr>
        <w:t>2</w:t>
      </w:r>
      <w:r>
        <w:rPr>
          <w:rFonts w:hint="default" w:ascii="Times New Roman" w:hAnsi="Times New Roman" w:eastAsia="Helvetica Neue" w:cs="Times New Roman"/>
          <w:b w:val="0"/>
          <w:bCs w:val="0"/>
          <w:i w:val="0"/>
          <w:iCs w:val="0"/>
          <w:caps w:val="0"/>
          <w:color w:val="333333"/>
          <w:spacing w:val="0"/>
          <w:kern w:val="0"/>
          <w:sz w:val="32"/>
          <w:szCs w:val="32"/>
          <w:u w:val="none"/>
          <w:bdr w:val="none" w:color="auto" w:sz="0" w:space="0"/>
          <w:lang w:eastAsia="zh-CN" w:bidi="ar"/>
        </w:rPr>
        <w:t>3</w:t>
      </w:r>
      <w:r>
        <w:rPr>
          <w:rFonts w:hint="default" w:ascii="仿宋_GB2312" w:hAnsi="Times New Roman" w:eastAsia="仿宋_GB2312" w:cs="仿宋_GB2312"/>
          <w:b w:val="0"/>
          <w:bCs w:val="0"/>
          <w:i w:val="0"/>
          <w:iCs w:val="0"/>
          <w:caps w:val="0"/>
          <w:color w:val="333333"/>
          <w:spacing w:val="0"/>
          <w:kern w:val="0"/>
          <w:sz w:val="32"/>
          <w:szCs w:val="32"/>
          <w:u w:val="none"/>
          <w:bdr w:val="none" w:color="auto" w:sz="0" w:space="0"/>
          <w:lang w:val="en-US" w:eastAsia="zh-CN" w:bidi="ar"/>
        </w:rPr>
        <w:t>、部门整体支出绩效目标表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Times New Roman" w:eastAsia="仿宋_GB2312" w:cs="仿宋_GB2312"/>
          <w:b/>
          <w:bCs/>
          <w:i w:val="0"/>
          <w:iCs w:val="0"/>
          <w:caps w:val="0"/>
          <w:color w:val="333333"/>
          <w:spacing w:val="0"/>
          <w:kern w:val="0"/>
          <w:sz w:val="32"/>
          <w:szCs w:val="32"/>
          <w:u w:val="none"/>
          <w:bdr w:val="none" w:color="auto" w:sz="0" w:space="0"/>
          <w:lang w:val="en-US" w:eastAsia="zh-CN" w:bidi="ar"/>
        </w:rPr>
        <w:t>注：以上</w:t>
      </w:r>
      <w:r>
        <w:rPr>
          <w:rFonts w:hint="default" w:ascii="仿宋_GB2312" w:hAnsi="Helvetica Neue" w:eastAsia="仿宋_GB2312" w:cs="仿宋_GB2312"/>
          <w:b/>
          <w:bCs/>
          <w:i w:val="0"/>
          <w:iCs w:val="0"/>
          <w:caps w:val="0"/>
          <w:color w:val="333333"/>
          <w:spacing w:val="0"/>
          <w:kern w:val="0"/>
          <w:sz w:val="32"/>
          <w:szCs w:val="32"/>
          <w:u w:val="none"/>
          <w:bdr w:val="none" w:color="auto" w:sz="0" w:space="0"/>
          <w:lang w:val="en-US" w:eastAsia="zh-CN" w:bidi="ar"/>
        </w:rPr>
        <w:t>单位预算公开</w:t>
      </w:r>
      <w:r>
        <w:rPr>
          <w:rFonts w:hint="default" w:ascii="仿宋_GB2312" w:hAnsi="Times New Roman" w:eastAsia="仿宋_GB2312" w:cs="仿宋_GB2312"/>
          <w:b/>
          <w:bCs/>
          <w:i w:val="0"/>
          <w:iCs w:val="0"/>
          <w:caps w:val="0"/>
          <w:color w:val="333333"/>
          <w:spacing w:val="0"/>
          <w:kern w:val="0"/>
          <w:sz w:val="32"/>
          <w:szCs w:val="32"/>
          <w:u w:val="none"/>
          <w:bdr w:val="none" w:color="auto" w:sz="0" w:space="0"/>
          <w:lang w:val="en-US" w:eastAsia="zh-CN" w:bidi="ar"/>
        </w:rPr>
        <w:t>报表中，空表表示本</w:t>
      </w:r>
      <w:r>
        <w:rPr>
          <w:rFonts w:hint="default" w:ascii="仿宋_GB2312" w:hAnsi="Helvetica Neue" w:eastAsia="仿宋_GB2312" w:cs="仿宋_GB2312"/>
          <w:b/>
          <w:bCs/>
          <w:i w:val="0"/>
          <w:iCs w:val="0"/>
          <w:caps w:val="0"/>
          <w:color w:val="333333"/>
          <w:spacing w:val="0"/>
          <w:kern w:val="0"/>
          <w:sz w:val="32"/>
          <w:szCs w:val="32"/>
          <w:u w:val="none"/>
          <w:bdr w:val="none" w:color="auto" w:sz="0" w:space="0"/>
          <w:lang w:val="en-US" w:eastAsia="zh-CN" w:bidi="ar"/>
        </w:rPr>
        <w:t>单位</w:t>
      </w:r>
      <w:r>
        <w:rPr>
          <w:rFonts w:hint="default" w:ascii="仿宋_GB2312" w:hAnsi="Times New Roman" w:eastAsia="仿宋_GB2312" w:cs="仿宋_GB2312"/>
          <w:b/>
          <w:bCs/>
          <w:i w:val="0"/>
          <w:iCs w:val="0"/>
          <w:caps w:val="0"/>
          <w:color w:val="333333"/>
          <w:spacing w:val="0"/>
          <w:kern w:val="0"/>
          <w:sz w:val="32"/>
          <w:szCs w:val="32"/>
          <w:u w:val="none"/>
          <w:bdr w:val="none" w:color="auto" w:sz="0" w:space="0"/>
          <w:lang w:val="en-US" w:eastAsia="zh-CN" w:bidi="ar"/>
        </w:rPr>
        <w:t>无相关收支情况。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textAlignment w:val="cente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textAlignment w:val="cente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textAlignment w:val="center"/>
        <w:rPr>
          <w:rFonts w:hint="default" w:ascii="Helvetica Neue" w:hAnsi="Helvetica Neue" w:eastAsia="Helvetica Neue" w:cs="Helvetica Neue"/>
          <w:b w:val="0"/>
          <w:bCs w:val="0"/>
          <w:i w:val="0"/>
          <w:iCs w:val="0"/>
          <w:caps w:val="0"/>
          <w:color w:val="333333"/>
          <w:spacing w:val="0"/>
          <w:sz w:val="32"/>
          <w:szCs w:val="32"/>
          <w:u w:val="none"/>
        </w:rPr>
      </w:pPr>
      <w:bookmarkStart w:id="0" w:name="_GoBack"/>
      <w:bookmarkEnd w:id="0"/>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第一部分  2022年单位预算说明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一、单位基本概况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、负责宣传和贯彻执行国家、省、市有关水利水电工程建设征地补偿和移民安置的政策、法律法规；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、负责本行政区域内大中型水利水电工程移民安置工作的实施，按照项目建立合同管理制度，对移民工程质量、进度、资金和档案实行全方位管理。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3</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、主动参与项目设计单位编制本区域内大中型水利水电工程移民安置规划大纲，提出移民安置去向和方式，推荐移民安置方案，配合设计单位完成实物指标分解细化到户的工作。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4</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、在规划设计单位的配合下，依据移民安置规划和移民安置总体进度要求编制移民安置实施计划，报上级批准后执行。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5</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、根据移民安置规划和移民安置协议的要求，组织实施移民安置计划。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、负责编制水库移民后期扶持年度规划、中长期规划，负责移民后期扶持政策的落实兑现。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7</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、对有关乡（镇）的移民安置和水库移民后期扶持实行全过程监督和管理。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、完成县委、县政府和上级移民管理部门交办的其它工作任务。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ascii="楷体_GB2312" w:hAnsi="Times New Roman" w:eastAsia="楷体_GB2312" w:cs="楷体_GB2312"/>
          <w:b w:val="0"/>
          <w:bCs w:val="0"/>
          <w:i w:val="0"/>
          <w:iCs w:val="0"/>
          <w:caps w:val="0"/>
          <w:color w:val="333333"/>
          <w:spacing w:val="0"/>
          <w:kern w:val="0"/>
          <w:sz w:val="32"/>
          <w:szCs w:val="32"/>
          <w:u w:val="none"/>
          <w:bdr w:val="none" w:color="auto" w:sz="0" w:space="0"/>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我单位于</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2004</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3</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月成立，属于正科级公益一类事业单位，内设办公室，资金财务股，规划计划股，项目及产业开发股，后期扶持股。现有干部职工</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bCs/>
          <w:i w:val="0"/>
          <w:iCs w:val="0"/>
          <w:caps w:val="0"/>
          <w:color w:val="333333"/>
          <w:spacing w:val="0"/>
          <w:kern w:val="0"/>
          <w:sz w:val="32"/>
          <w:szCs w:val="32"/>
          <w:u w:val="none"/>
          <w:bdr w:val="none" w:color="auto" w:sz="0" w:space="0"/>
          <w:lang w:val="en-US" w:eastAsia="zh-CN" w:bidi="ar"/>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sz w:val="32"/>
          <w:szCs w:val="32"/>
          <w:u w:val="none"/>
          <w:bdr w:val="none" w:color="auto" w:sz="0" w:space="0"/>
          <w:shd w:val="clear" w:fill="FFFFFF"/>
        </w:rPr>
        <w:t>本单位没有所属二级机构，因此</w:t>
      </w:r>
      <w:r>
        <w:rPr>
          <w:rFonts w:hint="default" w:ascii="Times New Roman" w:hAnsi="Times New Roman" w:eastAsia="仿宋_GB2312" w:cs="Times New Roman"/>
          <w:b w:val="0"/>
          <w:bCs w:val="0"/>
          <w:i w:val="0"/>
          <w:iCs w:val="0"/>
          <w:caps w:val="0"/>
          <w:color w:val="333333"/>
          <w:spacing w:val="0"/>
          <w:sz w:val="32"/>
          <w:szCs w:val="32"/>
          <w:u w:val="none"/>
          <w:bdr w:val="none" w:color="auto" w:sz="0" w:space="0"/>
          <w:shd w:val="clear" w:fill="FFFFFF"/>
        </w:rPr>
        <w:t>2022</w:t>
      </w:r>
      <w:r>
        <w:rPr>
          <w:rFonts w:hint="default" w:ascii="仿宋_GB2312" w:hAnsi="Helvetica Neue" w:eastAsia="仿宋_GB2312" w:cs="仿宋_GB2312"/>
          <w:b w:val="0"/>
          <w:bCs w:val="0"/>
          <w:i w:val="0"/>
          <w:iCs w:val="0"/>
          <w:caps w:val="0"/>
          <w:color w:val="333333"/>
          <w:spacing w:val="0"/>
          <w:sz w:val="32"/>
          <w:szCs w:val="32"/>
          <w:u w:val="none"/>
          <w:bdr w:val="none" w:color="auto" w:sz="0" w:space="0"/>
          <w:shd w:val="clear" w:fill="FFFFFF"/>
        </w:rPr>
        <w:t>年度部门预算仅为本级部门预算。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bCs/>
          <w:i w:val="0"/>
          <w:iCs w:val="0"/>
          <w:caps w:val="0"/>
          <w:color w:val="333333"/>
          <w:spacing w:val="0"/>
          <w:kern w:val="0"/>
          <w:sz w:val="32"/>
          <w:szCs w:val="32"/>
          <w:u w:val="none"/>
          <w:bdr w:val="none" w:color="auto" w:sz="0" w:space="0"/>
          <w:lang w:val="en-US" w:eastAsia="zh-CN" w:bidi="ar"/>
        </w:rPr>
        <w:t>三、单位收支总体情况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（一）收入预算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包括一般公共预算、政府性基金、国有资本经营预算等财政拨款收入，以及经营收入、事业收入等单位资金。本单位</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年没有对个人和家庭的补助、政府性基金预算拨款和纳入专户管理的非税收入拨款收入，也没有使用政府性基金预算拨款、国有资本经营预算收入和纳入专户管理的非税收入拨款安排的支出，所以公开的附件</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10-11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（对个人和家庭的补助）、</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15-17</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（政府性基金预算）、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（国有资本经营预算）、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19</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表（财政专户管理资金预算）均为空。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年本单位收入预算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206.16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万元，其中，一般公共预算拨款</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206.16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万元。收入较上年增加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15.58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万元，增加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8.18%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。主要原因是：</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年基本工资和年终综合绩效奖金略有增加，另本年干部职工人数较去年增加了</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人，整体上增加了预算数。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（二）支出预算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年本单位支出预算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206.16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万元，其中，社会保障和就业支出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16.82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万元，卫生健康支出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8.41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万元，农林水支出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169.06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万元，住房保障支出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11.87</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万元。支出较上年增加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15.58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万元，其中基本支出增加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15.58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万元，项目支出与去年持平。其中基本支出较去年增加主要是由于</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年基本工资和年终综合绩效奖金略有增加，另本年干部职工人数较去年增加了</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人，整体上增加了预算数。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四、一般公共预算拨款支出预算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年本单位一般公共预算拨款支出预算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206.16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万元，其中，社会保障和就业支出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16.82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；卫生健康支出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8.41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4.08%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；农林水支出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169.06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82.00%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；住房保障支出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11.87</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5.76%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（一）基本支出：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年基本支出预算数为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188.16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万元，是指为保障单位机构正常运转、完成日常工作任务而发生的各项支出，包括用于基本工资、津贴补贴等人员经费以及办公费、印刷费、水电费、差旅费等日常公用经费。其中：工资福利支出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176.86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万元、一般商品和服务支出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11.30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万元、对个人和家庭的补助支出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（二）项目支出：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年项目支出年初预算数为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18.00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万元，是指单位为完成特定行政工作任务或事业发展目标而发生的支出，包括有关业务工作经费、运行维护经费等。其中：业务工作经费支出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18.00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万元，主要用于开展移民人口动态管理、移民培训、库区及移民安置区项目扶持等工作而发生的日常性工作经费开支；本单位无运行维护经费。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年度本单位无政府性基金安排的支出，所以公开的附件</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15-17</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（政府性基金预算）为空。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本单位</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年机关运行经费当年一般公共预算拨款</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11.30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万元，比上年增加</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0.50 </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万元，增长</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4.63%</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。主要原因是本年干部职工人数较去年增加了</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人，整体上增加了预算数，但人平运行经费并未增加。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（二）“三公”经费预算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本单位</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年“三公”经费预算数</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6.80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万元，其中，公务接待费</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6.80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万元，因公出国（境）费</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万元，公务用车购置及运行费</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万元（其中，公务用车购置费</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0 </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万元，公务用车运行费</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0 </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万元）。比上年减少</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0.50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万元，降低</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6.85%</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，主要原因是：我们继续加强内部管理，规范财务报账制度、公务接待程序，推行公务卡结算制度，严格控制接待标准、陪餐人数等措施逐步减少“公务接待费”数额。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（三）一般性支出情况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本单位</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年会议费预算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1.70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万元，拟召开</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次会议，人数</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80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人，内容为全县移民工作会及迎接省、市移民专项资金监督检查工作部署会；培训费预算</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0.56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万元，拟开展</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次培训，人数</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38</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人，内容为移民专项资金使用管理及项目资料编制业务培训；本年度未计划举办节庆、晚会、论坛、赛事活动。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（四）政府采购情况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本单位</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年政府采购预算总额</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6.80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万元，其中工程类</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万元，货物类</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6.20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万元，服务类</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0.60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（五）国有资产占有使用及新增资产配置情况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截至上一年</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月底，本单位共有车辆</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辆，其中领导干部用车</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辆，一般公务用车</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辆，其他用车</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辆。单位价值</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50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万元以上通用设备</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台，单位价值</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100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万元以上专用设备</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年度本单位未计划处置或新增车辆、设备等。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楷体_GB2312" w:hAnsi="Helvetica Neue" w:eastAsia="楷体_GB2312" w:cs="楷体_GB2312"/>
          <w:b w:val="0"/>
          <w:bCs w:val="0"/>
          <w:i w:val="0"/>
          <w:iCs w:val="0"/>
          <w:caps w:val="0"/>
          <w:color w:val="333333"/>
          <w:spacing w:val="0"/>
          <w:kern w:val="0"/>
          <w:sz w:val="32"/>
          <w:szCs w:val="32"/>
          <w:u w:val="none"/>
          <w:bdr w:val="none" w:color="auto" w:sz="0" w:space="0"/>
          <w:lang w:val="en-US" w:eastAsia="zh-CN" w:bidi="ar"/>
        </w:rPr>
        <w:t>（六）重点项目预算的绩效目标等预算绩效情况说明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本单位所有支出实行绩效目标管理。纳入</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年单位整体支出绩效目标的金额为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206.16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万元，其中，基本支出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188.16</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万元，项目支出</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18.00</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万元，详见文尾附表中单位预算公开表格的表</w:t>
      </w: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21-22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1</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textAlignment w:val="center"/>
        <w:rPr>
          <w:rFonts w:hint="default" w:ascii="Helvetica Neue" w:hAnsi="Helvetica Neue" w:eastAsia="Helvetica Neue" w:cs="Helvetica Neue"/>
          <w:b w:val="0"/>
          <w:bCs w:val="0"/>
          <w:i w:val="0"/>
          <w:iCs w:val="0"/>
          <w:caps w:val="0"/>
          <w:color w:val="333333"/>
          <w:spacing w:val="0"/>
          <w:sz w:val="32"/>
          <w:szCs w:val="32"/>
          <w:u w:val="none"/>
        </w:rPr>
      </w:pPr>
      <w:r>
        <w:rPr>
          <w:rFonts w:hint="default" w:ascii="Times New Roman" w:hAnsi="Times New Roman" w:eastAsia="仿宋_GB2312" w:cs="Times New Roman"/>
          <w:b w:val="0"/>
          <w:bCs w:val="0"/>
          <w:i w:val="0"/>
          <w:iCs w:val="0"/>
          <w:caps w:val="0"/>
          <w:color w:val="333333"/>
          <w:spacing w:val="0"/>
          <w:kern w:val="0"/>
          <w:sz w:val="32"/>
          <w:szCs w:val="32"/>
          <w:u w:val="none"/>
          <w:bdr w:val="none" w:color="auto" w:sz="0" w:space="0"/>
          <w:lang w:val="en-US" w:eastAsia="zh-CN" w:bidi="ar"/>
        </w:rPr>
        <w:t>2</w:t>
      </w:r>
      <w:r>
        <w:rPr>
          <w:rFonts w:hint="default" w:ascii="仿宋_GB2312" w:hAnsi="Helvetica Neue" w:eastAsia="仿宋_GB2312" w:cs="仿宋_GB2312"/>
          <w:b w:val="0"/>
          <w:bCs w:val="0"/>
          <w:i w:val="0"/>
          <w:iCs w:val="0"/>
          <w:caps w:val="0"/>
          <w:color w:val="333333"/>
          <w:spacing w:val="0"/>
          <w:kern w:val="0"/>
          <w:sz w:val="32"/>
          <w:szCs w:val="32"/>
          <w:u w:val="none"/>
          <w:bdr w:val="none" w:color="auto" w:sz="0" w:space="0"/>
          <w:lang w:val="en-US" w:eastAsia="zh-CN" w:bidi="ar"/>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widowControl/>
        <w:suppressLineNumbers w:val="0"/>
        <w:jc w:val="left"/>
      </w:pPr>
      <w:r>
        <w:rPr>
          <w:rFonts w:ascii="黑体" w:hAnsi="宋体" w:eastAsia="黑体" w:cs="黑体"/>
          <w:b w:val="0"/>
          <w:bCs w:val="0"/>
          <w:i w:val="0"/>
          <w:iCs w:val="0"/>
          <w:caps w:val="0"/>
          <w:color w:val="333333"/>
          <w:spacing w:val="0"/>
          <w:kern w:val="0"/>
          <w:sz w:val="32"/>
          <w:szCs w:val="32"/>
          <w:u w:val="none"/>
          <w:bdr w:val="none" w:color="auto" w:sz="0" w:space="0"/>
          <w:lang w:val="en-US" w:eastAsia="zh-CN" w:bidi="ar"/>
        </w:rPr>
        <w:t>第二部分</w:t>
      </w:r>
      <w:r>
        <w:rPr>
          <w:rFonts w:hint="default" w:ascii="黑体" w:hAnsi="宋体" w:eastAsia="黑体" w:cs="黑体"/>
          <w:b w:val="0"/>
          <w:bCs w:val="0"/>
          <w:i w:val="0"/>
          <w:iCs w:val="0"/>
          <w:caps w:val="0"/>
          <w:color w:val="333333"/>
          <w:spacing w:val="0"/>
          <w:kern w:val="0"/>
          <w:sz w:val="32"/>
          <w:szCs w:val="32"/>
          <w:u w:val="none"/>
          <w:bdr w:val="none" w:color="auto" w:sz="0" w:space="0"/>
          <w:lang w:val="en-US" w:eastAsia="zh-CN" w:bidi="ar"/>
        </w:rPr>
        <w:t>  单位预算公开表格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黑体">
    <w:altName w:val="汉仪中黑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儷宋 Pro">
    <w:panose1 w:val="0202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7B3D1"/>
    <w:rsid w:val="7FD7B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2023-09-23T21:47:00Z</dcterms:created>
  <dc:creator>hh</dc:creator>
  <cp:lastModifiedBy>hh</cp:lastModifiedBy>
  <dcterms:modified xsi:type="dcterms:W3CDTF">2023-09-23T21:49:25Z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4844194E20A3A4137FEC0E65D6BE4AA0_41</vt:lpwstr>
  </property>
</Properties>
</file>