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22</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岳阳县市容环境卫生服务中心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416004</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2023</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 xml:space="preserve"> 6</w:t>
      </w:r>
      <w:r>
        <w:rPr>
          <w:rFonts w:hint="eastAsia" w:eastAsia="仿宋_GB2312"/>
          <w:sz w:val="32"/>
        </w:rPr>
        <w:t>月</w:t>
      </w:r>
      <w:r>
        <w:rPr>
          <w:rFonts w:eastAsia="仿宋_GB2312"/>
          <w:sz w:val="32"/>
        </w:rPr>
        <w:t xml:space="preserve"> </w:t>
      </w:r>
      <w:r>
        <w:rPr>
          <w:rFonts w:hint="eastAsia" w:eastAsia="仿宋_GB2312"/>
          <w:sz w:val="32"/>
          <w:lang w:val="en-US" w:eastAsia="zh-CN"/>
        </w:rPr>
        <w:t>25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1440" w:firstLineChars="6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郝元满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07307621324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承担县城市容环境卫生</w:t>
            </w:r>
            <w:r>
              <w:rPr>
                <w:rFonts w:hint="eastAsia" w:ascii="仿宋_GB2312" w:hAnsi="仿宋_GB2312" w:eastAsia="仿宋_GB2312" w:cs="仿宋_GB2312"/>
                <w:color w:val="000000"/>
                <w:sz w:val="24"/>
                <w:lang w:val="en-US" w:eastAsia="zh-CN"/>
              </w:rPr>
              <w:t>服务</w:t>
            </w:r>
            <w:r>
              <w:rPr>
                <w:rFonts w:hint="eastAsia" w:ascii="仿宋_GB2312" w:hAnsi="仿宋_GB2312" w:eastAsia="仿宋_GB2312" w:cs="仿宋_GB2312"/>
                <w:color w:val="000000"/>
                <w:sz w:val="24"/>
              </w:rPr>
              <w:t>方面的事务性工作。负责起草县城市容环境卫生发展规划草案</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起草县城市容环境卫生设施建设规划草案</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起草县城市容环境卫</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生作业标准草案。执行县城市容环境卫生作业标准</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落实县城大街小巷、临街门面</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单位、城乡结合部等市容环境卫生责任制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协助</w:t>
            </w:r>
            <w:r>
              <w:rPr>
                <w:rFonts w:hint="eastAsia" w:ascii="仿宋_GB2312" w:hAnsi="仿宋_GB2312" w:eastAsia="仿宋_GB2312" w:cs="仿宋_GB2312"/>
                <w:color w:val="000000"/>
                <w:sz w:val="24"/>
                <w:lang w:val="en-US" w:eastAsia="zh-CN"/>
              </w:rPr>
              <w:t>税务部门代收代缴</w:t>
            </w:r>
            <w:r>
              <w:rPr>
                <w:rFonts w:hint="eastAsia" w:ascii="仿宋_GB2312" w:hAnsi="仿宋_GB2312" w:eastAsia="仿宋_GB2312" w:cs="仿宋_GB2312"/>
                <w:color w:val="000000"/>
                <w:sz w:val="24"/>
              </w:rPr>
              <w:t>县城市容环境卫生服务有关规费。负责县城主次街道清扫、</w:t>
            </w:r>
            <w:r>
              <w:rPr>
                <w:rFonts w:hint="eastAsia" w:ascii="仿宋_GB2312" w:hAnsi="仿宋_GB2312" w:eastAsia="仿宋_GB2312" w:cs="仿宋_GB2312"/>
                <w:color w:val="000000"/>
                <w:sz w:val="24"/>
                <w:lang w:val="en-US" w:eastAsia="zh-CN"/>
              </w:rPr>
              <w:t>公厕、</w:t>
            </w:r>
            <w:r>
              <w:rPr>
                <w:rFonts w:hint="eastAsia" w:ascii="仿宋_GB2312" w:hAnsi="仿宋_GB2312" w:eastAsia="仿宋_GB2312" w:cs="仿宋_GB2312"/>
                <w:color w:val="000000"/>
                <w:sz w:val="24"/>
              </w:rPr>
              <w:t>垃圾站和垃圾容器保洁；负责县城市容环境卫生设施设备保养</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维修、维护；负责县城区生活垃圾、餐厨垃圾收转运工作；负责县城门店、居民住户生活垃圾收集；负责县城主次街道冲洗、洒水、机械化清扫；负责县城主次街道“牛皮癣”清理等。</w:t>
            </w:r>
          </w:p>
          <w:p>
            <w:pPr>
              <w:autoSpaceDN w:val="0"/>
              <w:spacing w:line="320" w:lineRule="exact"/>
              <w:jc w:val="center"/>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着力解决环卫热点、难点问题，进一步改善县城市容和环境卫生面貌，全面提升城区市容和环境卫生服务水平；</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持续推进小块责任承包，推动各项管理改革措施；</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任务3：巩固环卫日常生产工作，全年预算申请到位，下拨数量在95%以上，三公经费变动率</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0.社会效益、经济效益、生态效率和社会公众满意度达到预期目标。</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单位全年平稳运行，资金使用安全，收支平衡。</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3689.53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2992.25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274.84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835"/>
              </w:tabs>
              <w:spacing w:line="320" w:lineRule="exact"/>
              <w:jc w:val="left"/>
              <w:rPr>
                <w:rFonts w:hint="eastAsia"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 xml:space="preserve"> </w:t>
            </w:r>
            <w:r>
              <w:rPr>
                <w:rFonts w:hint="eastAsia" w:ascii="仿宋_GB2312" w:hAnsi="仿宋_GB2312" w:eastAsia="仿宋_GB2312" w:cs="仿宋_GB2312"/>
                <w:color w:val="auto"/>
                <w:sz w:val="24"/>
                <w:shd w:val="clear" w:color="auto" w:fill="auto"/>
                <w:lang w:val="en-US" w:eastAsia="zh-CN"/>
              </w:rPr>
              <w:tab/>
            </w:r>
            <w:r>
              <w:rPr>
                <w:rFonts w:hint="eastAsia" w:ascii="仿宋_GB2312" w:hAnsi="仿宋_GB2312" w:eastAsia="仿宋_GB2312" w:cs="仿宋_GB2312"/>
                <w:color w:val="auto"/>
                <w:sz w:val="24"/>
                <w:shd w:val="clear" w:color="auto" w:fill="auto"/>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3669.85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2902.98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1993.72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both"/>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909.26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766.87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1.37</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shd w:val="clear" w:color="auto" w:fill="auto"/>
                <w:lang w:val="en-US" w:eastAsia="zh-CN"/>
              </w:rPr>
            </w:pPr>
            <w:r>
              <w:rPr>
                <w:rFonts w:hint="eastAsia" w:ascii="仿宋_GB2312" w:hAnsi="仿宋_GB2312" w:eastAsia="仿宋_GB2312" w:cs="仿宋_GB2312"/>
                <w:color w:val="auto"/>
                <w:sz w:val="24"/>
                <w:shd w:val="clear" w:color="auto" w:fill="auto"/>
                <w:lang w:val="en-US" w:eastAsia="zh-CN"/>
              </w:rPr>
              <w:t>18.31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3831.47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3831.47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目标1：</w:t>
            </w:r>
            <w:r>
              <w:rPr>
                <w:rFonts w:hint="eastAsia" w:ascii="仿宋_GB2312" w:hAnsi="仿宋_GB2312" w:eastAsia="仿宋_GB2312" w:cs="仿宋_GB2312"/>
                <w:color w:val="auto"/>
                <w:sz w:val="24"/>
                <w:lang w:eastAsia="zh-CN"/>
              </w:rPr>
              <w:t>全年预算申请到位和下达数量在</w:t>
            </w:r>
            <w:r>
              <w:rPr>
                <w:rFonts w:hint="eastAsia" w:ascii="仿宋_GB2312" w:hAnsi="仿宋_GB2312" w:eastAsia="仿宋_GB2312" w:cs="仿宋_GB2312"/>
                <w:color w:val="auto"/>
                <w:sz w:val="24"/>
                <w:lang w:val="en-US" w:eastAsia="zh-CN"/>
              </w:rPr>
              <w:t>95%以上，三公经费变动率</w:t>
            </w:r>
            <w:r>
              <w:rPr>
                <w:rFonts w:hint="default" w:ascii="Arial" w:hAnsi="Arial" w:eastAsia="仿宋_GB2312" w:cs="Arial"/>
                <w:color w:val="auto"/>
                <w:sz w:val="24"/>
                <w:lang w:val="en-US" w:eastAsia="zh-CN"/>
              </w:rPr>
              <w:t>≤</w:t>
            </w:r>
            <w:r>
              <w:rPr>
                <w:rFonts w:hint="eastAsia" w:ascii="仿宋_GB2312" w:hAnsi="仿宋_GB2312" w:eastAsia="仿宋_GB2312" w:cs="仿宋_GB2312"/>
                <w:color w:val="auto"/>
                <w:sz w:val="24"/>
                <w:lang w:val="en-US" w:eastAsia="zh-CN"/>
              </w:rPr>
              <w:t>0。</w:t>
            </w:r>
          </w:p>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目标2：</w:t>
            </w:r>
            <w:r>
              <w:rPr>
                <w:rFonts w:hint="eastAsia" w:ascii="仿宋_GB2312" w:hAnsi="仿宋_GB2312" w:eastAsia="仿宋_GB2312" w:cs="仿宋_GB2312"/>
                <w:color w:val="auto"/>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auto"/>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目标1：</w:t>
            </w:r>
            <w:r>
              <w:rPr>
                <w:rFonts w:hint="eastAsia" w:ascii="仿宋_GB2312" w:hAnsi="仿宋_GB2312" w:eastAsia="仿宋_GB2312" w:cs="仿宋_GB2312"/>
                <w:color w:val="auto"/>
                <w:sz w:val="24"/>
                <w:lang w:eastAsia="zh-CN"/>
              </w:rPr>
              <w:t>全年预算申请到位和下达数量在</w:t>
            </w:r>
            <w:r>
              <w:rPr>
                <w:rFonts w:hint="eastAsia" w:ascii="仿宋_GB2312" w:hAnsi="仿宋_GB2312" w:eastAsia="仿宋_GB2312" w:cs="仿宋_GB2312"/>
                <w:color w:val="auto"/>
                <w:sz w:val="24"/>
                <w:lang w:val="en-US" w:eastAsia="zh-CN"/>
              </w:rPr>
              <w:t>95%以上，三公经费变动率</w:t>
            </w:r>
            <w:r>
              <w:rPr>
                <w:rFonts w:hint="default" w:ascii="Arial" w:hAnsi="Arial" w:eastAsia="仿宋_GB2312" w:cs="Arial"/>
                <w:color w:val="auto"/>
                <w:sz w:val="24"/>
                <w:lang w:val="en-US" w:eastAsia="zh-CN"/>
              </w:rPr>
              <w:t>≤</w:t>
            </w:r>
            <w:r>
              <w:rPr>
                <w:rFonts w:hint="eastAsia" w:ascii="仿宋_GB2312" w:hAnsi="仿宋_GB2312" w:eastAsia="仿宋_GB2312" w:cs="仿宋_GB2312"/>
                <w:color w:val="auto"/>
                <w:sz w:val="24"/>
                <w:lang w:val="en-US" w:eastAsia="zh-CN"/>
              </w:rPr>
              <w:t>0。</w:t>
            </w:r>
          </w:p>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目标2：</w:t>
            </w:r>
            <w:r>
              <w:rPr>
                <w:rFonts w:hint="eastAsia" w:ascii="仿宋_GB2312" w:hAnsi="仿宋_GB2312" w:eastAsia="仿宋_GB2312" w:cs="仿宋_GB2312"/>
                <w:color w:val="auto"/>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3：小块承包完成率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b w:val="0"/>
                <w:bCs w:val="0"/>
                <w:color w:val="000000"/>
                <w:sz w:val="24"/>
                <w:szCs w:val="24"/>
                <w:lang w:val="en-US"/>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4：市容环境卫生面貌</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5：环境卫生服务水平</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val="en-US" w:eastAsia="zh-CN"/>
              </w:rPr>
              <w:t>城区垃圾清理及时率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3669.85</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val="en-US" w:eastAsia="zh-CN"/>
              </w:rPr>
              <w:t>县城环境卫生质量，环卫服务水平</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val="en-US" w:eastAsia="zh-CN"/>
              </w:rPr>
              <w:t>杜绝城区白色垃圾</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提高环境卫生质量，</w:t>
            </w:r>
            <w:r>
              <w:rPr>
                <w:rFonts w:hint="eastAsia" w:ascii="仿宋" w:hAnsi="仿宋" w:eastAsia="仿宋" w:cs="仿宋"/>
                <w:b w:val="0"/>
                <w:bCs w:val="0"/>
                <w:color w:val="000000"/>
                <w:sz w:val="24"/>
                <w:szCs w:val="24"/>
              </w:rPr>
              <w:t>提</w:t>
            </w:r>
            <w:r>
              <w:rPr>
                <w:rFonts w:hint="eastAsia" w:ascii="仿宋" w:hAnsi="仿宋" w:eastAsia="仿宋" w:cs="仿宋"/>
                <w:b w:val="0"/>
                <w:bCs w:val="0"/>
                <w:color w:val="000000"/>
                <w:sz w:val="24"/>
                <w:szCs w:val="24"/>
                <w:lang w:val="en-US" w:eastAsia="zh-CN"/>
              </w:rPr>
              <w:t>升</w:t>
            </w:r>
            <w:r>
              <w:rPr>
                <w:rFonts w:hint="eastAsia" w:ascii="仿宋" w:hAnsi="仿宋" w:eastAsia="仿宋" w:cs="仿宋"/>
                <w:b w:val="0"/>
                <w:bCs w:val="0"/>
                <w:color w:val="000000"/>
                <w:sz w:val="24"/>
                <w:szCs w:val="24"/>
              </w:rPr>
              <w:t>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郝元满</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刘志华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党支部书记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荣坤</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刘荣方</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侯朝霞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侯朝霞</w:t>
      </w:r>
      <w:r>
        <w:rPr>
          <w:rFonts w:eastAsia="仿宋_GB2312" w:cs="仿宋_GB2312"/>
          <w:bCs/>
          <w:sz w:val="28"/>
          <w:szCs w:val="28"/>
        </w:rPr>
        <w:t xml:space="preserve">         </w:t>
      </w:r>
      <w:r>
        <w:rPr>
          <w:rFonts w:hint="eastAsia" w:eastAsia="仿宋_GB2312" w:cs="仿宋_GB2312"/>
          <w:bCs/>
          <w:sz w:val="28"/>
          <w:szCs w:val="28"/>
          <w:lang w:val="en-US" w:eastAsia="zh-CN"/>
        </w:rPr>
        <w:t xml:space="preserve">   </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07307621324</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1"/>
              </w:numPr>
              <w:kinsoku/>
              <w:wordWrap/>
              <w:overflowPunct/>
              <w:topLinePunct w:val="0"/>
              <w:autoSpaceDE/>
              <w:bidi w:val="0"/>
              <w:adjustRightInd/>
              <w:snapToGrid/>
              <w:spacing w:line="460" w:lineRule="exact"/>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keepNext w:val="0"/>
              <w:keepLines w:val="0"/>
              <w:pageBreakBefore w:val="0"/>
              <w:numPr>
                <w:ilvl w:val="0"/>
                <w:numId w:val="0"/>
              </w:numPr>
              <w:kinsoku/>
              <w:wordWrap/>
              <w:overflowPunct/>
              <w:topLinePunct w:val="0"/>
              <w:autoSpaceDE/>
              <w:bidi w:val="0"/>
              <w:adjustRightInd/>
              <w:snapToGrid/>
              <w:spacing w:line="460" w:lineRule="exact"/>
              <w:ind w:firstLine="2891" w:firstLineChars="900"/>
              <w:jc w:val="both"/>
              <w:rPr>
                <w:rFonts w:hint="eastAsia" w:ascii="仿宋" w:hAnsi="仿宋" w:eastAsia="仿宋" w:cs="仿宋"/>
                <w:bCs/>
                <w:sz w:val="32"/>
                <w:szCs w:val="32"/>
                <w:lang w:val="en-US" w:eastAsia="zh-CN"/>
              </w:rPr>
            </w:pPr>
            <w:r>
              <w:rPr>
                <w:rFonts w:hint="eastAsia" w:ascii="仿宋" w:hAnsi="仿宋" w:eastAsia="仿宋" w:cs="仿宋"/>
                <w:b/>
                <w:bCs/>
                <w:sz w:val="32"/>
                <w:szCs w:val="32"/>
                <w:lang w:val="en-US" w:eastAsia="zh-CN"/>
              </w:rPr>
              <w:t>2022年评价报告综述</w:t>
            </w:r>
          </w:p>
          <w:p>
            <w:pPr>
              <w:pStyle w:val="2"/>
              <w:widowControl/>
              <w:spacing w:before="0" w:beforeAutospacing="0" w:after="0" w:afterAutospacing="0" w:line="33" w:lineRule="atLeast"/>
              <w:ind w:firstLine="643" w:firstLineChars="200"/>
              <w:jc w:val="both"/>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一、基本情况：</w:t>
            </w:r>
          </w:p>
          <w:p>
            <w:pPr>
              <w:pStyle w:val="2"/>
              <w:widowControl/>
              <w:spacing w:before="0" w:beforeAutospacing="0" w:after="0" w:afterAutospacing="0" w:line="33" w:lineRule="atLeast"/>
              <w:ind w:firstLine="640" w:firstLineChars="200"/>
              <w:jc w:val="both"/>
              <w:rPr>
                <w:rFonts w:hint="eastAsia" w:ascii="仿宋" w:hAnsi="仿宋" w:eastAsia="仿宋" w:cs="仿宋"/>
                <w:color w:val="FF0000"/>
                <w:sz w:val="32"/>
                <w:szCs w:val="32"/>
              </w:rPr>
            </w:pPr>
            <w:r>
              <w:rPr>
                <w:rFonts w:hint="eastAsia" w:ascii="仿宋" w:hAnsi="仿宋" w:eastAsia="仿宋" w:cs="仿宋"/>
                <w:kern w:val="2"/>
                <w:sz w:val="32"/>
                <w:szCs w:val="32"/>
                <w:lang w:val="en-US" w:eastAsia="zh-CN" w:bidi="ar-SA"/>
              </w:rPr>
              <w:t>岳阳县市容环境卫生服务中心属岳阳县城市管理和综合执法局下设二级机构，为副科级事业单位。</w:t>
            </w:r>
            <w:r>
              <w:rPr>
                <w:rFonts w:hint="eastAsia" w:ascii="仿宋" w:hAnsi="仿宋" w:eastAsia="仿宋" w:cs="仿宋"/>
                <w:sz w:val="32"/>
                <w:szCs w:val="32"/>
              </w:rPr>
              <w:t>现有干部职工</w:t>
            </w:r>
            <w:r>
              <w:rPr>
                <w:rFonts w:hint="eastAsia" w:ascii="仿宋" w:hAnsi="仿宋" w:eastAsia="仿宋" w:cs="仿宋"/>
                <w:color w:val="auto"/>
                <w:sz w:val="32"/>
                <w:szCs w:val="32"/>
                <w:lang w:val="en-US" w:eastAsia="zh-CN"/>
              </w:rPr>
              <w:t>555</w:t>
            </w:r>
            <w:r>
              <w:rPr>
                <w:rFonts w:hint="eastAsia" w:ascii="仿宋" w:hAnsi="仿宋" w:eastAsia="仿宋" w:cs="仿宋"/>
                <w:color w:val="auto"/>
                <w:sz w:val="32"/>
                <w:szCs w:val="32"/>
              </w:rPr>
              <w:t>人，其中</w:t>
            </w:r>
            <w:r>
              <w:rPr>
                <w:rFonts w:hint="eastAsia" w:ascii="仿宋" w:hAnsi="仿宋" w:eastAsia="仿宋" w:cs="仿宋"/>
                <w:color w:val="auto"/>
                <w:sz w:val="32"/>
                <w:szCs w:val="32"/>
                <w:lang w:eastAsia="zh-CN"/>
              </w:rPr>
              <w:t>有编</w:t>
            </w:r>
            <w:r>
              <w:rPr>
                <w:rFonts w:hint="eastAsia" w:ascii="仿宋" w:hAnsi="仿宋" w:eastAsia="仿宋" w:cs="仿宋"/>
                <w:color w:val="auto"/>
                <w:sz w:val="32"/>
                <w:szCs w:val="32"/>
              </w:rPr>
              <w:t>人员</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其他人员</w:t>
            </w:r>
            <w:r>
              <w:rPr>
                <w:rFonts w:hint="eastAsia" w:ascii="仿宋" w:hAnsi="仿宋" w:eastAsia="仿宋" w:cs="仿宋"/>
                <w:color w:val="auto"/>
                <w:sz w:val="32"/>
                <w:szCs w:val="32"/>
                <w:lang w:val="en-US" w:eastAsia="zh-CN"/>
              </w:rPr>
              <w:t>531人</w:t>
            </w:r>
            <w:r>
              <w:rPr>
                <w:rFonts w:hint="eastAsia" w:ascii="仿宋" w:hAnsi="仿宋" w:eastAsia="仿宋" w:cs="仿宋"/>
                <w:color w:val="auto"/>
                <w:sz w:val="32"/>
                <w:szCs w:val="32"/>
              </w:rPr>
              <w:t>。</w:t>
            </w:r>
            <w:r>
              <w:rPr>
                <w:rFonts w:hint="eastAsia" w:ascii="仿宋" w:hAnsi="仿宋" w:eastAsia="仿宋" w:cs="仿宋"/>
                <w:b w:val="0"/>
                <w:bCs w:val="0"/>
                <w:color w:val="auto"/>
                <w:kern w:val="2"/>
                <w:sz w:val="32"/>
                <w:szCs w:val="32"/>
                <w:lang w:val="en-US" w:eastAsia="zh-CN" w:bidi="ar-SA"/>
              </w:rPr>
              <w:t>内设10个股室，分</w:t>
            </w:r>
            <w:r>
              <w:rPr>
                <w:rFonts w:hint="eastAsia" w:ascii="仿宋" w:hAnsi="仿宋" w:eastAsia="仿宋" w:cs="仿宋"/>
                <w:b w:val="0"/>
                <w:bCs w:val="0"/>
                <w:kern w:val="2"/>
                <w:sz w:val="32"/>
                <w:szCs w:val="32"/>
                <w:lang w:val="en-US" w:eastAsia="zh-CN" w:bidi="ar-SA"/>
              </w:rPr>
              <w:t>别是:综合办公室、财务室、清扫中心股、清扫南股、清扫北股、清运生产股、综合收费股、清洗队、安全生产股、餐厨股。</w:t>
            </w:r>
          </w:p>
          <w:p>
            <w:pPr>
              <w:widowControl/>
              <w:numPr>
                <w:ilvl w:val="0"/>
                <w:numId w:val="0"/>
              </w:numPr>
              <w:spacing w:line="600" w:lineRule="exact"/>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主要工作职责职能</w:t>
            </w:r>
          </w:p>
          <w:p>
            <w:pPr>
              <w:widowControl/>
              <w:numPr>
                <w:ilvl w:val="0"/>
                <w:numId w:val="0"/>
              </w:num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承担县城市容环境卫生</w:t>
            </w:r>
            <w:r>
              <w:rPr>
                <w:rFonts w:hint="eastAsia" w:ascii="仿宋" w:hAnsi="仿宋" w:eastAsia="仿宋" w:cs="仿宋"/>
                <w:sz w:val="32"/>
                <w:szCs w:val="32"/>
                <w:lang w:val="en-US" w:eastAsia="zh-CN"/>
              </w:rPr>
              <w:t>服务</w:t>
            </w:r>
            <w:r>
              <w:rPr>
                <w:rFonts w:hint="eastAsia" w:ascii="仿宋" w:hAnsi="仿宋" w:eastAsia="仿宋" w:cs="仿宋"/>
                <w:sz w:val="32"/>
                <w:szCs w:val="32"/>
              </w:rPr>
              <w:t>方面的事务性工作。</w:t>
            </w:r>
          </w:p>
          <w:p>
            <w:pPr>
              <w:widowControl/>
              <w:numPr>
                <w:ilvl w:val="0"/>
                <w:numId w:val="0"/>
              </w:numPr>
              <w:spacing w:line="6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负责起草县城市容环境卫生发展规划草案</w:t>
            </w:r>
            <w:r>
              <w:rPr>
                <w:rFonts w:hint="eastAsia" w:ascii="仿宋" w:hAnsi="仿宋" w:eastAsia="仿宋" w:cs="仿宋"/>
                <w:sz w:val="32"/>
                <w:szCs w:val="32"/>
                <w:lang w:eastAsia="zh-CN"/>
              </w:rPr>
              <w:t>；</w:t>
            </w:r>
            <w:r>
              <w:rPr>
                <w:rFonts w:hint="eastAsia" w:ascii="仿宋" w:hAnsi="仿宋" w:eastAsia="仿宋" w:cs="仿宋"/>
                <w:sz w:val="32"/>
                <w:szCs w:val="32"/>
              </w:rPr>
              <w:t>起草县城市容环境卫生设施建设规划草案</w:t>
            </w:r>
            <w:r>
              <w:rPr>
                <w:rFonts w:hint="eastAsia" w:ascii="仿宋" w:hAnsi="仿宋" w:eastAsia="仿宋" w:cs="仿宋"/>
                <w:sz w:val="32"/>
                <w:szCs w:val="32"/>
                <w:lang w:eastAsia="zh-CN"/>
              </w:rPr>
              <w:t>；</w:t>
            </w:r>
            <w:r>
              <w:rPr>
                <w:rFonts w:hint="eastAsia" w:ascii="仿宋" w:hAnsi="仿宋" w:eastAsia="仿宋" w:cs="仿宋"/>
                <w:sz w:val="32"/>
                <w:szCs w:val="32"/>
              </w:rPr>
              <w:t>起草县城市容环境卫生作业标准草案。执行县城市容环境卫生作业标准</w:t>
            </w:r>
            <w:r>
              <w:rPr>
                <w:rFonts w:hint="eastAsia" w:ascii="仿宋" w:hAnsi="仿宋" w:eastAsia="仿宋" w:cs="仿宋"/>
                <w:sz w:val="32"/>
                <w:szCs w:val="32"/>
                <w:lang w:eastAsia="zh-CN"/>
              </w:rPr>
              <w:t>；</w:t>
            </w:r>
            <w:r>
              <w:rPr>
                <w:rFonts w:hint="eastAsia" w:ascii="仿宋" w:hAnsi="仿宋" w:eastAsia="仿宋" w:cs="仿宋"/>
                <w:sz w:val="32"/>
                <w:szCs w:val="32"/>
              </w:rPr>
              <w:t>落实县城大街小巷、临街门面</w:t>
            </w:r>
            <w:r>
              <w:rPr>
                <w:rFonts w:hint="eastAsia" w:ascii="仿宋" w:hAnsi="仿宋" w:eastAsia="仿宋" w:cs="仿宋"/>
                <w:sz w:val="32"/>
                <w:szCs w:val="32"/>
                <w:lang w:eastAsia="zh-CN"/>
              </w:rPr>
              <w:t>、</w:t>
            </w:r>
            <w:r>
              <w:rPr>
                <w:rFonts w:hint="eastAsia" w:ascii="仿宋" w:hAnsi="仿宋" w:eastAsia="仿宋" w:cs="仿宋"/>
                <w:sz w:val="32"/>
                <w:szCs w:val="32"/>
              </w:rPr>
              <w:t>单位、城乡结合部等市容环境卫生责任制</w:t>
            </w:r>
            <w:r>
              <w:rPr>
                <w:rFonts w:hint="eastAsia" w:ascii="仿宋" w:hAnsi="仿宋" w:eastAsia="仿宋" w:cs="仿宋"/>
                <w:sz w:val="32"/>
                <w:szCs w:val="32"/>
                <w:lang w:eastAsia="zh-CN"/>
              </w:rPr>
              <w:t>；</w:t>
            </w:r>
            <w:r>
              <w:rPr>
                <w:rFonts w:hint="eastAsia" w:ascii="仿宋" w:hAnsi="仿宋" w:eastAsia="仿宋" w:cs="仿宋"/>
                <w:sz w:val="32"/>
                <w:szCs w:val="32"/>
              </w:rPr>
              <w:t>协助</w:t>
            </w:r>
            <w:r>
              <w:rPr>
                <w:rFonts w:hint="eastAsia" w:ascii="仿宋" w:hAnsi="仿宋" w:eastAsia="仿宋" w:cs="仿宋"/>
                <w:sz w:val="32"/>
                <w:szCs w:val="32"/>
                <w:lang w:val="en-US" w:eastAsia="zh-CN"/>
              </w:rPr>
              <w:t>税务部门代收代缴</w:t>
            </w:r>
            <w:r>
              <w:rPr>
                <w:rFonts w:hint="eastAsia" w:ascii="仿宋" w:hAnsi="仿宋" w:eastAsia="仿宋" w:cs="仿宋"/>
                <w:sz w:val="32"/>
                <w:szCs w:val="32"/>
              </w:rPr>
              <w:t>县城市容环境卫生服务有关规费。</w:t>
            </w:r>
          </w:p>
          <w:p>
            <w:pPr>
              <w:widowControl/>
              <w:numPr>
                <w:ilvl w:val="0"/>
                <w:numId w:val="0"/>
              </w:numPr>
              <w:spacing w:line="6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负责县城主次街道清扫、</w:t>
            </w:r>
            <w:r>
              <w:rPr>
                <w:rFonts w:hint="eastAsia" w:ascii="仿宋" w:hAnsi="仿宋" w:eastAsia="仿宋" w:cs="仿宋"/>
                <w:sz w:val="32"/>
                <w:szCs w:val="32"/>
                <w:lang w:val="en-US" w:eastAsia="zh-CN"/>
              </w:rPr>
              <w:t>公厕、</w:t>
            </w:r>
            <w:r>
              <w:rPr>
                <w:rFonts w:hint="eastAsia" w:ascii="仿宋" w:hAnsi="仿宋" w:eastAsia="仿宋" w:cs="仿宋"/>
                <w:sz w:val="32"/>
                <w:szCs w:val="32"/>
              </w:rPr>
              <w:t>垃圾站和垃圾容器保洁；负责县城市容环境卫生设施设备保养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维修、维护；负责县城区生活垃圾、餐厨垃圾收转运工作；负责县城门店、居民住户生活垃圾收集；负责县城主次街道冲洗、洒水、机械化清扫；负责县城主次街道“牛皮癣”清理等。</w:t>
            </w:r>
          </w:p>
          <w:p>
            <w:pPr>
              <w:widowControl/>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完成上级主管部门交办的其他工作任务。</w:t>
            </w:r>
          </w:p>
          <w:p>
            <w:pPr>
              <w:widowControl/>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职能转变。县市容环境卫生服务中心应积极推进行政职能回归行政机关，推进经营性职能剥离，推进向社会购买服务，切实转变工作职能，强化公益服务，做好全县市容环境卫生服务工作</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val="0"/>
              <w:bidi w:val="0"/>
              <w:adjustRightInd/>
              <w:snapToGrid/>
              <w:spacing w:line="460" w:lineRule="exact"/>
              <w:ind w:firstLine="643" w:firstLineChars="200"/>
              <w:jc w:val="left"/>
              <w:textAlignment w:val="center"/>
              <w:outlineLvl w:val="9"/>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三、2022年工作目标任务：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000000" w:themeColor="text1"/>
                <w:sz w:val="32"/>
                <w:szCs w:val="32"/>
                <w:lang w:val="en-US" w:eastAsia="zh-CN"/>
                <w14:textFill>
                  <w14:solidFill>
                    <w14:schemeClr w14:val="tx1"/>
                  </w14:solidFill>
                </w14:textFill>
              </w:rPr>
              <w:t>着力解决环卫热点、难点问题，进一步改善县城市容和环境卫生面貌，全面提升城区市容和环境卫生服务水平。</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目标2：</w:t>
            </w:r>
            <w:r>
              <w:rPr>
                <w:rFonts w:hint="eastAsia" w:ascii="仿宋" w:hAnsi="仿宋" w:eastAsia="仿宋" w:cs="仿宋"/>
                <w:color w:val="000000" w:themeColor="text1"/>
                <w:sz w:val="32"/>
                <w:szCs w:val="32"/>
                <w:lang w:val="en-US" w:eastAsia="zh-CN"/>
                <w14:textFill>
                  <w14:solidFill>
                    <w14:schemeClr w14:val="tx1"/>
                  </w14:solidFill>
                </w14:textFill>
              </w:rPr>
              <w:t>持续推进小块责任承包，推动各项管理改革措施。</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目标3：巩固环卫日常生产工作，全年预算申请到位，下拨数量在95%以上，三公经费变动率</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0.社会效益、经济效益、生态效率和社会公众满意度达到预期目标。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320" w:firstLineChars="1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sz w:val="32"/>
                <w:szCs w:val="32"/>
                <w:lang w:eastAsia="zh-CN"/>
              </w:rPr>
              <w:t>岳阳县市容环境卫生服务中心</w:t>
            </w:r>
            <w:r>
              <w:rPr>
                <w:rFonts w:hint="eastAsia" w:ascii="仿宋" w:hAnsi="仿宋" w:eastAsia="仿宋" w:cs="仿宋"/>
                <w:bCs/>
                <w:color w:val="000000" w:themeColor="text1"/>
                <w:sz w:val="32"/>
                <w:szCs w:val="32"/>
                <w:lang w:val="en-US" w:eastAsia="zh-CN"/>
                <w14:textFill>
                  <w14:solidFill>
                    <w14:schemeClr w14:val="tx1"/>
                  </w14:solidFill>
                </w14:textFill>
              </w:rPr>
              <w:t>总支出3669.85万元，其中：基本支出2902.98万元，包括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；项目支出766.87万元。年末结转和结余1.37万元。</w:t>
            </w:r>
          </w:p>
          <w:p>
            <w:pPr>
              <w:keepNext w:val="0"/>
              <w:keepLines w:val="0"/>
              <w:pageBreakBefore w:val="0"/>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四、</w:t>
            </w:r>
            <w:r>
              <w:rPr>
                <w:rFonts w:hint="eastAsia" w:ascii="仿宋" w:hAnsi="仿宋" w:eastAsia="仿宋" w:cs="仿宋"/>
                <w:b/>
                <w:bCs w:val="0"/>
                <w:color w:val="000000" w:themeColor="text1"/>
                <w:sz w:val="32"/>
                <w:szCs w:val="32"/>
                <w14:textFill>
                  <w14:solidFill>
                    <w14:schemeClr w14:val="tx1"/>
                  </w14:solidFill>
                </w14:textFill>
              </w:rPr>
              <w:t>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sz w:val="32"/>
                <w:szCs w:val="32"/>
                <w:lang w:eastAsia="zh-CN"/>
              </w:rPr>
              <w:t>岳阳县市容环境卫生服务中心</w:t>
            </w:r>
            <w:r>
              <w:rPr>
                <w:rFonts w:hint="eastAsia" w:ascii="仿宋" w:hAnsi="仿宋" w:eastAsia="仿宋" w:cs="仿宋"/>
                <w:bCs/>
                <w:color w:val="000000" w:themeColor="text1"/>
                <w:sz w:val="32"/>
                <w:szCs w:val="32"/>
                <w:lang w:val="en-US" w:eastAsia="zh-CN"/>
                <w14:textFill>
                  <w14:solidFill>
                    <w14:schemeClr w14:val="tx1"/>
                  </w14:solidFill>
                </w14:textFill>
              </w:rPr>
              <w:t>基本支出2902.98万元,主要用于人员支出1993.72万元，公用支出909.26万元。“三公经费”支出0.79万元。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2022我单位项目支出766.87万元，用于城市环境卫生服务。</w:t>
            </w:r>
          </w:p>
          <w:p>
            <w:pPr>
              <w:keepNext w:val="0"/>
              <w:keepLines w:val="0"/>
              <w:pageBreakBefore w:val="0"/>
              <w:numPr>
                <w:ilvl w:val="0"/>
                <w:numId w:val="0"/>
              </w:numPr>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五、</w:t>
            </w:r>
            <w:r>
              <w:rPr>
                <w:rFonts w:hint="eastAsia" w:ascii="仿宋" w:hAnsi="仿宋" w:eastAsia="仿宋" w:cs="仿宋"/>
                <w:b/>
                <w:bCs w:val="0"/>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提高县城环境卫生质量，提升环卫服务水平</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杜绝城区白色垃圾、提高环境卫生质量，提升人文居住环境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lang w:val="en-US" w:eastAsia="zh-CN"/>
              </w:rPr>
              <w:t>六、</w:t>
            </w:r>
            <w:r>
              <w:rPr>
                <w:rFonts w:hint="eastAsia" w:ascii="仿宋" w:hAnsi="仿宋" w:eastAsia="仿宋" w:cs="仿宋"/>
                <w:b/>
                <w:bCs w:val="0"/>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lang w:val="en-US" w:eastAsia="zh-CN"/>
              </w:rPr>
              <w:t>七</w:t>
            </w:r>
            <w:r>
              <w:rPr>
                <w:rFonts w:hint="eastAsia" w:ascii="仿宋" w:hAnsi="仿宋" w:eastAsia="仿宋" w:cs="仿宋"/>
                <w:b/>
                <w:bCs w:val="0"/>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38DD1105"/>
    <w:multiLevelType w:val="singleLevel"/>
    <w:tmpl w:val="38DD1105"/>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MDQwNDA1ZWI1MDYwYTgwMjk0YjQ5ZjVkY2Q3YzUifQ=="/>
  </w:docVars>
  <w:rsids>
    <w:rsidRoot w:val="0A1A313F"/>
    <w:rsid w:val="02DA2069"/>
    <w:rsid w:val="06314567"/>
    <w:rsid w:val="0680723D"/>
    <w:rsid w:val="082021FB"/>
    <w:rsid w:val="0A1A313F"/>
    <w:rsid w:val="0A533FDD"/>
    <w:rsid w:val="0C7E3877"/>
    <w:rsid w:val="0D874C5B"/>
    <w:rsid w:val="0D8E229F"/>
    <w:rsid w:val="0DB65991"/>
    <w:rsid w:val="0F201A80"/>
    <w:rsid w:val="0F8E2A2A"/>
    <w:rsid w:val="0FDA1211"/>
    <w:rsid w:val="0FF7412C"/>
    <w:rsid w:val="106B1B71"/>
    <w:rsid w:val="11DA32AA"/>
    <w:rsid w:val="14AD1543"/>
    <w:rsid w:val="14C00824"/>
    <w:rsid w:val="162C42B3"/>
    <w:rsid w:val="19144D19"/>
    <w:rsid w:val="19422E64"/>
    <w:rsid w:val="1A857F8D"/>
    <w:rsid w:val="1B6F6E2E"/>
    <w:rsid w:val="1B9719D0"/>
    <w:rsid w:val="1EA62ED2"/>
    <w:rsid w:val="23630647"/>
    <w:rsid w:val="23845D9E"/>
    <w:rsid w:val="24927325"/>
    <w:rsid w:val="263F75CA"/>
    <w:rsid w:val="26467737"/>
    <w:rsid w:val="26A17F53"/>
    <w:rsid w:val="2A605BE4"/>
    <w:rsid w:val="2B247840"/>
    <w:rsid w:val="2BE72128"/>
    <w:rsid w:val="2BEA2ED3"/>
    <w:rsid w:val="2D20037D"/>
    <w:rsid w:val="2D74205C"/>
    <w:rsid w:val="2E4B2482"/>
    <w:rsid w:val="2E6D0719"/>
    <w:rsid w:val="2EF6716A"/>
    <w:rsid w:val="30566C9F"/>
    <w:rsid w:val="316F477E"/>
    <w:rsid w:val="32D875C8"/>
    <w:rsid w:val="33265E11"/>
    <w:rsid w:val="33957634"/>
    <w:rsid w:val="343230D5"/>
    <w:rsid w:val="349211B7"/>
    <w:rsid w:val="35246EC1"/>
    <w:rsid w:val="35C96809"/>
    <w:rsid w:val="370E1E08"/>
    <w:rsid w:val="37D13EF8"/>
    <w:rsid w:val="37EB05DA"/>
    <w:rsid w:val="38C72B22"/>
    <w:rsid w:val="391B4A7F"/>
    <w:rsid w:val="3A2F3BFE"/>
    <w:rsid w:val="3A4D5720"/>
    <w:rsid w:val="3A7D1496"/>
    <w:rsid w:val="3B70245C"/>
    <w:rsid w:val="3BAE6861"/>
    <w:rsid w:val="3D8F535B"/>
    <w:rsid w:val="3E107914"/>
    <w:rsid w:val="3E6D137F"/>
    <w:rsid w:val="3EB04F58"/>
    <w:rsid w:val="3ED62761"/>
    <w:rsid w:val="40405E31"/>
    <w:rsid w:val="41EE1888"/>
    <w:rsid w:val="440F72B8"/>
    <w:rsid w:val="44216098"/>
    <w:rsid w:val="44896249"/>
    <w:rsid w:val="47B5738E"/>
    <w:rsid w:val="47FF2488"/>
    <w:rsid w:val="49CF3C52"/>
    <w:rsid w:val="4B591B02"/>
    <w:rsid w:val="4C215AB1"/>
    <w:rsid w:val="4FA0745D"/>
    <w:rsid w:val="504D340A"/>
    <w:rsid w:val="50B22936"/>
    <w:rsid w:val="5232687A"/>
    <w:rsid w:val="54B35714"/>
    <w:rsid w:val="55133157"/>
    <w:rsid w:val="57EC78BB"/>
    <w:rsid w:val="5AA605CD"/>
    <w:rsid w:val="5C6D6C34"/>
    <w:rsid w:val="5CAD5ED1"/>
    <w:rsid w:val="5CC3007B"/>
    <w:rsid w:val="5D8F040A"/>
    <w:rsid w:val="5E2430CD"/>
    <w:rsid w:val="5FC64C01"/>
    <w:rsid w:val="5FF60134"/>
    <w:rsid w:val="65BA5EA0"/>
    <w:rsid w:val="661871B9"/>
    <w:rsid w:val="666741CE"/>
    <w:rsid w:val="66F217FA"/>
    <w:rsid w:val="684150B9"/>
    <w:rsid w:val="68F953A3"/>
    <w:rsid w:val="69D240B3"/>
    <w:rsid w:val="6B1B44DA"/>
    <w:rsid w:val="6B6C069F"/>
    <w:rsid w:val="6C133210"/>
    <w:rsid w:val="6E360787"/>
    <w:rsid w:val="6F1E7F02"/>
    <w:rsid w:val="6F6551A2"/>
    <w:rsid w:val="706E310B"/>
    <w:rsid w:val="737171CA"/>
    <w:rsid w:val="75630D65"/>
    <w:rsid w:val="76880357"/>
    <w:rsid w:val="76D71B44"/>
    <w:rsid w:val="775D5A0F"/>
    <w:rsid w:val="77B67919"/>
    <w:rsid w:val="7B2D132A"/>
    <w:rsid w:val="7B5C3278"/>
    <w:rsid w:val="7B6046C3"/>
    <w:rsid w:val="7B931F32"/>
    <w:rsid w:val="7BF407DF"/>
    <w:rsid w:val="7C8959EA"/>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2698</Words>
  <Characters>2930</Characters>
  <Lines>0</Lines>
  <Paragraphs>0</Paragraphs>
  <TotalTime>9</TotalTime>
  <ScaleCrop>false</ScaleCrop>
  <LinksUpToDate>false</LinksUpToDate>
  <CharactersWithSpaces>3337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hey u</cp:lastModifiedBy>
  <cp:lastPrinted>2022-10-20T09:06:00Z</cp:lastPrinted>
  <dcterms:modified xsi:type="dcterms:W3CDTF">2023-10-09T07:35:53Z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D2A3FB9BF5DC46B5B0FA28A83EFAE16A_13</vt:lpwstr>
  </property>
</Properties>
</file>