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jc w:val="both"/>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岳阳县城市管理和综合执法局202</w:t>
      </w:r>
      <w:r>
        <w:rPr>
          <w:rFonts w:hint="eastAsia" w:ascii="微软雅黑" w:hAnsi="微软雅黑" w:eastAsia="微软雅黑" w:cs="微软雅黑"/>
          <w:kern w:val="0"/>
          <w:sz w:val="72"/>
          <w:szCs w:val="72"/>
          <w:lang w:val="en-US" w:eastAsia="zh-CN"/>
        </w:rPr>
        <w:t>4</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2024年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一般公共预算基本支出表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43" w:firstLineChars="200"/>
        <w:rPr>
          <w:rFonts w:hint="eastAsia" w:eastAsia="仿宋_GB2312" w:cs="仿宋_GB2312"/>
          <w:color w:val="auto"/>
          <w:kern w:val="0"/>
          <w:sz w:val="32"/>
          <w:szCs w:val="32"/>
        </w:rPr>
      </w:pPr>
      <w:r>
        <w:rPr>
          <w:rFonts w:eastAsia="仿宋_GB2312"/>
          <w:b/>
          <w:bCs w:val="0"/>
          <w:color w:val="auto"/>
          <w:kern w:val="0"/>
          <w:sz w:val="32"/>
          <w:szCs w:val="32"/>
        </w:rPr>
        <w:t>注：以上</w:t>
      </w:r>
      <w:r>
        <w:rPr>
          <w:rFonts w:hint="eastAsia" w:eastAsia="仿宋_GB2312"/>
          <w:b/>
          <w:bCs w:val="0"/>
          <w:color w:val="auto"/>
          <w:kern w:val="0"/>
          <w:sz w:val="32"/>
          <w:szCs w:val="32"/>
          <w:lang w:val="en-US" w:eastAsia="zh-CN"/>
        </w:rPr>
        <w:t>单位</w:t>
      </w:r>
      <w:r>
        <w:rPr>
          <w:rFonts w:hint="eastAsia" w:eastAsia="仿宋_GB2312"/>
          <w:b/>
          <w:bCs w:val="0"/>
          <w:color w:val="auto"/>
          <w:kern w:val="0"/>
          <w:sz w:val="32"/>
          <w:szCs w:val="32"/>
          <w:lang w:eastAsia="zh-CN"/>
        </w:rPr>
        <w:t>预算</w:t>
      </w:r>
      <w:r>
        <w:rPr>
          <w:rFonts w:hint="eastAsia" w:eastAsia="仿宋_GB2312"/>
          <w:b/>
          <w:bCs w:val="0"/>
          <w:color w:val="auto"/>
          <w:kern w:val="0"/>
          <w:sz w:val="32"/>
          <w:szCs w:val="32"/>
          <w:lang w:val="en-US" w:eastAsia="zh-CN"/>
        </w:rPr>
        <w:t>公开</w:t>
      </w:r>
      <w:r>
        <w:rPr>
          <w:rFonts w:eastAsia="仿宋_GB2312"/>
          <w:b/>
          <w:bCs w:val="0"/>
          <w:color w:val="auto"/>
          <w:kern w:val="0"/>
          <w:sz w:val="32"/>
          <w:szCs w:val="32"/>
        </w:rPr>
        <w:t>报表中，空表表示本</w:t>
      </w:r>
      <w:r>
        <w:rPr>
          <w:rFonts w:hint="eastAsia" w:eastAsia="仿宋_GB2312"/>
          <w:b/>
          <w:bCs w:val="0"/>
          <w:color w:val="auto"/>
          <w:kern w:val="0"/>
          <w:sz w:val="32"/>
          <w:szCs w:val="32"/>
          <w:lang w:val="en-US" w:eastAsia="zh-CN"/>
        </w:rPr>
        <w:t>单位</w:t>
      </w:r>
      <w:r>
        <w:rPr>
          <w:rFonts w:eastAsia="仿宋_GB2312"/>
          <w:b/>
          <w:bCs w:val="0"/>
          <w:color w:val="auto"/>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2024年单位预算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keepNext/>
        <w:keepLines/>
        <w:ind w:firstLine="640"/>
        <w:rPr>
          <w:rFonts w:ascii="宋体" w:hAnsi="宋体"/>
          <w:sz w:val="32"/>
          <w:highlight w:val="white"/>
        </w:rPr>
      </w:pPr>
      <w:r>
        <w:rPr>
          <w:rFonts w:hint="eastAsia" w:ascii="宋体" w:hAnsi="宋体"/>
          <w:sz w:val="32"/>
          <w:highlight w:val="white"/>
        </w:rPr>
        <w:t>一、</w:t>
      </w:r>
      <w:r>
        <w:rPr>
          <w:rFonts w:hint="eastAsia" w:ascii="宋体" w:hAnsi="宋体"/>
          <w:sz w:val="32"/>
          <w:highlight w:val="white"/>
          <w:lang w:val="zh-CN"/>
        </w:rPr>
        <w:t>部门职责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ascii="宋体" w:hAnsi="宋体"/>
          <w:sz w:val="32"/>
          <w:highlight w:val="white"/>
        </w:rPr>
        <w:t>1、</w:t>
      </w:r>
      <w:r>
        <w:rPr>
          <w:rFonts w:hint="eastAsia" w:eastAsia="仿宋_GB2312" w:cs="仿宋_GB2312"/>
          <w:kern w:val="0"/>
          <w:sz w:val="32"/>
          <w:szCs w:val="32"/>
          <w:lang w:eastAsia="zh-CN"/>
        </w:rPr>
        <w:t>贯彻执行国家和地方关于城市管理（指城市市容环境卫生管理、城市园林绿化建设维护管理、城市市政公用设施运行管理，下同）和城市综合执法的方针、政策、法律、法规、规章、制度，研究拟订相关规范性文件（草案），拟订全县城市管理和综合执法的发展战略、发展规划，并负责组织实施。</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负责与城市管理相关单位的工作联系；参与城市建设管理规划设计评审、重点工程可行性方案论证和公用基础工程设施规划设计审查。推进城市管理数字化、精细化、智慧化建设；承担城市管理委员会办公室的日常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3、负责系统内城市路灯、园林绿化等城市市政公用设施维护资金的管理和使用，组织拟订城市管理方面专项费用的年度计划；负责本系统各单位财务情况的监督管理；审核环卫设施维护、园林绿化维护、路灯维护等城市市政公用设施工程预（决）算；负责本系统各种规费征收的监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4、负责城市市容环境卫生管理。拟订城市市容环境卫生作业标准、操作规程并监督实施。负责关闭、闲置、拆除存放生活垃圾处理设施、场所核准；负责临时占用街道两侧和公共场地许可；负责从事城市生活垃圾经营性清扫、收集、运输、处理服务及城市建筑垃圾处置审批；负责组织实施市容环境卫生管理责任区制度；负责城市市容环境卫生日常管理和环卫基础设施管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5、负责宣传贯彻执行户外广告有关政策法规，组织编制城市户外广告设置规范并组织实施；负责县城大型户外广告设置审核；负责城市户外广告设置和设施的日常监管，对不符合广告规划和城市容貌标准的户外广告定期维护和清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6、负责城市园林绿化建设维护管理。拟订城市园林绿化建设维护作业标准、操作规程并监督实施。负责城市工程建设项目附属绿化工程设计方案审查；负责在城市公共绿地内开设商业、服务摊点及临时占用城市绿地审批；负责砍伐城市树木审批；负责改变绿化规划、绿化用地的使用性质审批。负责城市园林绿化维护的日常管理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7、负责城市市政公用设施运行管理。拟订城市市政公用设施运行作业标准、操作规程并监督实施。负责影响城市道路作业许可。负责市政公用设施运行监督检查，加强对城市地下管线、城市照明、供气、加油加气充电设施、公共厕所和公共停车场等市政公用设施开展日常巡查和运行管理。</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8、负责宣传贯彻燃气行业的法规，拟订全县燃气管理的规范性文件，规范与管理城市供气和燃气市场。负责拟订本县供气、供热行业标准和技术标准并监督执行。负责县城燃气设施改动审批。负责天然气行业市场管理工作。</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9、行使县城控详规划区范围内市容环境卫生管理、园林绿化管理、市政管理等住房城乡建设领域法律法规规章规定的行政处罚权。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10、行使县城控详规划区范围内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11、行使县城控详规划区范围内户外公共场所无照经营、违规设置户外广告等工商管理方面的行政处罚权。行使县城控详规划区范围内户外公共场所食品销售和餐饮摊点无证经营、以及违法回收贩卖药品等食品药品监督管理方面的行政处罚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12、行使县城控详规划区范围内侵占城市道路、违法停放车辆等公安交通管理方面的行政处罚权。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13、行使县城控详规划区范围内向城市河道和其他水域倾倒废弃物和垃圾以及违规取土、城市河道违法建筑物拆除等水务管理方面的行政处罚权。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w:t>
      </w:r>
      <w:r>
        <w:rPr>
          <w:rFonts w:hint="eastAsia" w:eastAsia="仿宋_GB2312" w:cs="仿宋_GB2312"/>
          <w:kern w:val="0"/>
          <w:sz w:val="32"/>
          <w:szCs w:val="32"/>
          <w:lang w:val="en-US" w:eastAsia="zh-CN"/>
        </w:rPr>
        <w:t>4</w:t>
      </w:r>
      <w:r>
        <w:rPr>
          <w:rFonts w:hint="eastAsia" w:eastAsia="仿宋_GB2312" w:cs="仿宋_GB2312"/>
          <w:kern w:val="0"/>
          <w:sz w:val="32"/>
          <w:szCs w:val="32"/>
          <w:lang w:eastAsia="zh-CN"/>
        </w:rPr>
        <w:t>、完成县委、县政府交办的其他任务。</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（二）机构设置</w:t>
      </w:r>
    </w:p>
    <w:p>
      <w:pPr>
        <w:keepNext/>
        <w:keepLines/>
        <w:ind w:firstLine="640"/>
        <w:rPr>
          <w:rFonts w:ascii="宋体" w:hAnsi="宋体"/>
          <w:sz w:val="32"/>
          <w:highlight w:val="white"/>
          <w:lang w:val="zh-CN"/>
        </w:rPr>
      </w:pPr>
      <w:r>
        <w:rPr>
          <w:rFonts w:hint="eastAsia" w:ascii="宋体" w:hAnsi="宋体"/>
          <w:sz w:val="32"/>
          <w:highlight w:val="white"/>
        </w:rPr>
        <w:t>(一)内设机构设置</w:t>
      </w:r>
      <w:r>
        <w:rPr>
          <w:rFonts w:hint="eastAsia" w:ascii="宋体" w:hAnsi="宋体"/>
          <w:sz w:val="32"/>
          <w:highlight w:val="white"/>
          <w:lang w:val="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val="zh-CN" w:eastAsia="zh-CN"/>
        </w:rPr>
      </w:pPr>
      <w:r>
        <w:rPr>
          <w:rFonts w:hint="eastAsia" w:eastAsia="仿宋_GB2312" w:cs="仿宋_GB2312"/>
          <w:kern w:val="0"/>
          <w:sz w:val="32"/>
          <w:szCs w:val="32"/>
          <w:lang w:val="zh-CN" w:eastAsia="zh-CN"/>
        </w:rPr>
        <w:t>岳阳县城市管理和综合执法局单位内设机构包括：办公室、人事股、计划财务股、政策法规股、行政审批股、市容环境卫生管理股、市政公用设施运行管理股、园林绿化建设维护管理股、户外广告股、燃气管理股。除上述内设股室外，还设有纪检监察室、党建办、创建办。</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u w:val="none"/>
          <w:lang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包括一般公共预算、政府性基金、国有资本经营预算等财政拨款收入，以及经营收入、事业收入等单位资金。2024年本单位收入预算</w:t>
      </w:r>
      <w:r>
        <w:rPr>
          <w:rFonts w:hint="eastAsia" w:eastAsia="仿宋_GB2312" w:cs="仿宋_GB2312"/>
          <w:kern w:val="0"/>
          <w:sz w:val="32"/>
          <w:szCs w:val="32"/>
          <w:lang w:val="en-US" w:eastAsia="zh-CN"/>
        </w:rPr>
        <w:t>2714.1</w:t>
      </w:r>
      <w:r>
        <w:rPr>
          <w:rFonts w:hint="eastAsia" w:eastAsia="仿宋_GB2312" w:cs="仿宋_GB2312"/>
          <w:kern w:val="0"/>
          <w:sz w:val="32"/>
          <w:szCs w:val="32"/>
          <w:lang w:eastAsia="zh-CN"/>
        </w:rPr>
        <w:t>万元，其中，一般公共预算拨款</w:t>
      </w:r>
      <w:r>
        <w:rPr>
          <w:rFonts w:hint="eastAsia" w:eastAsia="仿宋_GB2312" w:cs="仿宋_GB2312"/>
          <w:kern w:val="0"/>
          <w:sz w:val="32"/>
          <w:szCs w:val="32"/>
          <w:lang w:val="en-US" w:eastAsia="zh-CN"/>
        </w:rPr>
        <w:t>2714.1</w:t>
      </w:r>
      <w:r>
        <w:rPr>
          <w:rFonts w:hint="eastAsia" w:eastAsia="仿宋_GB2312" w:cs="仿宋_GB2312"/>
          <w:kern w:val="0"/>
          <w:sz w:val="32"/>
          <w:szCs w:val="32"/>
          <w:lang w:eastAsia="zh-CN"/>
        </w:rPr>
        <w:t>万元，政府性基金预算拨款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万元(数据来源见表2)。</w:t>
      </w:r>
      <w:r>
        <w:rPr>
          <w:rFonts w:hint="eastAsia" w:eastAsia="仿宋_GB2312" w:cs="仿宋_GB2312"/>
          <w:i w:val="0"/>
          <w:iCs w:val="0"/>
          <w:color w:val="auto"/>
          <w:kern w:val="0"/>
          <w:sz w:val="32"/>
          <w:szCs w:val="32"/>
          <w:u w:val="none"/>
          <w:lang w:eastAsia="zh-CN"/>
        </w:rPr>
        <w:t>本单位2024年</w:t>
      </w:r>
      <w:r>
        <w:rPr>
          <w:rFonts w:hint="eastAsia" w:eastAsia="仿宋_GB2312" w:cs="仿宋_GB2312"/>
          <w:i w:val="0"/>
          <w:iCs w:val="0"/>
          <w:color w:val="auto"/>
          <w:kern w:val="0"/>
          <w:sz w:val="32"/>
          <w:szCs w:val="32"/>
          <w:u w:val="none"/>
        </w:rPr>
        <w:t>没有政府性基金预算拨款和纳入专户管理的非税收入拨款收入，也没有使用政府性基金预算拨款</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国有资本经营预算收入和纳入专户管理的非税收入拨款安排的支出，所以公开的附件</w:t>
      </w:r>
      <w:r>
        <w:rPr>
          <w:rFonts w:hint="eastAsia" w:eastAsia="仿宋_GB2312" w:cs="仿宋_GB2312"/>
          <w:i w:val="0"/>
          <w:iCs w:val="0"/>
          <w:color w:val="auto"/>
          <w:kern w:val="0"/>
          <w:sz w:val="32"/>
          <w:szCs w:val="32"/>
          <w:u w:val="none"/>
          <w:lang w:val="en-US" w:eastAsia="zh-CN"/>
        </w:rPr>
        <w:t>16-18（</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19（</w:t>
      </w:r>
      <w:r>
        <w:rPr>
          <w:rFonts w:hint="eastAsia" w:eastAsia="仿宋_GB2312" w:cs="仿宋_GB2312"/>
          <w:i w:val="0"/>
          <w:iCs w:val="0"/>
          <w:color w:val="auto"/>
          <w:kern w:val="0"/>
          <w:sz w:val="32"/>
          <w:szCs w:val="32"/>
          <w:u w:val="none"/>
        </w:rPr>
        <w:t>国有资本经营预算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20</w:t>
      </w:r>
      <w:r>
        <w:rPr>
          <w:rFonts w:hint="eastAsia" w:eastAsia="仿宋_GB2312" w:cs="仿宋_GB2312"/>
          <w:i w:val="0"/>
          <w:iCs w:val="0"/>
          <w:color w:val="auto"/>
          <w:kern w:val="0"/>
          <w:sz w:val="32"/>
          <w:szCs w:val="32"/>
          <w:u w:val="none"/>
        </w:rPr>
        <w:t>表</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财政</w:t>
      </w:r>
      <w:r>
        <w:rPr>
          <w:rFonts w:hint="eastAsia" w:eastAsia="仿宋_GB2312" w:cs="仿宋_GB2312"/>
          <w:i w:val="0"/>
          <w:iCs w:val="0"/>
          <w:color w:val="auto"/>
          <w:kern w:val="0"/>
          <w:sz w:val="32"/>
          <w:szCs w:val="32"/>
          <w:u w:val="none"/>
        </w:rPr>
        <w:t>专户管理</w:t>
      </w:r>
      <w:r>
        <w:rPr>
          <w:rFonts w:hint="eastAsia" w:eastAsia="仿宋_GB2312" w:cs="仿宋_GB2312"/>
          <w:i w:val="0"/>
          <w:iCs w:val="0"/>
          <w:color w:val="auto"/>
          <w:kern w:val="0"/>
          <w:sz w:val="32"/>
          <w:szCs w:val="32"/>
          <w:u w:val="none"/>
          <w:lang w:val="en-US" w:eastAsia="zh-CN"/>
        </w:rPr>
        <w:t>资金</w:t>
      </w:r>
      <w:r>
        <w:rPr>
          <w:rFonts w:hint="eastAsia" w:eastAsia="仿宋_GB2312" w:cs="仿宋_GB2312"/>
          <w:i w:val="0"/>
          <w:iCs w:val="0"/>
          <w:color w:val="auto"/>
          <w:kern w:val="0"/>
          <w:sz w:val="32"/>
          <w:szCs w:val="32"/>
          <w:u w:val="none"/>
        </w:rPr>
        <w:t>预算</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均为空。</w:t>
      </w:r>
      <w:bookmarkStart w:id="0" w:name="_GoBack"/>
      <w:bookmarkEnd w:id="0"/>
      <w:r>
        <w:rPr>
          <w:rFonts w:hint="eastAsia" w:eastAsia="仿宋_GB2312" w:cs="仿宋_GB2312"/>
          <w:i w:val="0"/>
          <w:iCs w:val="0"/>
          <w:color w:val="auto"/>
          <w:kern w:val="0"/>
          <w:sz w:val="32"/>
          <w:szCs w:val="32"/>
          <w:u w:val="none"/>
          <w:lang w:eastAsia="zh-CN"/>
        </w:rPr>
        <w:t>）</w:t>
      </w:r>
      <w:r>
        <w:rPr>
          <w:rFonts w:hint="eastAsia" w:eastAsia="仿宋_GB2312" w:cs="仿宋_GB2312"/>
          <w:color w:val="auto"/>
          <w:kern w:val="0"/>
          <w:sz w:val="32"/>
          <w:szCs w:val="32"/>
          <w:u w:val="none"/>
          <w:lang w:eastAsia="zh-CN"/>
        </w:rPr>
        <w:t>收入较去年</w:t>
      </w:r>
      <w:r>
        <w:rPr>
          <w:rFonts w:hint="eastAsia" w:eastAsia="仿宋_GB2312" w:cs="仿宋_GB2312"/>
          <w:color w:val="auto"/>
          <w:kern w:val="0"/>
          <w:sz w:val="32"/>
          <w:szCs w:val="32"/>
          <w:u w:val="none"/>
          <w:lang w:val="en-US" w:eastAsia="zh-CN"/>
        </w:rPr>
        <w:t>2681.46万</w:t>
      </w:r>
      <w:r>
        <w:rPr>
          <w:rFonts w:hint="eastAsia" w:eastAsia="仿宋_GB2312" w:cs="仿宋_GB2312"/>
          <w:color w:val="auto"/>
          <w:kern w:val="0"/>
          <w:sz w:val="32"/>
          <w:szCs w:val="32"/>
          <w:u w:val="none"/>
          <w:lang w:eastAsia="zh-CN"/>
        </w:rPr>
        <w:t>增加</w:t>
      </w:r>
      <w:r>
        <w:rPr>
          <w:rFonts w:hint="eastAsia" w:eastAsia="仿宋_GB2312" w:cs="仿宋_GB2312"/>
          <w:color w:val="auto"/>
          <w:kern w:val="0"/>
          <w:sz w:val="32"/>
          <w:szCs w:val="32"/>
          <w:u w:val="none"/>
          <w:lang w:val="en-US" w:eastAsia="zh-CN"/>
        </w:rPr>
        <w:t>32.64</w:t>
      </w:r>
      <w:r>
        <w:rPr>
          <w:rFonts w:hint="eastAsia" w:eastAsia="仿宋_GB2312" w:cs="仿宋_GB2312"/>
          <w:color w:val="auto"/>
          <w:kern w:val="0"/>
          <w:sz w:val="32"/>
          <w:szCs w:val="32"/>
          <w:u w:val="none"/>
          <w:lang w:eastAsia="zh-CN"/>
        </w:rPr>
        <w:t>万元，主要是</w:t>
      </w:r>
      <w:r>
        <w:rPr>
          <w:rFonts w:hint="eastAsia" w:eastAsia="仿宋_GB2312" w:cs="仿宋_GB2312"/>
          <w:color w:val="auto"/>
          <w:kern w:val="0"/>
          <w:sz w:val="32"/>
          <w:szCs w:val="32"/>
          <w:u w:val="none"/>
          <w:lang w:val="en-US" w:eastAsia="zh-CN"/>
        </w:rPr>
        <w:t>因为</w:t>
      </w:r>
      <w:r>
        <w:rPr>
          <w:rFonts w:hint="eastAsia" w:eastAsia="仿宋_GB2312"/>
          <w:color w:val="auto"/>
          <w:kern w:val="0"/>
          <w:sz w:val="32"/>
          <w:szCs w:val="32"/>
          <w:u w:val="none"/>
          <w:lang w:eastAsia="zh-CN"/>
        </w:rPr>
        <w:t>人员经费的正常增加。</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470" w:firstLineChars="196"/>
        <w:jc w:val="left"/>
        <w:rPr>
          <w:rFonts w:hint="eastAsia" w:eastAsia="仿宋_GB2312" w:cs="仿宋_GB2312"/>
          <w:kern w:val="0"/>
          <w:sz w:val="32"/>
          <w:szCs w:val="32"/>
        </w:rPr>
      </w:pPr>
      <w:r>
        <w:rPr>
          <w:rFonts w:hint="eastAsia" w:ascii="微软雅黑" w:hAnsi="微软雅黑" w:eastAsia="微软雅黑" w:cs="微软雅黑"/>
          <w:i w:val="0"/>
          <w:iCs w:val="0"/>
          <w:caps w:val="0"/>
          <w:color w:val="333333"/>
          <w:spacing w:val="0"/>
          <w:sz w:val="24"/>
          <w:szCs w:val="24"/>
          <w:shd w:val="clear" w:fill="FFFFFF"/>
          <w:lang w:eastAsia="zh-CN"/>
        </w:rPr>
        <w:t>2024年本单位</w:t>
      </w:r>
      <w:r>
        <w:rPr>
          <w:rFonts w:ascii="微软雅黑" w:hAnsi="微软雅黑" w:eastAsia="微软雅黑" w:cs="微软雅黑"/>
          <w:i w:val="0"/>
          <w:iCs w:val="0"/>
          <w:caps w:val="0"/>
          <w:color w:val="333333"/>
          <w:spacing w:val="0"/>
          <w:sz w:val="24"/>
          <w:szCs w:val="24"/>
          <w:shd w:val="clear" w:fill="FFFFFF"/>
        </w:rPr>
        <w:t>支出预算</w:t>
      </w:r>
      <w:r>
        <w:rPr>
          <w:rFonts w:hint="eastAsia" w:ascii="微软雅黑" w:hAnsi="微软雅黑" w:eastAsia="微软雅黑" w:cs="微软雅黑"/>
          <w:i w:val="0"/>
          <w:iCs w:val="0"/>
          <w:caps w:val="0"/>
          <w:color w:val="333333"/>
          <w:spacing w:val="0"/>
          <w:sz w:val="24"/>
          <w:szCs w:val="24"/>
          <w:shd w:val="clear" w:fill="FFFFFF"/>
          <w:lang w:val="en-US" w:eastAsia="zh-CN"/>
        </w:rPr>
        <w:t>2714.1</w:t>
      </w:r>
      <w:r>
        <w:rPr>
          <w:rFonts w:ascii="微软雅黑" w:hAnsi="微软雅黑" w:eastAsia="微软雅黑" w:cs="微软雅黑"/>
          <w:i w:val="0"/>
          <w:iCs w:val="0"/>
          <w:caps w:val="0"/>
          <w:color w:val="333333"/>
          <w:spacing w:val="0"/>
          <w:sz w:val="24"/>
          <w:szCs w:val="24"/>
          <w:shd w:val="clear" w:fill="FFFFFF"/>
        </w:rPr>
        <w:t>万元，其中，社会保障与就业支出</w:t>
      </w:r>
      <w:r>
        <w:rPr>
          <w:rFonts w:hint="eastAsia" w:ascii="微软雅黑" w:hAnsi="微软雅黑" w:eastAsia="微软雅黑" w:cs="微软雅黑"/>
          <w:i w:val="0"/>
          <w:iCs w:val="0"/>
          <w:caps w:val="0"/>
          <w:color w:val="333333"/>
          <w:spacing w:val="0"/>
          <w:sz w:val="24"/>
          <w:szCs w:val="24"/>
          <w:shd w:val="clear" w:fill="FFFFFF"/>
          <w:lang w:val="en-US" w:eastAsia="zh-CN"/>
        </w:rPr>
        <w:t>51.05</w:t>
      </w:r>
      <w:r>
        <w:rPr>
          <w:rFonts w:ascii="微软雅黑" w:hAnsi="微软雅黑" w:eastAsia="微软雅黑" w:cs="微软雅黑"/>
          <w:i w:val="0"/>
          <w:iCs w:val="0"/>
          <w:caps w:val="0"/>
          <w:color w:val="333333"/>
          <w:spacing w:val="0"/>
          <w:sz w:val="24"/>
          <w:szCs w:val="24"/>
          <w:shd w:val="clear" w:fill="FFFFFF"/>
        </w:rPr>
        <w:t>万元，占</w:t>
      </w:r>
      <w:r>
        <w:rPr>
          <w:rFonts w:hint="eastAsia" w:ascii="微软雅黑" w:hAnsi="微软雅黑" w:eastAsia="微软雅黑" w:cs="微软雅黑"/>
          <w:i w:val="0"/>
          <w:iCs w:val="0"/>
          <w:caps w:val="0"/>
          <w:color w:val="333333"/>
          <w:spacing w:val="0"/>
          <w:sz w:val="24"/>
          <w:szCs w:val="24"/>
          <w:shd w:val="clear" w:fill="FFFFFF"/>
          <w:lang w:val="en-US" w:eastAsia="zh-CN"/>
        </w:rPr>
        <w:t>1.88</w:t>
      </w:r>
      <w:r>
        <w:rPr>
          <w:rFonts w:ascii="微软雅黑" w:hAnsi="微软雅黑" w:eastAsia="微软雅黑" w:cs="微软雅黑"/>
          <w:i w:val="0"/>
          <w:iCs w:val="0"/>
          <w:caps w:val="0"/>
          <w:color w:val="333333"/>
          <w:spacing w:val="0"/>
          <w:sz w:val="24"/>
          <w:szCs w:val="24"/>
          <w:shd w:val="clear" w:fill="FFFFFF"/>
        </w:rPr>
        <w:t>%；卫生健康支出</w:t>
      </w:r>
      <w:r>
        <w:rPr>
          <w:rFonts w:hint="eastAsia" w:ascii="微软雅黑" w:hAnsi="微软雅黑" w:eastAsia="微软雅黑" w:cs="微软雅黑"/>
          <w:i w:val="0"/>
          <w:iCs w:val="0"/>
          <w:caps w:val="0"/>
          <w:color w:val="333333"/>
          <w:spacing w:val="0"/>
          <w:sz w:val="24"/>
          <w:szCs w:val="24"/>
          <w:shd w:val="clear" w:fill="FFFFFF"/>
          <w:lang w:val="en-US" w:eastAsia="zh-CN"/>
        </w:rPr>
        <w:t>28.53</w:t>
      </w:r>
      <w:r>
        <w:rPr>
          <w:rFonts w:ascii="微软雅黑" w:hAnsi="微软雅黑" w:eastAsia="微软雅黑" w:cs="微软雅黑"/>
          <w:i w:val="0"/>
          <w:iCs w:val="0"/>
          <w:caps w:val="0"/>
          <w:color w:val="333333"/>
          <w:spacing w:val="0"/>
          <w:sz w:val="24"/>
          <w:szCs w:val="24"/>
          <w:shd w:val="clear" w:fill="FFFFFF"/>
        </w:rPr>
        <w:t>万元，占</w:t>
      </w:r>
      <w:r>
        <w:rPr>
          <w:rFonts w:hint="eastAsia" w:ascii="微软雅黑" w:hAnsi="微软雅黑" w:eastAsia="微软雅黑" w:cs="微软雅黑"/>
          <w:i w:val="0"/>
          <w:iCs w:val="0"/>
          <w:caps w:val="0"/>
          <w:color w:val="333333"/>
          <w:spacing w:val="0"/>
          <w:sz w:val="24"/>
          <w:szCs w:val="24"/>
          <w:shd w:val="clear" w:fill="FFFFFF"/>
          <w:lang w:val="en-US" w:eastAsia="zh-CN"/>
        </w:rPr>
        <w:t>1.05</w:t>
      </w:r>
      <w:r>
        <w:rPr>
          <w:rFonts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城乡社区支出</w:t>
      </w:r>
      <w:r>
        <w:rPr>
          <w:rFonts w:hint="eastAsia" w:ascii="微软雅黑" w:hAnsi="微软雅黑" w:eastAsia="微软雅黑" w:cs="微软雅黑"/>
          <w:i w:val="0"/>
          <w:iCs w:val="0"/>
          <w:caps w:val="0"/>
          <w:color w:val="333333"/>
          <w:spacing w:val="0"/>
          <w:sz w:val="24"/>
          <w:szCs w:val="24"/>
          <w:shd w:val="clear" w:fill="FFFFFF"/>
          <w:lang w:val="en-US" w:eastAsia="zh-CN"/>
        </w:rPr>
        <w:t>2598.45</w:t>
      </w:r>
      <w:r>
        <w:rPr>
          <w:rFonts w:ascii="微软雅黑" w:hAnsi="微软雅黑" w:eastAsia="微软雅黑" w:cs="微软雅黑"/>
          <w:i w:val="0"/>
          <w:iCs w:val="0"/>
          <w:caps w:val="0"/>
          <w:color w:val="333333"/>
          <w:spacing w:val="0"/>
          <w:sz w:val="24"/>
          <w:szCs w:val="24"/>
          <w:shd w:val="clear" w:fill="FFFFFF"/>
        </w:rPr>
        <w:t>万元，占</w:t>
      </w:r>
      <w:r>
        <w:rPr>
          <w:rFonts w:hint="eastAsia" w:ascii="微软雅黑" w:hAnsi="微软雅黑" w:eastAsia="微软雅黑" w:cs="微软雅黑"/>
          <w:i w:val="0"/>
          <w:iCs w:val="0"/>
          <w:caps w:val="0"/>
          <w:color w:val="333333"/>
          <w:spacing w:val="0"/>
          <w:sz w:val="24"/>
          <w:szCs w:val="24"/>
          <w:shd w:val="clear" w:fill="FFFFFF"/>
          <w:lang w:val="en-US" w:eastAsia="zh-CN"/>
        </w:rPr>
        <w:t>95.74</w:t>
      </w:r>
      <w:r>
        <w:rPr>
          <w:rFonts w:ascii="微软雅黑" w:hAnsi="微软雅黑" w:eastAsia="微软雅黑" w:cs="微软雅黑"/>
          <w:i w:val="0"/>
          <w:iCs w:val="0"/>
          <w:caps w:val="0"/>
          <w:color w:val="333333"/>
          <w:spacing w:val="0"/>
          <w:sz w:val="24"/>
          <w:szCs w:val="24"/>
          <w:shd w:val="clear" w:fill="FFFFFF"/>
        </w:rPr>
        <w:t>%；住房保障支出</w:t>
      </w:r>
      <w:r>
        <w:rPr>
          <w:rFonts w:hint="eastAsia" w:ascii="微软雅黑" w:hAnsi="微软雅黑" w:eastAsia="微软雅黑" w:cs="微软雅黑"/>
          <w:i w:val="0"/>
          <w:iCs w:val="0"/>
          <w:caps w:val="0"/>
          <w:color w:val="333333"/>
          <w:spacing w:val="0"/>
          <w:sz w:val="24"/>
          <w:szCs w:val="24"/>
          <w:shd w:val="clear" w:fill="FFFFFF"/>
          <w:lang w:val="en-US" w:eastAsia="zh-CN"/>
        </w:rPr>
        <w:t>36.04</w:t>
      </w:r>
      <w:r>
        <w:rPr>
          <w:rFonts w:ascii="微软雅黑" w:hAnsi="微软雅黑" w:eastAsia="微软雅黑" w:cs="微软雅黑"/>
          <w:i w:val="0"/>
          <w:iCs w:val="0"/>
          <w:caps w:val="0"/>
          <w:color w:val="333333"/>
          <w:spacing w:val="0"/>
          <w:sz w:val="24"/>
          <w:szCs w:val="24"/>
          <w:shd w:val="clear" w:fill="FFFFFF"/>
        </w:rPr>
        <w:t>万元，占</w:t>
      </w:r>
      <w:r>
        <w:rPr>
          <w:rFonts w:hint="eastAsia" w:ascii="微软雅黑" w:hAnsi="微软雅黑" w:eastAsia="微软雅黑" w:cs="微软雅黑"/>
          <w:i w:val="0"/>
          <w:iCs w:val="0"/>
          <w:caps w:val="0"/>
          <w:color w:val="333333"/>
          <w:spacing w:val="0"/>
          <w:sz w:val="24"/>
          <w:szCs w:val="24"/>
          <w:shd w:val="clear" w:fill="FFFFFF"/>
          <w:lang w:val="en-US" w:eastAsia="zh-CN"/>
        </w:rPr>
        <w:t>1.33</w:t>
      </w:r>
      <w:r>
        <w:rPr>
          <w:rFonts w:ascii="微软雅黑" w:hAnsi="微软雅黑" w:eastAsia="微软雅黑" w:cs="微软雅黑"/>
          <w:i w:val="0"/>
          <w:iCs w:val="0"/>
          <w:caps w:val="0"/>
          <w:color w:val="333333"/>
          <w:spacing w:val="0"/>
          <w:sz w:val="24"/>
          <w:szCs w:val="24"/>
          <w:shd w:val="clear" w:fill="FFFFFF"/>
        </w:rPr>
        <w:t>%（数据来源见表6）。支出较去年增加</w:t>
      </w:r>
      <w:r>
        <w:rPr>
          <w:rFonts w:hint="eastAsia" w:ascii="微软雅黑" w:hAnsi="微软雅黑" w:eastAsia="微软雅黑" w:cs="微软雅黑"/>
          <w:i w:val="0"/>
          <w:iCs w:val="0"/>
          <w:caps w:val="0"/>
          <w:color w:val="333333"/>
          <w:spacing w:val="0"/>
          <w:sz w:val="24"/>
          <w:szCs w:val="24"/>
          <w:shd w:val="clear" w:fill="FFFFFF"/>
          <w:lang w:val="en-US" w:eastAsia="zh-CN"/>
        </w:rPr>
        <w:t>32.64</w:t>
      </w:r>
      <w:r>
        <w:rPr>
          <w:rFonts w:ascii="微软雅黑" w:hAnsi="微软雅黑" w:eastAsia="微软雅黑" w:cs="微软雅黑"/>
          <w:i w:val="0"/>
          <w:iCs w:val="0"/>
          <w:caps w:val="0"/>
          <w:color w:val="333333"/>
          <w:spacing w:val="0"/>
          <w:sz w:val="24"/>
          <w:szCs w:val="24"/>
          <w:shd w:val="clear" w:fill="FFFFFF"/>
        </w:rPr>
        <w:t>万元，其中基本支出增加</w:t>
      </w:r>
      <w:r>
        <w:rPr>
          <w:rFonts w:hint="eastAsia" w:ascii="微软雅黑" w:hAnsi="微软雅黑" w:eastAsia="微软雅黑" w:cs="微软雅黑"/>
          <w:i w:val="0"/>
          <w:iCs w:val="0"/>
          <w:caps w:val="0"/>
          <w:color w:val="333333"/>
          <w:spacing w:val="0"/>
          <w:sz w:val="24"/>
          <w:szCs w:val="24"/>
          <w:shd w:val="clear" w:fill="FFFFFF"/>
          <w:lang w:val="en-US" w:eastAsia="zh-CN"/>
        </w:rPr>
        <w:t>72.74</w:t>
      </w:r>
      <w:r>
        <w:rPr>
          <w:rFonts w:ascii="微软雅黑" w:hAnsi="微软雅黑" w:eastAsia="微软雅黑" w:cs="微软雅黑"/>
          <w:i w:val="0"/>
          <w:iCs w:val="0"/>
          <w:caps w:val="0"/>
          <w:color w:val="333333"/>
          <w:spacing w:val="0"/>
          <w:sz w:val="24"/>
          <w:szCs w:val="24"/>
          <w:shd w:val="clear" w:fill="FFFFFF"/>
        </w:rPr>
        <w:t>万元，项目支出减少</w:t>
      </w:r>
      <w:r>
        <w:rPr>
          <w:rFonts w:hint="eastAsia" w:ascii="微软雅黑" w:hAnsi="微软雅黑" w:eastAsia="微软雅黑" w:cs="微软雅黑"/>
          <w:i w:val="0"/>
          <w:iCs w:val="0"/>
          <w:caps w:val="0"/>
          <w:color w:val="333333"/>
          <w:spacing w:val="0"/>
          <w:sz w:val="24"/>
          <w:szCs w:val="24"/>
          <w:shd w:val="clear" w:fill="FFFFFF"/>
          <w:lang w:val="en-US" w:eastAsia="zh-CN"/>
        </w:rPr>
        <w:t>40.1</w:t>
      </w:r>
      <w:r>
        <w:rPr>
          <w:rFonts w:ascii="微软雅黑" w:hAnsi="微软雅黑" w:eastAsia="微软雅黑" w:cs="微软雅黑"/>
          <w:i w:val="0"/>
          <w:iCs w:val="0"/>
          <w:caps w:val="0"/>
          <w:color w:val="333333"/>
          <w:spacing w:val="0"/>
          <w:sz w:val="24"/>
          <w:szCs w:val="24"/>
          <w:shd w:val="clear" w:fill="FFFFFF"/>
        </w:rPr>
        <w:t>万元</w:t>
      </w:r>
      <w:r>
        <w:rPr>
          <w:rFonts w:hint="eastAsia" w:ascii="微软雅黑" w:hAnsi="微软雅黑" w:eastAsia="微软雅黑" w:cs="微软雅黑"/>
          <w:i w:val="0"/>
          <w:iCs w:val="0"/>
          <w:caps w:val="0"/>
          <w:color w:val="333333"/>
          <w:spacing w:val="0"/>
          <w:sz w:val="24"/>
          <w:szCs w:val="24"/>
          <w:shd w:val="clear" w:fill="FFFFFF"/>
        </w:rPr>
        <w:t>（数据来源见表7、16、19、20，将其基本支出、项目支出相加）</w:t>
      </w:r>
      <w:r>
        <w:rPr>
          <w:rFonts w:ascii="微软雅黑" w:hAnsi="微软雅黑" w:eastAsia="微软雅黑" w:cs="微软雅黑"/>
          <w:i w:val="0"/>
          <w:iCs w:val="0"/>
          <w:caps w:val="0"/>
          <w:color w:val="333333"/>
          <w:spacing w:val="0"/>
          <w:sz w:val="24"/>
          <w:szCs w:val="24"/>
          <w:shd w:val="clear" w:fill="FFFFFF"/>
        </w:rPr>
        <w:t>。其中基本支出较上年增加主要是因为人员经费增加，项目支出减少主要是因</w:t>
      </w:r>
      <w:r>
        <w:rPr>
          <w:rFonts w:hint="eastAsia" w:ascii="微软雅黑" w:hAnsi="微软雅黑" w:eastAsia="微软雅黑" w:cs="微软雅黑"/>
          <w:i w:val="0"/>
          <w:iCs w:val="0"/>
          <w:caps w:val="0"/>
          <w:color w:val="333333"/>
          <w:spacing w:val="0"/>
          <w:sz w:val="24"/>
          <w:szCs w:val="24"/>
          <w:shd w:val="clear" w:fill="FFFFFF"/>
          <w:lang w:eastAsia="zh-CN"/>
        </w:rPr>
        <w:t>为规划监察大队整体划转</w:t>
      </w:r>
      <w:r>
        <w:rPr>
          <w:rFonts w:ascii="微软雅黑" w:hAnsi="微软雅黑" w:eastAsia="微软雅黑" w:cs="微软雅黑"/>
          <w:i w:val="0"/>
          <w:iCs w:val="0"/>
          <w:caps w:val="0"/>
          <w:color w:val="333333"/>
          <w:spacing w:val="0"/>
          <w:sz w:val="24"/>
          <w:szCs w:val="24"/>
          <w:shd w:val="clear" w:fill="FFFFFF"/>
        </w:rPr>
        <w:t>的减少。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2024年</w:t>
      </w:r>
      <w:r>
        <w:rPr>
          <w:rFonts w:hint="eastAsia" w:eastAsia="仿宋_GB2312" w:cs="仿宋_GB2312"/>
          <w:kern w:val="0"/>
          <w:sz w:val="32"/>
          <w:szCs w:val="32"/>
        </w:rPr>
        <w:t>一般公共预算拨款支出预算</w:t>
      </w:r>
      <w:r>
        <w:rPr>
          <w:rFonts w:hint="eastAsia" w:eastAsia="仿宋_GB2312" w:cs="仿宋_GB2312"/>
          <w:kern w:val="0"/>
          <w:sz w:val="32"/>
          <w:szCs w:val="32"/>
          <w:lang w:val="en-US" w:eastAsia="zh-CN"/>
        </w:rPr>
        <w:t>2714.1</w:t>
      </w:r>
      <w:r>
        <w:rPr>
          <w:rFonts w:hint="eastAsia" w:eastAsia="仿宋_GB2312" w:cs="仿宋_GB2312"/>
          <w:kern w:val="0"/>
          <w:sz w:val="32"/>
          <w:szCs w:val="32"/>
        </w:rPr>
        <w:t>万元，其中</w:t>
      </w:r>
      <w:r>
        <w:rPr>
          <w:rFonts w:eastAsia="仿宋_GB2312"/>
          <w:sz w:val="32"/>
          <w:szCs w:val="32"/>
        </w:rPr>
        <w:t>，</w:t>
      </w:r>
      <w:r>
        <w:rPr>
          <w:rFonts w:ascii="微软雅黑" w:hAnsi="微软雅黑" w:eastAsia="微软雅黑" w:cs="微软雅黑"/>
          <w:i w:val="0"/>
          <w:iCs w:val="0"/>
          <w:caps w:val="0"/>
          <w:color w:val="333333"/>
          <w:spacing w:val="0"/>
          <w:sz w:val="24"/>
          <w:szCs w:val="24"/>
          <w:shd w:val="clear" w:fill="FFFFFF"/>
        </w:rPr>
        <w:t>其中，社会保障与就业支出</w:t>
      </w:r>
      <w:r>
        <w:rPr>
          <w:rFonts w:hint="eastAsia" w:ascii="微软雅黑" w:hAnsi="微软雅黑" w:eastAsia="微软雅黑" w:cs="微软雅黑"/>
          <w:i w:val="0"/>
          <w:iCs w:val="0"/>
          <w:caps w:val="0"/>
          <w:color w:val="333333"/>
          <w:spacing w:val="0"/>
          <w:sz w:val="24"/>
          <w:szCs w:val="24"/>
          <w:shd w:val="clear" w:fill="FFFFFF"/>
          <w:lang w:val="en-US" w:eastAsia="zh-CN"/>
        </w:rPr>
        <w:t>51.05</w:t>
      </w:r>
      <w:r>
        <w:rPr>
          <w:rFonts w:ascii="微软雅黑" w:hAnsi="微软雅黑" w:eastAsia="微软雅黑" w:cs="微软雅黑"/>
          <w:i w:val="0"/>
          <w:iCs w:val="0"/>
          <w:caps w:val="0"/>
          <w:color w:val="333333"/>
          <w:spacing w:val="0"/>
          <w:sz w:val="24"/>
          <w:szCs w:val="24"/>
          <w:shd w:val="clear" w:fill="FFFFFF"/>
        </w:rPr>
        <w:t>万元，占</w:t>
      </w:r>
      <w:r>
        <w:rPr>
          <w:rFonts w:hint="eastAsia" w:ascii="微软雅黑" w:hAnsi="微软雅黑" w:eastAsia="微软雅黑" w:cs="微软雅黑"/>
          <w:i w:val="0"/>
          <w:iCs w:val="0"/>
          <w:caps w:val="0"/>
          <w:color w:val="333333"/>
          <w:spacing w:val="0"/>
          <w:sz w:val="24"/>
          <w:szCs w:val="24"/>
          <w:shd w:val="clear" w:fill="FFFFFF"/>
          <w:lang w:val="en-US" w:eastAsia="zh-CN"/>
        </w:rPr>
        <w:t>1.88</w:t>
      </w:r>
      <w:r>
        <w:rPr>
          <w:rFonts w:ascii="微软雅黑" w:hAnsi="微软雅黑" w:eastAsia="微软雅黑" w:cs="微软雅黑"/>
          <w:i w:val="0"/>
          <w:iCs w:val="0"/>
          <w:caps w:val="0"/>
          <w:color w:val="333333"/>
          <w:spacing w:val="0"/>
          <w:sz w:val="24"/>
          <w:szCs w:val="24"/>
          <w:shd w:val="clear" w:fill="FFFFFF"/>
        </w:rPr>
        <w:t>%；卫生健康支出</w:t>
      </w:r>
      <w:r>
        <w:rPr>
          <w:rFonts w:hint="eastAsia" w:ascii="微软雅黑" w:hAnsi="微软雅黑" w:eastAsia="微软雅黑" w:cs="微软雅黑"/>
          <w:i w:val="0"/>
          <w:iCs w:val="0"/>
          <w:caps w:val="0"/>
          <w:color w:val="333333"/>
          <w:spacing w:val="0"/>
          <w:sz w:val="24"/>
          <w:szCs w:val="24"/>
          <w:shd w:val="clear" w:fill="FFFFFF"/>
          <w:lang w:val="en-US" w:eastAsia="zh-CN"/>
        </w:rPr>
        <w:t>28.53</w:t>
      </w:r>
      <w:r>
        <w:rPr>
          <w:rFonts w:ascii="微软雅黑" w:hAnsi="微软雅黑" w:eastAsia="微软雅黑" w:cs="微软雅黑"/>
          <w:i w:val="0"/>
          <w:iCs w:val="0"/>
          <w:caps w:val="0"/>
          <w:color w:val="333333"/>
          <w:spacing w:val="0"/>
          <w:sz w:val="24"/>
          <w:szCs w:val="24"/>
          <w:shd w:val="clear" w:fill="FFFFFF"/>
        </w:rPr>
        <w:t>万元，占</w:t>
      </w:r>
      <w:r>
        <w:rPr>
          <w:rFonts w:hint="eastAsia" w:ascii="微软雅黑" w:hAnsi="微软雅黑" w:eastAsia="微软雅黑" w:cs="微软雅黑"/>
          <w:i w:val="0"/>
          <w:iCs w:val="0"/>
          <w:caps w:val="0"/>
          <w:color w:val="333333"/>
          <w:spacing w:val="0"/>
          <w:sz w:val="24"/>
          <w:szCs w:val="24"/>
          <w:shd w:val="clear" w:fill="FFFFFF"/>
          <w:lang w:val="en-US" w:eastAsia="zh-CN"/>
        </w:rPr>
        <w:t>1.05</w:t>
      </w:r>
      <w:r>
        <w:rPr>
          <w:rFonts w:ascii="微软雅黑" w:hAnsi="微软雅黑" w:eastAsia="微软雅黑" w:cs="微软雅黑"/>
          <w:i w:val="0"/>
          <w:iCs w:val="0"/>
          <w:caps w:val="0"/>
          <w:color w:val="333333"/>
          <w:spacing w:val="0"/>
          <w:sz w:val="24"/>
          <w:szCs w:val="24"/>
          <w:shd w:val="clear" w:fill="FFFFFF"/>
        </w:rPr>
        <w:t>%；</w:t>
      </w:r>
      <w:r>
        <w:rPr>
          <w:rFonts w:hint="eastAsia" w:ascii="微软雅黑" w:hAnsi="微软雅黑" w:eastAsia="微软雅黑" w:cs="微软雅黑"/>
          <w:i w:val="0"/>
          <w:iCs w:val="0"/>
          <w:caps w:val="0"/>
          <w:color w:val="333333"/>
          <w:spacing w:val="0"/>
          <w:sz w:val="24"/>
          <w:szCs w:val="24"/>
          <w:shd w:val="clear" w:fill="FFFFFF"/>
          <w:lang w:eastAsia="zh-CN"/>
        </w:rPr>
        <w:t>城乡社区支出</w:t>
      </w:r>
      <w:r>
        <w:rPr>
          <w:rFonts w:hint="eastAsia" w:ascii="微软雅黑" w:hAnsi="微软雅黑" w:eastAsia="微软雅黑" w:cs="微软雅黑"/>
          <w:i w:val="0"/>
          <w:iCs w:val="0"/>
          <w:caps w:val="0"/>
          <w:color w:val="333333"/>
          <w:spacing w:val="0"/>
          <w:sz w:val="24"/>
          <w:szCs w:val="24"/>
          <w:shd w:val="clear" w:fill="FFFFFF"/>
          <w:lang w:val="en-US" w:eastAsia="zh-CN"/>
        </w:rPr>
        <w:t>2598.45</w:t>
      </w:r>
      <w:r>
        <w:rPr>
          <w:rFonts w:ascii="微软雅黑" w:hAnsi="微软雅黑" w:eastAsia="微软雅黑" w:cs="微软雅黑"/>
          <w:i w:val="0"/>
          <w:iCs w:val="0"/>
          <w:caps w:val="0"/>
          <w:color w:val="333333"/>
          <w:spacing w:val="0"/>
          <w:sz w:val="24"/>
          <w:szCs w:val="24"/>
          <w:shd w:val="clear" w:fill="FFFFFF"/>
        </w:rPr>
        <w:t>万元，占</w:t>
      </w:r>
      <w:r>
        <w:rPr>
          <w:rFonts w:hint="eastAsia" w:ascii="微软雅黑" w:hAnsi="微软雅黑" w:eastAsia="微软雅黑" w:cs="微软雅黑"/>
          <w:i w:val="0"/>
          <w:iCs w:val="0"/>
          <w:caps w:val="0"/>
          <w:color w:val="333333"/>
          <w:spacing w:val="0"/>
          <w:sz w:val="24"/>
          <w:szCs w:val="24"/>
          <w:shd w:val="clear" w:fill="FFFFFF"/>
          <w:lang w:val="en-US" w:eastAsia="zh-CN"/>
        </w:rPr>
        <w:t>95.74</w:t>
      </w:r>
      <w:r>
        <w:rPr>
          <w:rFonts w:ascii="微软雅黑" w:hAnsi="微软雅黑" w:eastAsia="微软雅黑" w:cs="微软雅黑"/>
          <w:i w:val="0"/>
          <w:iCs w:val="0"/>
          <w:caps w:val="0"/>
          <w:color w:val="333333"/>
          <w:spacing w:val="0"/>
          <w:sz w:val="24"/>
          <w:szCs w:val="24"/>
          <w:shd w:val="clear" w:fill="FFFFFF"/>
        </w:rPr>
        <w:t>%；住房保障支出</w:t>
      </w:r>
      <w:r>
        <w:rPr>
          <w:rFonts w:hint="eastAsia" w:ascii="微软雅黑" w:hAnsi="微软雅黑" w:eastAsia="微软雅黑" w:cs="微软雅黑"/>
          <w:i w:val="0"/>
          <w:iCs w:val="0"/>
          <w:caps w:val="0"/>
          <w:color w:val="333333"/>
          <w:spacing w:val="0"/>
          <w:sz w:val="24"/>
          <w:szCs w:val="24"/>
          <w:shd w:val="clear" w:fill="FFFFFF"/>
          <w:lang w:val="en-US" w:eastAsia="zh-CN"/>
        </w:rPr>
        <w:t>36.04</w:t>
      </w:r>
      <w:r>
        <w:rPr>
          <w:rFonts w:ascii="微软雅黑" w:hAnsi="微软雅黑" w:eastAsia="微软雅黑" w:cs="微软雅黑"/>
          <w:i w:val="0"/>
          <w:iCs w:val="0"/>
          <w:caps w:val="0"/>
          <w:color w:val="333333"/>
          <w:spacing w:val="0"/>
          <w:sz w:val="24"/>
          <w:szCs w:val="24"/>
          <w:shd w:val="clear" w:fill="FFFFFF"/>
        </w:rPr>
        <w:t>万元，占</w:t>
      </w:r>
      <w:r>
        <w:rPr>
          <w:rFonts w:hint="eastAsia" w:ascii="微软雅黑" w:hAnsi="微软雅黑" w:eastAsia="微软雅黑" w:cs="微软雅黑"/>
          <w:i w:val="0"/>
          <w:iCs w:val="0"/>
          <w:caps w:val="0"/>
          <w:color w:val="333333"/>
          <w:spacing w:val="0"/>
          <w:sz w:val="24"/>
          <w:szCs w:val="24"/>
          <w:shd w:val="clear" w:fill="FFFFFF"/>
          <w:lang w:val="en-US" w:eastAsia="zh-CN"/>
        </w:rPr>
        <w:t>1.33</w:t>
      </w:r>
      <w:r>
        <w:rPr>
          <w:rFonts w:ascii="微软雅黑" w:hAnsi="微软雅黑" w:eastAsia="微软雅黑" w:cs="微软雅黑"/>
          <w:i w:val="0"/>
          <w:iCs w:val="0"/>
          <w:caps w:val="0"/>
          <w:color w:val="333333"/>
          <w:spacing w:val="0"/>
          <w:sz w:val="24"/>
          <w:szCs w:val="24"/>
          <w:shd w:val="clear" w:fill="FFFFFF"/>
        </w:rPr>
        <w:t>%（数据来源见表</w:t>
      </w:r>
      <w:r>
        <w:rPr>
          <w:rFonts w:hint="eastAsia" w:ascii="微软雅黑" w:hAnsi="微软雅黑" w:eastAsia="微软雅黑" w:cs="微软雅黑"/>
          <w:i w:val="0"/>
          <w:iCs w:val="0"/>
          <w:caps w:val="0"/>
          <w:color w:val="333333"/>
          <w:spacing w:val="0"/>
          <w:sz w:val="24"/>
          <w:szCs w:val="24"/>
          <w:shd w:val="clear" w:fill="FFFFFF"/>
          <w:lang w:val="en-US" w:eastAsia="zh-CN"/>
        </w:rPr>
        <w:t>7</w:t>
      </w:r>
      <w:r>
        <w:rPr>
          <w:rFonts w:ascii="微软雅黑" w:hAnsi="微软雅黑" w:eastAsia="微软雅黑" w:cs="微软雅黑"/>
          <w:i w:val="0"/>
          <w:iCs w:val="0"/>
          <w:caps w:val="0"/>
          <w:color w:val="333333"/>
          <w:spacing w:val="0"/>
          <w:sz w:val="24"/>
          <w:szCs w:val="24"/>
          <w:shd w:val="clear" w:fill="FFFFFF"/>
        </w:rPr>
        <w:t>）。</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cs="仿宋_GB2312"/>
          <w:color w:val="auto"/>
          <w:kern w:val="0"/>
          <w:sz w:val="32"/>
          <w:szCs w:val="32"/>
        </w:rPr>
        <w:t>（一）基本支出</w:t>
      </w:r>
      <w:r>
        <w:rPr>
          <w:rFonts w:hint="eastAsia" w:eastAsia="仿宋_GB2312" w:cs="仿宋_GB2312"/>
          <w:color w:val="auto"/>
          <w:kern w:val="0"/>
          <w:sz w:val="32"/>
          <w:szCs w:val="32"/>
          <w:lang w:eastAsia="zh-CN"/>
        </w:rPr>
        <w:t>：2024年基本支出年初预算数为</w:t>
      </w:r>
      <w:r>
        <w:rPr>
          <w:rFonts w:hint="eastAsia" w:eastAsia="仿宋_GB2312" w:cs="仿宋_GB2312"/>
          <w:color w:val="auto"/>
          <w:kern w:val="0"/>
          <w:sz w:val="32"/>
          <w:szCs w:val="32"/>
          <w:lang w:val="en-US" w:eastAsia="zh-CN"/>
        </w:rPr>
        <w:t>543.51</w:t>
      </w:r>
      <w:r>
        <w:rPr>
          <w:rFonts w:hint="eastAsia" w:eastAsia="仿宋_GB2312" w:cs="仿宋_GB2312"/>
          <w:color w:val="auto"/>
          <w:kern w:val="0"/>
          <w:sz w:val="32"/>
          <w:szCs w:val="32"/>
          <w:lang w:eastAsia="zh-CN"/>
        </w:rPr>
        <w:t>万元</w:t>
      </w:r>
      <w:r>
        <w:rPr>
          <w:rFonts w:hint="eastAsia" w:ascii="Times New Roman" w:hAnsi="Times New Roman"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lang w:val="en-US" w:eastAsia="zh-CN"/>
        </w:rPr>
        <w:t>数据来源</w:t>
      </w:r>
      <w:r>
        <w:rPr>
          <w:rFonts w:hint="eastAsia" w:eastAsia="仿宋_GB2312"/>
          <w:b/>
          <w:bCs/>
          <w:color w:val="auto"/>
          <w:sz w:val="32"/>
          <w:szCs w:val="32"/>
          <w:lang w:val="en-US" w:eastAsia="zh-CN"/>
        </w:rPr>
        <w:t>见表5</w:t>
      </w:r>
      <w:r>
        <w:rPr>
          <w:rFonts w:hint="eastAsia" w:ascii="Times New Roman" w:hAnsi="Times New Roman" w:eastAsia="仿宋_GB2312" w:cs="仿宋_GB2312"/>
          <w:i w:val="0"/>
          <w:iCs w:val="0"/>
          <w:color w:val="auto"/>
          <w:kern w:val="0"/>
          <w:sz w:val="32"/>
          <w:szCs w:val="32"/>
          <w:u w:val="none"/>
          <w:lang w:val="en-US" w:eastAsia="zh-CN"/>
        </w:rPr>
        <w:t>）</w:t>
      </w:r>
      <w:r>
        <w:rPr>
          <w:rFonts w:hint="eastAsia" w:eastAsia="仿宋_GB2312" w:cs="仿宋_GB2312"/>
          <w:color w:val="auto"/>
          <w:kern w:val="0"/>
          <w:sz w:val="32"/>
          <w:szCs w:val="32"/>
          <w:lang w:eastAsia="zh-CN"/>
        </w:rPr>
        <w:t>，是指为保障单位机构正常运转、完成日常工作任务而发生的各项支出，包括用于基本工资、津贴补贴等人员经费以及办公费、印刷费、水电费、差旅费等日常公用经费。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60"/>
        <w:jc w:val="left"/>
        <w:rPr>
          <w:rFonts w:hint="eastAsia" w:eastAsia="仿宋_GB2312"/>
          <w:color w:val="auto"/>
          <w:sz w:val="32"/>
          <w:szCs w:val="32"/>
          <w:lang w:val="en-US" w:eastAsia="zh-CN"/>
        </w:rPr>
      </w:pPr>
      <w:r>
        <w:rPr>
          <w:rFonts w:hint="eastAsia" w:eastAsia="仿宋_GB2312" w:cs="仿宋_GB2312"/>
          <w:color w:val="auto"/>
          <w:kern w:val="0"/>
          <w:sz w:val="32"/>
          <w:szCs w:val="32"/>
        </w:rPr>
        <w:t>（二）项目支出：</w:t>
      </w:r>
      <w:r>
        <w:rPr>
          <w:rFonts w:hint="eastAsia" w:eastAsia="仿宋_GB2312" w:cs="仿宋_GB2312"/>
          <w:color w:val="auto"/>
          <w:kern w:val="0"/>
          <w:sz w:val="32"/>
          <w:szCs w:val="32"/>
          <w:lang w:eastAsia="zh-CN"/>
        </w:rPr>
        <w:t>2024年</w:t>
      </w:r>
      <w:r>
        <w:rPr>
          <w:rFonts w:hint="eastAsia" w:eastAsia="仿宋_GB2312" w:cs="仿宋_GB2312"/>
          <w:color w:val="auto"/>
          <w:kern w:val="0"/>
          <w:sz w:val="32"/>
          <w:szCs w:val="32"/>
        </w:rPr>
        <w:t>项目支出年初预算数为</w:t>
      </w:r>
      <w:r>
        <w:rPr>
          <w:rFonts w:hint="eastAsia" w:eastAsia="仿宋_GB2312" w:cs="仿宋_GB2312"/>
          <w:color w:val="auto"/>
          <w:kern w:val="0"/>
          <w:sz w:val="32"/>
          <w:szCs w:val="32"/>
          <w:lang w:val="en-US" w:eastAsia="zh-CN"/>
        </w:rPr>
        <w:t>2170.59</w:t>
      </w:r>
      <w:r>
        <w:rPr>
          <w:rFonts w:hint="eastAsia" w:eastAsia="仿宋_GB2312" w:cs="仿宋_GB2312"/>
          <w:color w:val="auto"/>
          <w:kern w:val="0"/>
          <w:sz w:val="32"/>
          <w:szCs w:val="32"/>
        </w:rPr>
        <w:t>万元</w:t>
      </w:r>
      <w:r>
        <w:rPr>
          <w:rFonts w:hint="eastAsia" w:ascii="Times New Roman" w:hAnsi="Times New Roman"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lang w:val="en-US" w:eastAsia="zh-CN"/>
        </w:rPr>
        <w:t>数据来源</w:t>
      </w:r>
      <w:r>
        <w:rPr>
          <w:rFonts w:hint="eastAsia" w:eastAsia="仿宋_GB2312"/>
          <w:b/>
          <w:bCs/>
          <w:color w:val="auto"/>
          <w:sz w:val="32"/>
          <w:szCs w:val="32"/>
          <w:lang w:val="en-US" w:eastAsia="zh-CN"/>
        </w:rPr>
        <w:t>见表5</w:t>
      </w:r>
      <w:r>
        <w:rPr>
          <w:rFonts w:hint="eastAsia" w:ascii="Times New Roman" w:hAnsi="Times New Roman" w:eastAsia="仿宋_GB2312" w:cs="仿宋_GB2312"/>
          <w:i w:val="0"/>
          <w:iCs w:val="0"/>
          <w:color w:val="auto"/>
          <w:kern w:val="0"/>
          <w:sz w:val="32"/>
          <w:szCs w:val="32"/>
          <w:u w:val="none"/>
          <w:lang w:val="en-US" w:eastAsia="zh-CN"/>
        </w:rPr>
        <w:t>）</w:t>
      </w:r>
      <w:r>
        <w:rPr>
          <w:rFonts w:hint="eastAsia" w:eastAsia="仿宋_GB2312" w:cs="仿宋_GB2312"/>
          <w:color w:val="auto"/>
          <w:kern w:val="0"/>
          <w:sz w:val="32"/>
          <w:szCs w:val="32"/>
        </w:rPr>
        <w:t>，是指</w:t>
      </w:r>
      <w:r>
        <w:rPr>
          <w:rFonts w:hint="eastAsia" w:eastAsia="仿宋_GB2312" w:cs="仿宋_GB2312"/>
          <w:color w:val="auto"/>
          <w:kern w:val="0"/>
          <w:sz w:val="32"/>
          <w:szCs w:val="32"/>
          <w:lang w:eastAsia="zh-CN"/>
        </w:rPr>
        <w:t>单位</w:t>
      </w:r>
      <w:r>
        <w:rPr>
          <w:rFonts w:hint="eastAsia" w:eastAsia="仿宋_GB2312" w:cs="仿宋_GB2312"/>
          <w:color w:val="auto"/>
          <w:kern w:val="0"/>
          <w:sz w:val="32"/>
          <w:szCs w:val="32"/>
        </w:rPr>
        <w:t>为完成特定行政工作任务或事业发展目标而发生的支出，包括有关业务工作经费</w:t>
      </w:r>
      <w:r>
        <w:rPr>
          <w:rFonts w:hint="eastAsia" w:eastAsia="仿宋_GB2312"/>
          <w:color w:val="auto"/>
          <w:sz w:val="32"/>
          <w:szCs w:val="32"/>
          <w:lang w:eastAsia="zh-CN"/>
        </w:rPr>
        <w:t>、</w:t>
      </w:r>
      <w:r>
        <w:rPr>
          <w:rFonts w:hint="eastAsia" w:eastAsia="仿宋_GB2312"/>
          <w:color w:val="auto"/>
          <w:sz w:val="32"/>
          <w:szCs w:val="32"/>
        </w:rPr>
        <w:t>运行维护经费</w:t>
      </w:r>
      <w:r>
        <w:rPr>
          <w:rFonts w:hint="eastAsia" w:eastAsia="仿宋_GB2312"/>
          <w:color w:val="auto"/>
          <w:sz w:val="32"/>
          <w:szCs w:val="32"/>
          <w:lang w:val="en-US" w:eastAsia="zh-CN"/>
        </w:rPr>
        <w:t>等</w:t>
      </w:r>
      <w:r>
        <w:rPr>
          <w:rFonts w:hint="eastAsia" w:eastAsia="仿宋_GB2312"/>
          <w:color w:val="auto"/>
          <w:sz w:val="32"/>
          <w:szCs w:val="32"/>
        </w:rPr>
        <w:t>。其中：其中：办公费4.5万元，主要用于弥补局机关办公经费不足；城管执法专项经费</w:t>
      </w:r>
      <w:r>
        <w:rPr>
          <w:rFonts w:hint="eastAsia" w:eastAsia="仿宋_GB2312"/>
          <w:color w:val="auto"/>
          <w:sz w:val="32"/>
          <w:szCs w:val="32"/>
          <w:lang w:val="en-US" w:eastAsia="zh-CN"/>
        </w:rPr>
        <w:t>425.4</w:t>
      </w:r>
      <w:r>
        <w:rPr>
          <w:rFonts w:hint="eastAsia" w:eastAsia="仿宋_GB2312"/>
          <w:color w:val="auto"/>
          <w:sz w:val="32"/>
          <w:szCs w:val="32"/>
        </w:rPr>
        <w:t>万元，主要用于解决城管执法协管人员工作经费；城市综合管理</w:t>
      </w:r>
      <w:r>
        <w:rPr>
          <w:rFonts w:hint="eastAsia" w:eastAsia="仿宋_GB2312"/>
          <w:color w:val="auto"/>
          <w:sz w:val="32"/>
          <w:szCs w:val="32"/>
          <w:lang w:val="en-US" w:eastAsia="zh-CN"/>
        </w:rPr>
        <w:t>180</w:t>
      </w:r>
      <w:r>
        <w:rPr>
          <w:rFonts w:hint="eastAsia" w:eastAsia="仿宋_GB2312"/>
          <w:color w:val="auto"/>
          <w:sz w:val="32"/>
          <w:szCs w:val="32"/>
        </w:rPr>
        <w:t>万元，主要用于城市综合管理经费、侵占道路等管理经费；城管执法</w:t>
      </w:r>
      <w:r>
        <w:rPr>
          <w:rFonts w:hint="eastAsia" w:eastAsia="仿宋_GB2312"/>
          <w:color w:val="auto"/>
          <w:sz w:val="32"/>
          <w:szCs w:val="32"/>
          <w:lang w:eastAsia="zh-CN"/>
        </w:rPr>
        <w:t>其他管理</w:t>
      </w:r>
      <w:r>
        <w:rPr>
          <w:rFonts w:hint="eastAsia" w:eastAsia="仿宋_GB2312"/>
          <w:color w:val="auto"/>
          <w:sz w:val="32"/>
          <w:szCs w:val="32"/>
        </w:rPr>
        <w:t>经费</w:t>
      </w:r>
      <w:r>
        <w:rPr>
          <w:rFonts w:hint="eastAsia" w:eastAsia="仿宋_GB2312"/>
          <w:color w:val="auto"/>
          <w:sz w:val="32"/>
          <w:szCs w:val="32"/>
          <w:lang w:val="en-US" w:eastAsia="zh-CN"/>
        </w:rPr>
        <w:t>1056.69</w:t>
      </w:r>
      <w:r>
        <w:rPr>
          <w:rFonts w:hint="eastAsia" w:eastAsia="仿宋_GB2312"/>
          <w:color w:val="auto"/>
          <w:sz w:val="32"/>
          <w:szCs w:val="32"/>
        </w:rPr>
        <w:t>万元，主要用于</w:t>
      </w:r>
      <w:r>
        <w:rPr>
          <w:rFonts w:hint="eastAsia" w:eastAsia="仿宋_GB2312"/>
          <w:color w:val="auto"/>
          <w:sz w:val="32"/>
          <w:szCs w:val="32"/>
          <w:lang w:eastAsia="zh-CN"/>
        </w:rPr>
        <w:t>城市管理</w:t>
      </w:r>
      <w:r>
        <w:rPr>
          <w:rFonts w:hint="eastAsia" w:eastAsia="仿宋_GB2312"/>
          <w:color w:val="auto"/>
          <w:sz w:val="32"/>
          <w:szCs w:val="32"/>
        </w:rPr>
        <w:t>经费；城区环境卫生227万元，主要用于城市市容环境卫生日常管理和环卫基础设施管理经费；城区环境执法</w:t>
      </w:r>
      <w:r>
        <w:rPr>
          <w:rFonts w:hint="eastAsia" w:eastAsia="仿宋_GB2312"/>
          <w:color w:val="auto"/>
          <w:sz w:val="32"/>
          <w:szCs w:val="32"/>
          <w:lang w:val="en-US" w:eastAsia="zh-CN"/>
        </w:rPr>
        <w:t>120</w:t>
      </w:r>
      <w:r>
        <w:rPr>
          <w:rFonts w:hint="eastAsia" w:eastAsia="仿宋_GB2312"/>
          <w:color w:val="auto"/>
          <w:sz w:val="32"/>
          <w:szCs w:val="32"/>
        </w:rPr>
        <w:t>万元，主要用于城区生活污染、建筑施工扬尘污染、环境保护管理和执法工作经费；风景园林建设养护</w:t>
      </w:r>
      <w:r>
        <w:rPr>
          <w:rFonts w:hint="eastAsia" w:eastAsia="仿宋_GB2312"/>
          <w:color w:val="auto"/>
          <w:sz w:val="32"/>
          <w:szCs w:val="32"/>
          <w:lang w:val="en-US" w:eastAsia="zh-CN"/>
        </w:rPr>
        <w:t>53</w:t>
      </w:r>
      <w:r>
        <w:rPr>
          <w:rFonts w:hint="eastAsia" w:eastAsia="仿宋_GB2312"/>
          <w:color w:val="auto"/>
          <w:sz w:val="32"/>
          <w:szCs w:val="32"/>
        </w:rPr>
        <w:t>万元, 主要用于城区园林绿化维护的日常管理工作； 城市公园广场维护</w:t>
      </w:r>
      <w:r>
        <w:rPr>
          <w:rFonts w:hint="eastAsia" w:eastAsia="仿宋_GB2312"/>
          <w:color w:val="auto"/>
          <w:sz w:val="32"/>
          <w:szCs w:val="32"/>
          <w:lang w:val="en-US" w:eastAsia="zh-CN"/>
        </w:rPr>
        <w:t>79</w:t>
      </w:r>
      <w:r>
        <w:rPr>
          <w:rFonts w:hint="eastAsia" w:eastAsia="仿宋_GB2312"/>
          <w:color w:val="auto"/>
          <w:sz w:val="32"/>
          <w:szCs w:val="32"/>
        </w:rPr>
        <w:t>万元，主要用于县城公园广场、公用公园等公园广场管理；燃气行业综合管理经费5万元。主要用于规范与管理城市供气和燃气市场管理</w:t>
      </w:r>
      <w:r>
        <w:rPr>
          <w:rFonts w:hint="eastAsia" w:eastAsia="仿宋_GB2312"/>
          <w:color w:val="auto"/>
          <w:sz w:val="32"/>
          <w:szCs w:val="32"/>
          <w:lang w:eastAsia="zh-CN"/>
        </w:rPr>
        <w:t>；中央隔离护栏防护费</w:t>
      </w:r>
      <w:r>
        <w:rPr>
          <w:rFonts w:hint="eastAsia" w:eastAsia="仿宋_GB2312"/>
          <w:color w:val="auto"/>
          <w:sz w:val="32"/>
          <w:szCs w:val="32"/>
          <w:lang w:val="en-US" w:eastAsia="zh-CN"/>
        </w:rPr>
        <w:t>20万元，主要用于城区隔离护栏维护养护经费</w:t>
      </w:r>
      <w:r>
        <w:rPr>
          <w:rFonts w:hint="eastAsia" w:eastAsia="仿宋_GB2312"/>
          <w:color w:val="auto"/>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480" w:firstLineChars="200"/>
        <w:textAlignment w:val="auto"/>
        <w:rPr>
          <w:rFonts w:hint="eastAsia" w:eastAsia="仿宋_GB2312" w:cs="仿宋_GB2312"/>
          <w:kern w:val="0"/>
          <w:sz w:val="32"/>
          <w:szCs w:val="32"/>
        </w:rPr>
      </w:pPr>
      <w:r>
        <w:rPr>
          <w:rFonts w:ascii="微软雅黑" w:hAnsi="微软雅黑" w:eastAsia="微软雅黑" w:cs="微软雅黑"/>
          <w:i w:val="0"/>
          <w:iCs w:val="0"/>
          <w:caps w:val="0"/>
          <w:color w:val="333333"/>
          <w:spacing w:val="0"/>
          <w:sz w:val="24"/>
          <w:szCs w:val="24"/>
          <w:shd w:val="clear" w:fill="FFFFFF"/>
        </w:rPr>
        <w:t>　</w:t>
      </w:r>
      <w:r>
        <w:rPr>
          <w:rFonts w:hint="eastAsia" w:eastAsia="仿宋_GB2312" w:cs="仿宋_GB2312"/>
          <w:kern w:val="0"/>
          <w:sz w:val="32"/>
          <w:szCs w:val="32"/>
        </w:rPr>
        <w:t>2024年政府性基金预算拨款支出预算0万元（ 2024年度本单位无政府性基金安排的支出，所以公开的附件16-18（政府性基金预算）为空。）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eastAsia="仿宋_GB2312" w:cs="仿宋_GB2312"/>
          <w:kern w:val="0"/>
          <w:sz w:val="32"/>
          <w:szCs w:val="32"/>
        </w:rPr>
      </w:pPr>
      <w:r>
        <w:rPr>
          <w:rFonts w:hint="eastAsia" w:ascii="楷体_GB2312" w:hAnsi="楷体_GB2312" w:eastAsia="楷体_GB2312" w:cs="楷体_GB2312"/>
          <w:b/>
          <w:bCs/>
          <w:kern w:val="0"/>
          <w:sz w:val="32"/>
          <w:szCs w:val="32"/>
        </w:rPr>
        <w:t>（</w:t>
      </w:r>
      <w:r>
        <w:rPr>
          <w:rFonts w:hint="eastAsia" w:eastAsia="仿宋_GB2312" w:cs="仿宋_GB2312"/>
          <w:kern w:val="0"/>
          <w:sz w:val="32"/>
          <w:szCs w:val="32"/>
        </w:rPr>
        <w:t>一）机关运行经费本单位2024年机关运行经费当年一般公共预算拨款</w:t>
      </w:r>
      <w:r>
        <w:rPr>
          <w:rFonts w:hint="eastAsia" w:eastAsia="仿宋_GB2312" w:cs="仿宋_GB2312"/>
          <w:kern w:val="0"/>
          <w:sz w:val="32"/>
          <w:szCs w:val="32"/>
          <w:lang w:val="en-US" w:eastAsia="zh-CN"/>
        </w:rPr>
        <w:t>59.63</w:t>
      </w:r>
      <w:r>
        <w:rPr>
          <w:rFonts w:hint="eastAsia" w:eastAsia="仿宋_GB2312" w:cs="仿宋_GB2312"/>
          <w:kern w:val="0"/>
          <w:sz w:val="32"/>
          <w:szCs w:val="32"/>
        </w:rPr>
        <w:t>万元（数据来源见表14</w:t>
      </w:r>
      <w:r>
        <w:rPr>
          <w:rFonts w:hint="eastAsia" w:eastAsia="仿宋_GB2312" w:cs="仿宋_GB2312"/>
          <w:kern w:val="0"/>
          <w:sz w:val="32"/>
          <w:szCs w:val="32"/>
          <w:lang w:eastAsia="zh-CN"/>
        </w:rPr>
        <w:t>）</w:t>
      </w:r>
      <w:r>
        <w:rPr>
          <w:rFonts w:hint="eastAsia" w:eastAsia="仿宋_GB2312" w:cs="仿宋_GB2312"/>
          <w:kern w:val="0"/>
          <w:sz w:val="32"/>
          <w:szCs w:val="32"/>
        </w:rPr>
        <w:t>，</w:t>
      </w:r>
      <w:r>
        <w:rPr>
          <w:rFonts w:hint="eastAsia" w:eastAsia="仿宋_GB2312" w:cs="仿宋_GB2312"/>
          <w:kern w:val="0"/>
          <w:sz w:val="32"/>
          <w:szCs w:val="32"/>
          <w:lang w:eastAsia="zh-CN"/>
        </w:rPr>
        <w:t>其</w:t>
      </w:r>
      <w:r>
        <w:rPr>
          <w:rFonts w:hint="eastAsia" w:eastAsia="仿宋_GB2312" w:cs="仿宋_GB2312"/>
          <w:kern w:val="0"/>
          <w:sz w:val="32"/>
          <w:szCs w:val="32"/>
        </w:rPr>
        <w:t>中公用经费</w:t>
      </w:r>
      <w:r>
        <w:rPr>
          <w:rFonts w:hint="eastAsia" w:eastAsia="仿宋_GB2312" w:cs="仿宋_GB2312"/>
          <w:kern w:val="0"/>
          <w:sz w:val="32"/>
          <w:szCs w:val="32"/>
          <w:lang w:val="en-US" w:eastAsia="zh-CN"/>
        </w:rPr>
        <w:t>59.63</w:t>
      </w:r>
      <w:r>
        <w:rPr>
          <w:rFonts w:hint="eastAsia" w:eastAsia="仿宋_GB2312" w:cs="仿宋_GB2312"/>
          <w:kern w:val="0"/>
          <w:sz w:val="32"/>
          <w:szCs w:val="32"/>
        </w:rPr>
        <w:t>万元包含工作人员公务交通补贴</w:t>
      </w:r>
      <w:r>
        <w:rPr>
          <w:rFonts w:hint="eastAsia" w:eastAsia="仿宋_GB2312" w:cs="仿宋_GB2312"/>
          <w:kern w:val="0"/>
          <w:sz w:val="32"/>
          <w:szCs w:val="32"/>
          <w:lang w:val="en-US" w:eastAsia="zh-CN"/>
        </w:rPr>
        <w:t>33.17</w:t>
      </w:r>
      <w:r>
        <w:rPr>
          <w:rFonts w:hint="eastAsia" w:eastAsia="仿宋_GB2312" w:cs="仿宋_GB2312"/>
          <w:kern w:val="0"/>
          <w:sz w:val="32"/>
          <w:szCs w:val="32"/>
        </w:rPr>
        <w:t xml:space="preserve">万元和机关运行经费 </w:t>
      </w:r>
      <w:r>
        <w:rPr>
          <w:rFonts w:hint="eastAsia" w:eastAsia="仿宋_GB2312" w:cs="仿宋_GB2312"/>
          <w:kern w:val="0"/>
          <w:sz w:val="32"/>
          <w:szCs w:val="32"/>
          <w:lang w:val="en-US" w:eastAsia="zh-CN"/>
        </w:rPr>
        <w:t>26.46</w:t>
      </w:r>
      <w:r>
        <w:rPr>
          <w:rFonts w:hint="eastAsia" w:eastAsia="仿宋_GB2312" w:cs="仿宋_GB2312"/>
          <w:kern w:val="0"/>
          <w:sz w:val="32"/>
          <w:szCs w:val="32"/>
        </w:rPr>
        <w:t>万元），比上年</w:t>
      </w:r>
      <w:r>
        <w:rPr>
          <w:rFonts w:hint="eastAsia" w:eastAsia="仿宋_GB2312" w:cs="仿宋_GB2312"/>
          <w:kern w:val="0"/>
          <w:sz w:val="32"/>
          <w:szCs w:val="32"/>
          <w:lang w:eastAsia="zh-CN"/>
        </w:rPr>
        <w:t>增加</w:t>
      </w:r>
      <w:r>
        <w:rPr>
          <w:rFonts w:hint="eastAsia" w:eastAsia="仿宋_GB2312" w:cs="仿宋_GB2312"/>
          <w:kern w:val="0"/>
          <w:sz w:val="32"/>
          <w:szCs w:val="32"/>
          <w:lang w:val="en-US" w:eastAsia="zh-CN"/>
        </w:rPr>
        <w:t>7.73</w:t>
      </w:r>
      <w:r>
        <w:rPr>
          <w:rFonts w:hint="eastAsia" w:eastAsia="仿宋_GB2312" w:cs="仿宋_GB2312"/>
          <w:kern w:val="0"/>
          <w:sz w:val="32"/>
          <w:szCs w:val="32"/>
        </w:rPr>
        <w:t>万元，</w:t>
      </w:r>
      <w:r>
        <w:rPr>
          <w:rFonts w:hint="eastAsia" w:eastAsia="仿宋_GB2312" w:cs="仿宋_GB2312"/>
          <w:kern w:val="0"/>
          <w:sz w:val="32"/>
          <w:szCs w:val="32"/>
          <w:lang w:eastAsia="zh-CN"/>
        </w:rPr>
        <w:t>增加</w:t>
      </w:r>
      <w:r>
        <w:rPr>
          <w:rFonts w:hint="eastAsia" w:eastAsia="仿宋_GB2312" w:cs="仿宋_GB2312"/>
          <w:kern w:val="0"/>
          <w:sz w:val="32"/>
          <w:szCs w:val="32"/>
          <w:lang w:val="en-US" w:eastAsia="zh-CN"/>
        </w:rPr>
        <w:t>14.89</w:t>
      </w:r>
      <w:r>
        <w:rPr>
          <w:rFonts w:hint="eastAsia" w:eastAsia="仿宋_GB2312" w:cs="仿宋_GB2312"/>
          <w:kern w:val="0"/>
          <w:sz w:val="32"/>
          <w:szCs w:val="32"/>
        </w:rPr>
        <w:t>%。主要原因是</w:t>
      </w:r>
      <w:r>
        <w:rPr>
          <w:rFonts w:hint="eastAsia" w:eastAsia="仿宋_GB2312" w:cs="仿宋_GB2312"/>
          <w:kern w:val="0"/>
          <w:sz w:val="32"/>
          <w:szCs w:val="32"/>
          <w:lang w:eastAsia="zh-CN"/>
        </w:rPr>
        <w:t>规划监察大队整体划转后部分人员留局机关导致费用增加</w:t>
      </w:r>
      <w:r>
        <w:rPr>
          <w:rFonts w:hint="eastAsia" w:eastAsia="仿宋_GB2312" w:cs="仿宋_GB2312"/>
          <w:kern w:val="0"/>
          <w:sz w:val="32"/>
          <w:szCs w:val="32"/>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r>
        <w:rPr>
          <w:rFonts w:ascii="微软雅黑" w:hAnsi="微软雅黑" w:eastAsia="微软雅黑" w:cs="微软雅黑"/>
          <w:i w:val="0"/>
          <w:iCs w:val="0"/>
          <w:caps w:val="0"/>
          <w:color w:val="333333"/>
          <w:spacing w:val="0"/>
          <w:sz w:val="24"/>
          <w:szCs w:val="24"/>
          <w:shd w:val="clear" w:fill="FFFFFF"/>
        </w:rPr>
        <w:t>　本单位2024年“三公”经费预算数</w:t>
      </w:r>
      <w:r>
        <w:rPr>
          <w:rFonts w:hint="eastAsia" w:ascii="微软雅黑" w:hAnsi="微软雅黑" w:eastAsia="微软雅黑" w:cs="微软雅黑"/>
          <w:i w:val="0"/>
          <w:iCs w:val="0"/>
          <w:caps w:val="0"/>
          <w:color w:val="333333"/>
          <w:spacing w:val="0"/>
          <w:sz w:val="24"/>
          <w:szCs w:val="24"/>
          <w:shd w:val="clear" w:fill="FFFFFF"/>
          <w:lang w:val="en-US" w:eastAsia="zh-CN"/>
        </w:rPr>
        <w:t>0.5</w:t>
      </w:r>
      <w:r>
        <w:rPr>
          <w:rFonts w:ascii="微软雅黑" w:hAnsi="微软雅黑" w:eastAsia="微软雅黑" w:cs="微软雅黑"/>
          <w:i w:val="0"/>
          <w:iCs w:val="0"/>
          <w:caps w:val="0"/>
          <w:color w:val="333333"/>
          <w:spacing w:val="0"/>
          <w:sz w:val="24"/>
          <w:szCs w:val="24"/>
          <w:shd w:val="clear" w:fill="FFFFFF"/>
        </w:rPr>
        <w:t>万元，其中，公务接待费</w:t>
      </w:r>
      <w:r>
        <w:rPr>
          <w:rFonts w:hint="eastAsia" w:ascii="微软雅黑" w:hAnsi="微软雅黑" w:eastAsia="微软雅黑" w:cs="微软雅黑"/>
          <w:i w:val="0"/>
          <w:iCs w:val="0"/>
          <w:caps w:val="0"/>
          <w:color w:val="333333"/>
          <w:spacing w:val="0"/>
          <w:sz w:val="24"/>
          <w:szCs w:val="24"/>
          <w:shd w:val="clear" w:fill="FFFFFF"/>
          <w:lang w:val="en-US" w:eastAsia="zh-CN"/>
        </w:rPr>
        <w:t>0.5</w:t>
      </w:r>
      <w:r>
        <w:rPr>
          <w:rFonts w:ascii="微软雅黑" w:hAnsi="微软雅黑" w:eastAsia="微软雅黑" w:cs="微软雅黑"/>
          <w:i w:val="0"/>
          <w:iCs w:val="0"/>
          <w:caps w:val="0"/>
          <w:color w:val="333333"/>
          <w:spacing w:val="0"/>
          <w:sz w:val="24"/>
          <w:szCs w:val="24"/>
          <w:shd w:val="clear" w:fill="FFFFFF"/>
        </w:rPr>
        <w:t>万元，因公出国（境）费0万元，公务用车购置及运行费0万元，其中公务用车购置费0万元，公务用车运行费0万元。</w:t>
      </w:r>
      <w:r>
        <w:rPr>
          <w:rFonts w:hint="eastAsia" w:ascii="微软雅黑" w:hAnsi="微软雅黑" w:eastAsia="微软雅黑" w:cs="微软雅黑"/>
          <w:i w:val="0"/>
          <w:iCs w:val="0"/>
          <w:caps w:val="0"/>
          <w:color w:val="333333"/>
          <w:spacing w:val="0"/>
          <w:sz w:val="24"/>
          <w:szCs w:val="24"/>
          <w:shd w:val="clear" w:fill="FFFFFF"/>
          <w:lang w:eastAsia="zh-CN"/>
        </w:rPr>
        <w:t>与上年持平</w:t>
      </w:r>
      <w:r>
        <w:rPr>
          <w:rFonts w:ascii="微软雅黑" w:hAnsi="微软雅黑" w:eastAsia="微软雅黑" w:cs="微软雅黑"/>
          <w:i w:val="0"/>
          <w:iCs w:val="0"/>
          <w:caps w:val="0"/>
          <w:color w:val="333333"/>
          <w:spacing w:val="0"/>
          <w:sz w:val="24"/>
          <w:szCs w:val="24"/>
          <w:shd w:val="clear" w:fill="FFFFFF"/>
        </w:rPr>
        <w:t>比上一年增加</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ascii="微软雅黑" w:hAnsi="微软雅黑" w:eastAsia="微软雅黑" w:cs="微软雅黑"/>
          <w:i w:val="0"/>
          <w:iCs w:val="0"/>
          <w:caps w:val="0"/>
          <w:color w:val="333333"/>
          <w:spacing w:val="0"/>
          <w:sz w:val="24"/>
          <w:szCs w:val="24"/>
          <w:shd w:val="clear" w:fill="FFFFFF"/>
        </w:rPr>
        <w:t>万元，增加</w:t>
      </w:r>
      <w:r>
        <w:rPr>
          <w:rFonts w:hint="eastAsia" w:ascii="微软雅黑" w:hAnsi="微软雅黑" w:eastAsia="微软雅黑" w:cs="微软雅黑"/>
          <w:i w:val="0"/>
          <w:iCs w:val="0"/>
          <w:caps w:val="0"/>
          <w:color w:val="333333"/>
          <w:spacing w:val="0"/>
          <w:sz w:val="24"/>
          <w:szCs w:val="24"/>
          <w:shd w:val="clear" w:fill="FFFFFF"/>
          <w:lang w:val="en-US" w:eastAsia="zh-CN"/>
        </w:rPr>
        <w:t>0</w:t>
      </w:r>
      <w:r>
        <w:rPr>
          <w:rFonts w:ascii="微软雅黑" w:hAnsi="微软雅黑" w:eastAsia="微软雅黑" w:cs="微软雅黑"/>
          <w:i w:val="0"/>
          <w:iCs w:val="0"/>
          <w:caps w:val="0"/>
          <w:color w:val="333333"/>
          <w:spacing w:val="0"/>
          <w:sz w:val="24"/>
          <w:szCs w:val="24"/>
          <w:shd w:val="clear" w:fill="FFFFFF"/>
        </w:rPr>
        <w:t>%，主要原因是</w:t>
      </w:r>
      <w:r>
        <w:rPr>
          <w:rFonts w:hint="eastAsia" w:ascii="微软雅黑" w:hAnsi="微软雅黑" w:eastAsia="微软雅黑" w:cs="微软雅黑"/>
          <w:i w:val="0"/>
          <w:iCs w:val="0"/>
          <w:caps w:val="0"/>
          <w:color w:val="333333"/>
          <w:spacing w:val="0"/>
          <w:sz w:val="24"/>
          <w:szCs w:val="24"/>
          <w:shd w:val="clear" w:fill="FFFFFF"/>
          <w:lang w:eastAsia="zh-CN"/>
        </w:rPr>
        <w:t>本单位节约原则一般公务用餐在食堂招待</w:t>
      </w:r>
      <w:r>
        <w:rPr>
          <w:rFonts w:ascii="微软雅黑" w:hAnsi="微软雅黑" w:eastAsia="微软雅黑" w:cs="微软雅黑"/>
          <w:i w:val="0"/>
          <w:iCs w:val="0"/>
          <w:caps w:val="0"/>
          <w:color w:val="333333"/>
          <w:spacing w:val="0"/>
          <w:sz w:val="24"/>
          <w:szCs w:val="24"/>
          <w:shd w:val="clear" w:fill="FFFFFF"/>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color w:val="auto"/>
          <w:kern w:val="0"/>
          <w:sz w:val="32"/>
          <w:szCs w:val="32"/>
          <w:u w:val="none"/>
          <w:lang w:eastAsia="zh-CN"/>
        </w:rPr>
      </w:pPr>
      <w:r>
        <w:rPr>
          <w:rFonts w:hint="eastAsia" w:eastAsia="仿宋_GB2312" w:cs="仿宋_GB2312"/>
          <w:color w:val="auto"/>
          <w:kern w:val="0"/>
          <w:sz w:val="32"/>
          <w:szCs w:val="32"/>
          <w:lang w:eastAsia="zh-CN"/>
        </w:rPr>
        <w:t>本单位2024年会议费预算</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万元</w:t>
      </w:r>
      <w:r>
        <w:rPr>
          <w:rFonts w:hint="eastAsia" w:ascii="Times New Roman" w:hAnsi="Times New Roman"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lang w:val="en-US" w:eastAsia="zh-CN"/>
        </w:rPr>
        <w:t>数据来源</w:t>
      </w:r>
      <w:r>
        <w:rPr>
          <w:rFonts w:hint="eastAsia" w:eastAsia="仿宋_GB2312"/>
          <w:b/>
          <w:bCs/>
          <w:color w:val="auto"/>
          <w:sz w:val="32"/>
          <w:szCs w:val="32"/>
          <w:lang w:val="en-US" w:eastAsia="zh-CN"/>
        </w:rPr>
        <w:t>见表14会议费+培训费</w:t>
      </w:r>
      <w:r>
        <w:rPr>
          <w:rFonts w:hint="eastAsia" w:ascii="Times New Roman" w:hAnsi="Times New Roman" w:eastAsia="仿宋_GB2312" w:cs="仿宋_GB2312"/>
          <w:i w:val="0"/>
          <w:iCs w:val="0"/>
          <w:color w:val="auto"/>
          <w:kern w:val="0"/>
          <w:sz w:val="32"/>
          <w:szCs w:val="32"/>
          <w:u w:val="none"/>
          <w:lang w:val="en-US" w:eastAsia="zh-CN"/>
        </w:rPr>
        <w:t>）</w:t>
      </w:r>
      <w:r>
        <w:rPr>
          <w:rFonts w:hint="eastAsia" w:eastAsia="仿宋_GB2312" w:cs="仿宋_GB2312"/>
          <w:color w:val="auto"/>
          <w:kern w:val="0"/>
          <w:sz w:val="32"/>
          <w:szCs w:val="32"/>
          <w:lang w:eastAsia="zh-CN"/>
        </w:rPr>
        <w:t>，拟召开</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次会议，人数</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人；培训费预算</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万元，拟开展</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次培训，人数</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人</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；计划举办节庆、晚会、论坛、赛事活动</w:t>
      </w:r>
      <w:r>
        <w:rPr>
          <w:rFonts w:hint="eastAsia" w:eastAsia="仿宋_GB2312" w:cs="仿宋_GB2312"/>
          <w:color w:val="auto"/>
          <w:kern w:val="0"/>
          <w:sz w:val="32"/>
          <w:szCs w:val="32"/>
          <w:lang w:val="en-US" w:eastAsia="zh-CN"/>
        </w:rPr>
        <w:t>0万元0。</w:t>
      </w:r>
      <w:r>
        <w:rPr>
          <w:rFonts w:hint="eastAsia" w:eastAsia="仿宋_GB2312" w:cs="仿宋_GB2312"/>
          <w:color w:val="auto"/>
          <w:kern w:val="0"/>
          <w:sz w:val="32"/>
          <w:szCs w:val="32"/>
          <w:u w:val="none"/>
          <w:lang w:val="en-US" w:eastAsia="zh-CN"/>
        </w:rPr>
        <w:t>2024年度本单位</w:t>
      </w:r>
      <w:r>
        <w:rPr>
          <w:rFonts w:hint="eastAsia" w:eastAsia="仿宋_GB2312"/>
          <w:color w:val="auto"/>
          <w:kern w:val="0"/>
          <w:sz w:val="32"/>
          <w:szCs w:val="32"/>
          <w:u w:val="none"/>
          <w:lang w:eastAsia="zh-CN"/>
        </w:rPr>
        <w:t>未计划</w:t>
      </w:r>
      <w:r>
        <w:rPr>
          <w:rFonts w:hint="eastAsia" w:eastAsia="仿宋_GB2312"/>
          <w:color w:val="auto"/>
          <w:kern w:val="0"/>
          <w:sz w:val="32"/>
          <w:szCs w:val="32"/>
          <w:u w:val="none"/>
          <w:lang w:val="en-US" w:eastAsia="zh-CN"/>
        </w:rPr>
        <w:t>安排会议、培训，未计划</w:t>
      </w:r>
      <w:r>
        <w:rPr>
          <w:rFonts w:hint="eastAsia" w:eastAsia="仿宋_GB2312"/>
          <w:color w:val="auto"/>
          <w:kern w:val="0"/>
          <w:sz w:val="32"/>
          <w:szCs w:val="32"/>
          <w:u w:val="none"/>
          <w:lang w:eastAsia="zh-CN"/>
        </w:rPr>
        <w:t>举办</w:t>
      </w:r>
      <w:r>
        <w:rPr>
          <w:rFonts w:hint="eastAsia" w:eastAsia="仿宋_GB2312"/>
          <w:color w:val="auto"/>
          <w:kern w:val="0"/>
          <w:sz w:val="32"/>
          <w:szCs w:val="32"/>
          <w:u w:val="none"/>
        </w:rPr>
        <w:t>节庆、晚会、</w:t>
      </w:r>
      <w:r>
        <w:rPr>
          <w:rFonts w:eastAsia="仿宋_GB2312"/>
          <w:color w:val="auto"/>
          <w:kern w:val="0"/>
          <w:sz w:val="32"/>
          <w:szCs w:val="32"/>
          <w:u w:val="none"/>
        </w:rPr>
        <w:t>论坛、赛事</w:t>
      </w:r>
      <w:r>
        <w:rPr>
          <w:rFonts w:hint="eastAsia" w:eastAsia="仿宋_GB2312"/>
          <w:color w:val="auto"/>
          <w:kern w:val="0"/>
          <w:sz w:val="32"/>
          <w:szCs w:val="32"/>
          <w:u w:val="none"/>
        </w:rPr>
        <w:t>活动</w:t>
      </w:r>
      <w:r>
        <w:rPr>
          <w:rFonts w:hint="eastAsia" w:eastAsia="仿宋_GB2312"/>
          <w:color w:val="auto"/>
          <w:kern w:val="0"/>
          <w:sz w:val="32"/>
          <w:szCs w:val="32"/>
          <w:u w:val="none"/>
          <w:lang w:eastAsia="zh-CN"/>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lang w:eastAsia="zh-CN"/>
        </w:rPr>
      </w:pPr>
      <w:r>
        <w:rPr>
          <w:rFonts w:hint="eastAsia" w:eastAsia="仿宋_GB2312" w:cs="仿宋_GB2312"/>
          <w:color w:val="auto"/>
          <w:kern w:val="0"/>
          <w:sz w:val="32"/>
          <w:szCs w:val="32"/>
          <w:lang w:eastAsia="zh-CN"/>
        </w:rPr>
        <w:t>本单位2024年</w:t>
      </w:r>
      <w:r>
        <w:rPr>
          <w:rFonts w:hint="eastAsia" w:eastAsia="仿宋_GB2312" w:cs="仿宋_GB2312"/>
          <w:color w:val="auto"/>
          <w:kern w:val="0"/>
          <w:sz w:val="32"/>
          <w:szCs w:val="32"/>
        </w:rPr>
        <w:t>政府采购预算总额</w:t>
      </w:r>
      <w:r>
        <w:rPr>
          <w:rFonts w:hint="eastAsia" w:eastAsia="仿宋_GB2312"/>
          <w:color w:val="auto"/>
          <w:kern w:val="0"/>
          <w:sz w:val="32"/>
          <w:szCs w:val="32"/>
          <w:lang w:val="en-US" w:eastAsia="zh-CN"/>
        </w:rPr>
        <w:t>203.8</w:t>
      </w:r>
      <w:r>
        <w:rPr>
          <w:rFonts w:hint="eastAsia" w:eastAsia="仿宋_GB2312" w:cs="仿宋_GB2312"/>
          <w:color w:val="auto"/>
          <w:kern w:val="0"/>
          <w:sz w:val="32"/>
          <w:szCs w:val="32"/>
        </w:rPr>
        <w:t>万元，其中工程类</w:t>
      </w:r>
      <w:r>
        <w:rPr>
          <w:rFonts w:hint="eastAsia" w:eastAsia="仿宋_GB2312"/>
          <w:color w:val="auto"/>
          <w:kern w:val="0"/>
          <w:sz w:val="32"/>
          <w:szCs w:val="32"/>
          <w:lang w:val="en-US" w:eastAsia="zh-CN"/>
        </w:rPr>
        <w:t>0</w:t>
      </w:r>
      <w:r>
        <w:rPr>
          <w:rFonts w:hint="eastAsia" w:eastAsia="仿宋_GB2312" w:cs="仿宋_GB2312"/>
          <w:color w:val="auto"/>
          <w:kern w:val="0"/>
          <w:sz w:val="32"/>
          <w:szCs w:val="32"/>
        </w:rPr>
        <w:t>万元，货物类</w:t>
      </w:r>
      <w:r>
        <w:rPr>
          <w:rFonts w:hint="eastAsia" w:eastAsia="仿宋_GB2312"/>
          <w:color w:val="auto"/>
          <w:kern w:val="0"/>
          <w:sz w:val="32"/>
          <w:szCs w:val="32"/>
          <w:lang w:val="en-US" w:eastAsia="zh-CN"/>
        </w:rPr>
        <w:t>203.8</w:t>
      </w:r>
      <w:r>
        <w:rPr>
          <w:rFonts w:hint="eastAsia" w:eastAsia="仿宋_GB2312" w:cs="仿宋_GB2312"/>
          <w:color w:val="auto"/>
          <w:kern w:val="0"/>
          <w:sz w:val="32"/>
          <w:szCs w:val="32"/>
        </w:rPr>
        <w:t>万元，服务类</w:t>
      </w:r>
      <w:r>
        <w:rPr>
          <w:rFonts w:hint="eastAsia" w:eastAsia="仿宋_GB2312"/>
          <w:color w:val="auto"/>
          <w:kern w:val="0"/>
          <w:sz w:val="32"/>
          <w:szCs w:val="32"/>
          <w:lang w:val="en-US" w:eastAsia="zh-CN"/>
        </w:rPr>
        <w:t>0</w:t>
      </w:r>
      <w:r>
        <w:rPr>
          <w:rFonts w:hint="eastAsia" w:eastAsia="仿宋_GB2312" w:cs="仿宋_GB2312"/>
          <w:color w:val="auto"/>
          <w:kern w:val="0"/>
          <w:sz w:val="32"/>
          <w:szCs w:val="32"/>
        </w:rPr>
        <w:t>万元。</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0</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4</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2024年</w:t>
      </w:r>
      <w:r>
        <w:rPr>
          <w:rFonts w:eastAsia="仿宋_GB2312"/>
          <w:bCs/>
          <w:kern w:val="0"/>
          <w:sz w:val="32"/>
          <w:szCs w:val="32"/>
        </w:rPr>
        <w:t>拟</w:t>
      </w:r>
      <w:r>
        <w:rPr>
          <w:rFonts w:hint="eastAsia" w:eastAsia="仿宋_GB2312"/>
          <w:bCs/>
          <w:kern w:val="0"/>
          <w:sz w:val="32"/>
          <w:szCs w:val="32"/>
          <w:lang w:eastAsia="zh-CN"/>
        </w:rPr>
        <w:t>报废处置公务用车</w:t>
      </w:r>
      <w:r>
        <w:rPr>
          <w:rFonts w:hint="eastAsia" w:eastAsia="仿宋_GB2312"/>
          <w:bCs/>
          <w:kern w:val="0"/>
          <w:sz w:val="32"/>
          <w:szCs w:val="32"/>
          <w:lang w:val="en-US" w:eastAsia="zh-CN"/>
        </w:rPr>
        <w:t>0辆，</w:t>
      </w:r>
      <w:r>
        <w:rPr>
          <w:rFonts w:hint="eastAsia" w:eastAsia="仿宋_GB2312" w:cs="仿宋_GB2312"/>
          <w:kern w:val="0"/>
          <w:sz w:val="32"/>
          <w:szCs w:val="32"/>
        </w:rPr>
        <w:t>拟新增配置</w:t>
      </w:r>
      <w:r>
        <w:rPr>
          <w:rFonts w:hint="eastAsia" w:eastAsia="仿宋_GB2312" w:cs="仿宋_GB2312"/>
          <w:kern w:val="0"/>
          <w:sz w:val="32"/>
          <w:szCs w:val="32"/>
          <w:lang w:eastAsia="zh-CN"/>
        </w:rPr>
        <w:t>车辆</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，其中</w:t>
      </w:r>
      <w:r>
        <w:rPr>
          <w:rFonts w:hint="eastAsia" w:eastAsia="仿宋_GB2312" w:cs="仿宋_GB2312"/>
          <w:kern w:val="0"/>
          <w:sz w:val="32"/>
          <w:szCs w:val="32"/>
        </w:rPr>
        <w:t>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color w:val="auto"/>
          <w:kern w:val="0"/>
          <w:sz w:val="36"/>
          <w:szCs w:val="36"/>
          <w:u w:val="none"/>
          <w:lang w:val="en-US" w:eastAsia="zh-CN"/>
        </w:rPr>
      </w:pPr>
      <w:r>
        <w:rPr>
          <w:rFonts w:hint="eastAsia" w:eastAsia="仿宋_GB2312" w:cs="仿宋_GB2312"/>
          <w:kern w:val="0"/>
          <w:sz w:val="32"/>
          <w:szCs w:val="32"/>
          <w:lang w:val="en-US" w:eastAsia="zh-CN"/>
        </w:rPr>
        <w:t>2024年</w:t>
      </w:r>
      <w:r>
        <w:rPr>
          <w:rFonts w:hint="eastAsia" w:eastAsia="仿宋_GB2312" w:cs="仿宋_GB2312"/>
          <w:kern w:val="0"/>
          <w:sz w:val="32"/>
          <w:szCs w:val="32"/>
        </w:rPr>
        <w:t>拟新增配备</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w:t>
      </w:r>
      <w:r>
        <w:rPr>
          <w:rFonts w:hint="eastAsia" w:eastAsia="仿宋_GB2312" w:cs="仿宋_GB2312"/>
          <w:color w:val="auto"/>
          <w:kern w:val="0"/>
          <w:sz w:val="32"/>
          <w:szCs w:val="32"/>
          <w:u w:val="none"/>
          <w:lang w:val="en-US" w:eastAsia="zh-CN"/>
        </w:rPr>
        <w:t>2024年度本单位未计划处置或新增车辆、设备等。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2024年单位</w:t>
      </w:r>
      <w:r>
        <w:rPr>
          <w:rFonts w:eastAsia="仿宋_GB2312"/>
          <w:bCs/>
          <w:kern w:val="0"/>
          <w:sz w:val="32"/>
          <w:szCs w:val="32"/>
        </w:rPr>
        <w:t>整体支出绩效目标的金额为</w:t>
      </w:r>
      <w:r>
        <w:rPr>
          <w:rFonts w:hint="eastAsia" w:eastAsia="仿宋_GB2312"/>
          <w:sz w:val="32"/>
          <w:szCs w:val="32"/>
          <w:u w:val="none"/>
          <w:lang w:val="en-US" w:eastAsia="zh-CN"/>
        </w:rPr>
        <w:t>2714.1</w:t>
      </w:r>
      <w:r>
        <w:rPr>
          <w:rFonts w:eastAsia="仿宋_GB2312"/>
          <w:bCs/>
          <w:kern w:val="0"/>
          <w:sz w:val="32"/>
          <w:szCs w:val="32"/>
        </w:rPr>
        <w:t>万元，其中，基本支出</w:t>
      </w:r>
      <w:r>
        <w:rPr>
          <w:rFonts w:hint="eastAsia" w:eastAsia="仿宋_GB2312" w:cs="仿宋_GB2312"/>
          <w:color w:val="auto"/>
          <w:kern w:val="0"/>
          <w:sz w:val="32"/>
          <w:szCs w:val="32"/>
          <w:lang w:val="en-US" w:eastAsia="zh-CN"/>
        </w:rPr>
        <w:t>543.51</w:t>
      </w:r>
      <w:r>
        <w:rPr>
          <w:rFonts w:eastAsia="仿宋_GB2312"/>
          <w:bCs/>
          <w:kern w:val="0"/>
          <w:sz w:val="32"/>
          <w:szCs w:val="32"/>
        </w:rPr>
        <w:t>万元，项目支出</w:t>
      </w:r>
      <w:r>
        <w:rPr>
          <w:rFonts w:hint="eastAsia" w:eastAsia="仿宋_GB2312" w:cs="仿宋_GB2312"/>
          <w:color w:val="auto"/>
          <w:kern w:val="0"/>
          <w:sz w:val="32"/>
          <w:szCs w:val="32"/>
          <w:lang w:val="en-US" w:eastAsia="zh-CN"/>
        </w:rPr>
        <w:t>2170.59</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表22-23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w:t>
      </w:r>
      <w:r>
        <w:rPr>
          <w:rFonts w:hint="eastAsia" w:eastAsia="黑体" w:cs="黑体"/>
          <w:kern w:val="0"/>
          <w:sz w:val="32"/>
          <w:szCs w:val="32"/>
          <w:lang w:val="en-US" w:eastAsia="zh-CN"/>
        </w:rPr>
        <w:t>XX单位预算公开表格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F60EAE-1E15-469D-843B-CF9BD869E5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A587EE54-989B-496C-A8A8-713CF4DEE3A1}"/>
  </w:font>
  <w:font w:name="微软雅黑">
    <w:panose1 w:val="020B0503020204020204"/>
    <w:charset w:val="86"/>
    <w:family w:val="auto"/>
    <w:pitch w:val="default"/>
    <w:sig w:usb0="80000287" w:usb1="280F3C52" w:usb2="00000016" w:usb3="00000000" w:csb0="0004001F" w:csb1="00000000"/>
    <w:embedRegular r:id="rId3" w:fontKey="{BCC657C0-8DAE-4FF6-B148-07014E58CC7D}"/>
  </w:font>
  <w:font w:name="仿宋_GB2312">
    <w:panose1 w:val="02010609030101010101"/>
    <w:charset w:val="86"/>
    <w:family w:val="auto"/>
    <w:pitch w:val="default"/>
    <w:sig w:usb0="00000001" w:usb1="080E0000" w:usb2="00000000" w:usb3="00000000" w:csb0="00040000" w:csb1="00000000"/>
    <w:embedRegular r:id="rId4" w:fontKey="{964B2598-BA56-4F9F-8709-6F19B121A6E2}"/>
  </w:font>
  <w:font w:name="楷体_GB2312">
    <w:panose1 w:val="02010609030101010101"/>
    <w:charset w:val="86"/>
    <w:family w:val="auto"/>
    <w:pitch w:val="default"/>
    <w:sig w:usb0="00000001" w:usb1="080E0000" w:usb2="00000000" w:usb3="00000000" w:csb0="00040000" w:csb1="00000000"/>
    <w:embedRegular r:id="rId5" w:fontKey="{D0DBDED5-0925-4183-8874-E37E1227D35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8281851"/>
    <w:rsid w:val="08A92604"/>
    <w:rsid w:val="0AF15A72"/>
    <w:rsid w:val="0C0C6008"/>
    <w:rsid w:val="0C4F7AFC"/>
    <w:rsid w:val="0D5B6622"/>
    <w:rsid w:val="0E064421"/>
    <w:rsid w:val="0ED234CD"/>
    <w:rsid w:val="0F654CC7"/>
    <w:rsid w:val="0F9E0A26"/>
    <w:rsid w:val="14903A2F"/>
    <w:rsid w:val="15D9563A"/>
    <w:rsid w:val="19420C90"/>
    <w:rsid w:val="197F307C"/>
    <w:rsid w:val="19D5374E"/>
    <w:rsid w:val="1AC31CB7"/>
    <w:rsid w:val="1BEF6124"/>
    <w:rsid w:val="1EAD2225"/>
    <w:rsid w:val="1F1F1226"/>
    <w:rsid w:val="26570D53"/>
    <w:rsid w:val="27D848B8"/>
    <w:rsid w:val="2CDB483B"/>
    <w:rsid w:val="2FC40521"/>
    <w:rsid w:val="3405688C"/>
    <w:rsid w:val="34E11E02"/>
    <w:rsid w:val="388764A3"/>
    <w:rsid w:val="3BC82B6A"/>
    <w:rsid w:val="3E4D3BDD"/>
    <w:rsid w:val="41DA7DB9"/>
    <w:rsid w:val="43815A8B"/>
    <w:rsid w:val="447637E8"/>
    <w:rsid w:val="49EF4858"/>
    <w:rsid w:val="4AE9742D"/>
    <w:rsid w:val="4BA67C06"/>
    <w:rsid w:val="4CA46ED7"/>
    <w:rsid w:val="4D013E21"/>
    <w:rsid w:val="4D8D7228"/>
    <w:rsid w:val="4DDD2C7F"/>
    <w:rsid w:val="4F1826FF"/>
    <w:rsid w:val="506C2AB0"/>
    <w:rsid w:val="53344C63"/>
    <w:rsid w:val="55295806"/>
    <w:rsid w:val="55D3446A"/>
    <w:rsid w:val="593F63D3"/>
    <w:rsid w:val="5B423ECD"/>
    <w:rsid w:val="5CDA4DA9"/>
    <w:rsid w:val="62820F98"/>
    <w:rsid w:val="62873CEC"/>
    <w:rsid w:val="635000D3"/>
    <w:rsid w:val="63E16362"/>
    <w:rsid w:val="64035B71"/>
    <w:rsid w:val="64DB31B9"/>
    <w:rsid w:val="681842B0"/>
    <w:rsid w:val="6AE87D9C"/>
    <w:rsid w:val="6F6D7545"/>
    <w:rsid w:val="6F8561D3"/>
    <w:rsid w:val="70271B5B"/>
    <w:rsid w:val="71AC0C24"/>
    <w:rsid w:val="773C67F0"/>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99"/>
    <w:pPr>
      <w:spacing w:before="120" w:after="200" w:line="276" w:lineRule="auto"/>
    </w:pPr>
    <w:rPr>
      <w:rFonts w:ascii="Arial" w:hAnsi="Arial"/>
      <w:sz w:val="24"/>
    </w:rPr>
  </w:style>
  <w:style w:type="paragraph" w:styleId="3">
    <w:name w:val="Body Text"/>
    <w:basedOn w:val="1"/>
    <w:link w:val="11"/>
    <w:autoRedefine/>
    <w:qFormat/>
    <w:uiPriority w:val="0"/>
    <w:pPr>
      <w:spacing w:after="120"/>
    </w:pPr>
  </w:style>
  <w:style w:type="paragraph" w:styleId="4">
    <w:name w:val="Date"/>
    <w:basedOn w:val="1"/>
    <w:next w:val="1"/>
    <w:link w:val="12"/>
    <w:autoRedefine/>
    <w:qFormat/>
    <w:uiPriority w:val="0"/>
    <w:pPr>
      <w:ind w:left="100" w:leftChars="2500"/>
    </w:pPr>
  </w:style>
  <w:style w:type="paragraph" w:styleId="5">
    <w:name w:val="Balloon Text"/>
    <w:basedOn w:val="1"/>
    <w:link w:val="13"/>
    <w:autoRedefine/>
    <w:semiHidden/>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autoRedefine/>
    <w:qFormat/>
    <w:locked/>
    <w:uiPriority w:val="0"/>
    <w:rPr>
      <w:rFonts w:eastAsia="宋体"/>
      <w:kern w:val="2"/>
      <w:sz w:val="21"/>
      <w:szCs w:val="21"/>
      <w:lang w:val="en-US" w:eastAsia="zh-CN" w:bidi="ar-SA"/>
    </w:rPr>
  </w:style>
  <w:style w:type="character" w:customStyle="1" w:styleId="12">
    <w:name w:val="Date Char"/>
    <w:basedOn w:val="10"/>
    <w:link w:val="4"/>
    <w:autoRedefine/>
    <w:qFormat/>
    <w:locked/>
    <w:uiPriority w:val="0"/>
    <w:rPr>
      <w:rFonts w:eastAsia="宋体"/>
      <w:kern w:val="2"/>
      <w:sz w:val="21"/>
      <w:szCs w:val="21"/>
      <w:lang w:val="en-US" w:eastAsia="zh-CN" w:bidi="ar-SA"/>
    </w:rPr>
  </w:style>
  <w:style w:type="character" w:customStyle="1" w:styleId="13">
    <w:name w:val="Balloon Text Char"/>
    <w:basedOn w:val="10"/>
    <w:link w:val="5"/>
    <w:autoRedefine/>
    <w:qFormat/>
    <w:locked/>
    <w:uiPriority w:val="0"/>
    <w:rPr>
      <w:rFonts w:eastAsia="宋体"/>
      <w:kern w:val="2"/>
      <w:sz w:val="18"/>
      <w:szCs w:val="18"/>
      <w:lang w:val="en-US" w:eastAsia="zh-CN" w:bidi="ar-SA"/>
    </w:rPr>
  </w:style>
  <w:style w:type="character" w:customStyle="1" w:styleId="14">
    <w:name w:val="Footer Char"/>
    <w:basedOn w:val="10"/>
    <w:link w:val="6"/>
    <w:autoRedefine/>
    <w:qFormat/>
    <w:locked/>
    <w:uiPriority w:val="0"/>
    <w:rPr>
      <w:rFonts w:eastAsia="宋体"/>
      <w:kern w:val="2"/>
      <w:sz w:val="18"/>
      <w:szCs w:val="18"/>
      <w:lang w:val="en-US" w:eastAsia="zh-CN" w:bidi="ar-SA"/>
    </w:rPr>
  </w:style>
  <w:style w:type="character" w:customStyle="1" w:styleId="15">
    <w:name w:val="Header Char"/>
    <w:basedOn w:val="10"/>
    <w:link w:val="7"/>
    <w:autoRedefine/>
    <w:qFormat/>
    <w:locked/>
    <w:uiPriority w:val="0"/>
    <w:rPr>
      <w:rFonts w:eastAsia="宋体"/>
      <w:kern w:val="2"/>
      <w:sz w:val="18"/>
      <w:szCs w:val="18"/>
      <w:lang w:val="en-US" w:eastAsia="zh-CN" w:bidi="ar-SA"/>
    </w:rPr>
  </w:style>
  <w:style w:type="paragraph" w:customStyle="1" w:styleId="16">
    <w:name w:val="表格内容"/>
    <w:basedOn w:val="3"/>
    <w:autoRedefine/>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40</TotalTime>
  <ScaleCrop>false</ScaleCrop>
  <LinksUpToDate>false</LinksUpToDate>
  <CharactersWithSpaces>2925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2024-03-21T03:13:23Z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E1A66E1071F64851993E1E1C33DE53A8_13</vt:lpwstr>
  </property>
</Properties>
</file>