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 19年度部门（单位）整体支出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eastAsia="zh-CN"/>
        </w:rPr>
        <w:t>岳阳县库区移民服务中心</w:t>
      </w:r>
      <w:r>
        <w:rPr>
          <w:rFonts w:hint="eastAsia" w:eastAsia="仿宋_GB2312"/>
          <w:sz w:val="32"/>
          <w:u w:val="single"/>
        </w:rPr>
        <w:t xml:space="preserve">        </w:t>
      </w:r>
    </w:p>
    <w:p>
      <w:pPr>
        <w:spacing w:before="301" w:beforeLines="50" w:line="348" w:lineRule="auto"/>
        <w:ind w:firstLine="476" w:firstLineChars="150"/>
        <w:rPr>
          <w:rFonts w:hint="default" w:eastAsia="仿宋_GB2312"/>
          <w:sz w:val="32"/>
          <w:lang w:val="en-US" w:eastAsia="zh-CN"/>
        </w:rPr>
      </w:pPr>
      <w:r>
        <w:rPr>
          <w:rFonts w:hint="eastAsia" w:eastAsia="仿宋_GB2312"/>
          <w:sz w:val="32"/>
        </w:rPr>
        <w:t>预算编码</w:t>
      </w:r>
      <w:r>
        <w:rPr>
          <w:rFonts w:hint="eastAsia" w:eastAsia="仿宋_GB2312"/>
          <w:sz w:val="32"/>
          <w:u w:val="single"/>
        </w:rPr>
        <w:t xml:space="preserve">       </w:t>
      </w:r>
      <w:r>
        <w:rPr>
          <w:rFonts w:hint="eastAsia" w:eastAsia="仿宋_GB2312"/>
          <w:sz w:val="32"/>
          <w:u w:val="single"/>
          <w:lang w:val="en-US" w:eastAsia="zh-CN"/>
        </w:rPr>
        <w:t>yyx023</w:t>
      </w:r>
      <w:r>
        <w:rPr>
          <w:rFonts w:hint="eastAsia" w:eastAsia="仿宋_GB2312"/>
          <w:sz w:val="32"/>
          <w:u w:val="single"/>
        </w:rPr>
        <w:t xml:space="preserve">                  </w:t>
      </w:r>
      <w:r>
        <w:rPr>
          <w:rFonts w:hint="eastAsia" w:eastAsia="仿宋_GB2312"/>
          <w:sz w:val="32"/>
          <w:u w:val="single"/>
          <w:lang w:val="en-US" w:eastAsia="zh-CN"/>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28"/>
          <w:szCs w:val="28"/>
        </w:rPr>
      </w:pPr>
      <w:r>
        <w:rPr>
          <w:rFonts w:hint="eastAsia" w:eastAsia="仿宋_GB2312"/>
          <w:sz w:val="32"/>
          <w:szCs w:val="32"/>
        </w:rPr>
        <w:t>填报人：</w:t>
      </w:r>
      <w:r>
        <w:rPr>
          <w:rFonts w:hint="eastAsia" w:eastAsia="仿宋_GB2312"/>
          <w:sz w:val="32"/>
          <w:szCs w:val="32"/>
          <w:lang w:eastAsia="zh-CN"/>
        </w:rPr>
        <w:t>李矜琴</w:t>
      </w:r>
    </w:p>
    <w:p>
      <w:pPr>
        <w:spacing w:before="301" w:beforeLines="50" w:line="348" w:lineRule="auto"/>
        <w:ind w:firstLine="416" w:firstLineChars="150"/>
        <w:rPr>
          <w:rFonts w:hint="eastAsia" w:eastAsia="仿宋_GB2312"/>
          <w:sz w:val="32"/>
        </w:rPr>
      </w:pPr>
      <w:r>
        <w:rPr>
          <w:rFonts w:hint="eastAsia" w:eastAsia="仿宋_GB2312"/>
          <w:sz w:val="28"/>
          <w:szCs w:val="28"/>
        </w:rPr>
        <w:t>联系电话：</w:t>
      </w:r>
      <w:r>
        <w:rPr>
          <w:rFonts w:hint="eastAsia" w:eastAsia="仿宋_GB2312"/>
          <w:sz w:val="28"/>
          <w:szCs w:val="28"/>
          <w:lang w:val="en-US" w:eastAsia="zh-CN"/>
        </w:rPr>
        <w:t>15616589998</w:t>
      </w:r>
      <w:r>
        <w:rPr>
          <w:rFonts w:hint="eastAsia" w:eastAsia="仿宋_GB2312"/>
          <w:sz w:val="28"/>
          <w:szCs w:val="28"/>
        </w:rPr>
        <w:t xml:space="preserve"> </w:t>
      </w:r>
    </w:p>
    <w:p>
      <w:pPr>
        <w:spacing w:line="348" w:lineRule="auto"/>
        <w:ind w:firstLine="2188" w:firstLineChars="690"/>
        <w:rPr>
          <w:rFonts w:hint="eastAsia" w:eastAsia="仿宋_GB2312"/>
          <w:sz w:val="32"/>
        </w:rPr>
      </w:pPr>
    </w:p>
    <w:p>
      <w:pPr>
        <w:spacing w:line="348" w:lineRule="auto"/>
        <w:ind w:firstLine="2378" w:firstLineChars="750"/>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日</w:t>
      </w:r>
    </w:p>
    <w:p>
      <w:pPr>
        <w:spacing w:line="348" w:lineRule="auto"/>
        <w:jc w:val="center"/>
        <w:rPr>
          <w:rFonts w:hint="eastAsia" w:eastAsia="仿宋_GB2312"/>
          <w:sz w:val="32"/>
          <w:szCs w:val="32"/>
        </w:rPr>
      </w:pPr>
      <w:r>
        <w:rPr>
          <w:rFonts w:hint="eastAsia" w:eastAsia="仿宋_GB2312"/>
          <w:sz w:val="32"/>
        </w:rPr>
        <w:t>岳阳县财政</w:t>
      </w:r>
      <w:r>
        <w:rPr>
          <w:rFonts w:hint="eastAsia" w:eastAsia="仿宋_GB2312"/>
          <w:sz w:val="32"/>
          <w:szCs w:val="32"/>
        </w:rPr>
        <w:t>局（制）</w:t>
      </w:r>
    </w:p>
    <w:p>
      <w:pPr>
        <w:autoSpaceDN w:val="0"/>
        <w:jc w:val="center"/>
        <w:textAlignment w:val="center"/>
        <w:rPr>
          <w:rFonts w:ascii="仿宋_GB2312" w:hAnsi="仿宋_GB2312" w:eastAsia="仿宋_GB2312"/>
          <w:b/>
          <w:color w:val="000000"/>
          <w:sz w:val="24"/>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710"/>
        <w:gridCol w:w="2135"/>
        <w:gridCol w:w="543"/>
        <w:gridCol w:w="427"/>
        <w:gridCol w:w="573"/>
        <w:gridCol w:w="428"/>
        <w:gridCol w:w="578"/>
        <w:gridCol w:w="488"/>
        <w:gridCol w:w="224"/>
        <w:gridCol w:w="224"/>
        <w:gridCol w:w="661"/>
        <w:gridCol w:w="417"/>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李矜琴</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15616589998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0" w:type="auto"/>
            <w:gridSpan w:val="12"/>
            <w:noWrap w:val="0"/>
            <w:vAlign w:val="center"/>
          </w:tcPr>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一、负责宣传和贯彻执行国家、省、市有关水利水电工程建设征地补偿和移民安置的政策、法律法规；</w:t>
            </w:r>
          </w:p>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二、负责本行政区域内大中型水利水电工程移民安置工作的实施，按照项目建立合同管理制度，对移民工程质量、进度、资金和档案实行全方位管理。</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三、主动参与项目设计单位编制本区域内大中型水利水电工程移民安置规划大纲，提出移民安置去向和方式，推荐移民安置方案，配合设计单位完成实物指标分解细化到户的工作。</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四、在规划设计单位的配合下，依据移民安置规划和移民安置总体进度要求编制移民安置实施计划，报上级批准后执行。</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五、根据移民安置规划和移民安置协议的要求，组织实施移民安置计划。</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六、负责编制水库移民后期扶持年度规划、中长期规划，负责移民后期扶持政策的落实兑现。</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七、对有关乡（镇）的移民安置和水库移民后期扶持实行全过程监督和管理。</w:t>
            </w:r>
          </w:p>
          <w:p>
            <w:pPr>
              <w:autoSpaceDN w:val="0"/>
              <w:spacing w:line="400" w:lineRule="exact"/>
              <w:ind w:firstLine="470" w:firstLineChars="200"/>
              <w:jc w:val="left"/>
              <w:textAlignment w:val="center"/>
              <w:rPr>
                <w:rFonts w:hint="eastAsia" w:ascii="仿宋_GB2312" w:hAnsi="仿宋_GB2312" w:eastAsia="仿宋_GB2312" w:cs="仿宋_GB2312"/>
                <w:color w:val="000000"/>
                <w:sz w:val="24"/>
              </w:rPr>
            </w:pPr>
            <w:r>
              <w:rPr>
                <w:rFonts w:hint="eastAsia" w:ascii="仿宋_GB2312" w:hAnsi="ˎ̥" w:eastAsia="仿宋_GB2312" w:cs="宋体"/>
                <w:color w:val="333333"/>
                <w:kern w:val="0"/>
                <w:sz w:val="24"/>
              </w:rPr>
              <w:t>八、完成县委、县政府和市移民开发局交办的其它工作任务。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0" w:type="auto"/>
            <w:gridSpan w:val="1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任务1：争取移民后扶项目资金5000万元以上用于库区和移民安置区建设。</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任务2：开展移民培训，培训移民</w:t>
            </w:r>
            <w:r>
              <w:rPr>
                <w:rFonts w:hint="eastAsia" w:ascii="仿宋_GB2312" w:hAnsi="仿宋_GB2312" w:eastAsia="仿宋_GB2312" w:cs="仿宋_GB2312"/>
                <w:color w:val="000000"/>
                <w:sz w:val="24"/>
                <w:lang w:val="en-US" w:eastAsia="zh-CN"/>
              </w:rPr>
              <w:t>900</w:t>
            </w:r>
            <w:r>
              <w:rPr>
                <w:rFonts w:hint="eastAsia" w:ascii="仿宋_GB2312" w:hAnsi="仿宋_GB2312" w:eastAsia="仿宋_GB2312" w:cs="仿宋_GB2312"/>
                <w:color w:val="000000"/>
                <w:sz w:val="24"/>
              </w:rPr>
              <w:t>人次，着力提高移民素质。</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任务3：对接我县农业品牌创建工作，加大移民产业开发力度。</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任务4：加强移民项目和资金的监管，确保移民资金安全运行。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任务5：做好移民维稳工作，确保移民社会大局稳定。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年度部门（单位）总体运行情况及取得的成绩</w:t>
            </w:r>
          </w:p>
        </w:tc>
        <w:tc>
          <w:tcPr>
            <w:tcW w:w="0" w:type="auto"/>
            <w:gridSpan w:val="12"/>
            <w:noWrap w:val="0"/>
            <w:vAlign w:val="center"/>
          </w:tcPr>
          <w:p>
            <w:pPr>
              <w:pStyle w:val="8"/>
              <w:spacing w:before="0" w:beforeAutospacing="0" w:after="0" w:afterAutospacing="0" w:line="660" w:lineRule="exac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333333"/>
                <w:sz w:val="24"/>
                <w:szCs w:val="24"/>
                <w:lang w:eastAsia="zh-CN"/>
              </w:rPr>
              <w:t>一、</w:t>
            </w:r>
            <w:r>
              <w:rPr>
                <w:rFonts w:hint="eastAsia" w:ascii="仿宋" w:hAnsi="仿宋" w:eastAsia="仿宋" w:cs="仿宋"/>
                <w:b w:val="0"/>
                <w:bCs w:val="0"/>
                <w:color w:val="333333"/>
                <w:sz w:val="24"/>
                <w:szCs w:val="24"/>
              </w:rPr>
              <w:t>狠抓落实，高质量完成年初目标任务</w:t>
            </w:r>
            <w:r>
              <w:rPr>
                <w:rFonts w:hint="eastAsia" w:ascii="仿宋" w:hAnsi="仿宋" w:eastAsia="仿宋" w:cs="仿宋"/>
                <w:b w:val="0"/>
                <w:bCs w:val="0"/>
                <w:color w:val="333333"/>
                <w:sz w:val="24"/>
                <w:szCs w:val="24"/>
                <w:lang w:eastAsia="zh-CN"/>
              </w:rPr>
              <w:t>。</w:t>
            </w:r>
            <w:r>
              <w:rPr>
                <w:rFonts w:hint="eastAsia" w:ascii="仿宋" w:hAnsi="仿宋" w:eastAsia="仿宋" w:cs="仿宋"/>
                <w:b w:val="0"/>
                <w:bCs w:val="0"/>
                <w:sz w:val="24"/>
                <w:szCs w:val="24"/>
              </w:rPr>
              <w:t>（一）注重效益抓产业，夯实移民致富基础。(二)加强资金监管，确保移民资金安全。 （三）分类指导抓培训，增强自身造血功能。（四）围绕重点抓民生，移民幸福指数不断提升。（五）直面问题主动出击，维护社会和谐稳定。二、找准差距，对症下药凝心聚力再出发</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一是选强配优干部，做到人尽其才。二是选准产业项目，提升带富致富效益。三是介入项目全程，确保移民资金安全。</w:t>
            </w:r>
            <w:r>
              <w:rPr>
                <w:rFonts w:hint="eastAsia" w:ascii="仿宋" w:hAnsi="仿宋" w:eastAsia="仿宋" w:cs="仿宋"/>
                <w:b w:val="0"/>
                <w:bCs w:val="0"/>
                <w:color w:val="000000"/>
                <w:sz w:val="24"/>
                <w:szCs w:val="24"/>
              </w:rPr>
              <w:t>三、坚持不懈抓作风，锻造移民干部队伍素质</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（一）坚持从严治党，严格落实廉政建设责任制。（二）坚持突出重点，切实履行“两个责任”。（三）坚持服务中心，全力支持经济社会发展。</w:t>
            </w:r>
            <w:r>
              <w:rPr>
                <w:rFonts w:hint="eastAsia" w:ascii="仿宋" w:hAnsi="仿宋" w:eastAsia="仿宋" w:cs="仿宋"/>
                <w:b w:val="0"/>
                <w:bCs w:val="0"/>
                <w:sz w:val="24"/>
                <w:szCs w:val="24"/>
              </w:rPr>
              <w:t>（四）坚持党建引领，切实加强机关党的建设。</w:t>
            </w:r>
          </w:p>
          <w:p>
            <w:pPr>
              <w:spacing w:line="660" w:lineRule="exact"/>
              <w:ind w:firstLine="641"/>
              <w:rPr>
                <w:rFonts w:hint="eastAsia" w:ascii="黑体" w:hAnsi="黑体" w:eastAsia="黑体" w:cs="黑体"/>
                <w:b w:val="0"/>
                <w:bCs w:val="0"/>
                <w:sz w:val="24"/>
                <w:szCs w:val="24"/>
                <w:lang w:eastAsia="zh-CN"/>
              </w:rPr>
            </w:pPr>
          </w:p>
          <w:p>
            <w:pPr>
              <w:numPr>
                <w:ilvl w:val="0"/>
                <w:numId w:val="0"/>
              </w:numPr>
              <w:spacing w:line="660" w:lineRule="exact"/>
              <w:rPr>
                <w:rFonts w:hint="eastAsia" w:ascii="仿宋" w:hAnsi="仿宋" w:eastAsia="仿宋" w:cs="仿宋"/>
                <w:b w:val="0"/>
                <w:bCs w:val="0"/>
                <w:color w:val="333333"/>
                <w:sz w:val="24"/>
                <w:szCs w:val="24"/>
              </w:rPr>
            </w:pPr>
          </w:p>
          <w:p>
            <w:pPr>
              <w:autoSpaceDN w:val="0"/>
              <w:spacing w:line="400" w:lineRule="exact"/>
              <w:jc w:val="left"/>
              <w:textAlignment w:val="center"/>
              <w:rPr>
                <w:rFonts w:hint="eastAsia" w:ascii="仿宋_GB2312" w:hAnsi="仿宋_GB2312" w:eastAsia="仿宋_GB2312" w:cs="仿宋_GB2312"/>
                <w:b w:val="0"/>
                <w:bCs w:val="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0" w:type="auto"/>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0" w:type="auto"/>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0" w:type="auto"/>
            <w:gridSpan w:val="11"/>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0" w:hRule="atLeast"/>
          <w:jc w:val="center"/>
        </w:trPr>
        <w:tc>
          <w:tcPr>
            <w:tcW w:w="0" w:type="auto"/>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17480.63</w:t>
            </w:r>
          </w:p>
        </w:tc>
        <w:tc>
          <w:tcPr>
            <w:tcW w:w="0" w:type="auto"/>
            <w:gridSpan w:val="2"/>
            <w:tcBorders>
              <w:left w:val="single" w:color="auto" w:sz="4" w:space="0"/>
            </w:tcBorders>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8284.16</w:t>
            </w:r>
          </w:p>
        </w:tc>
        <w:tc>
          <w:tcPr>
            <w:tcW w:w="0" w:type="auto"/>
            <w:gridSpan w:val="2"/>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2067.05</w:t>
            </w:r>
          </w:p>
        </w:tc>
        <w:tc>
          <w:tcPr>
            <w:tcW w:w="0" w:type="auto"/>
            <w:gridSpan w:val="2"/>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7129.42</w:t>
            </w: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17480.63</w:t>
            </w:r>
          </w:p>
        </w:tc>
        <w:tc>
          <w:tcPr>
            <w:tcW w:w="0" w:type="auto"/>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8284.16</w:t>
            </w: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2067.05</w:t>
            </w: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7129.42</w:t>
            </w: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0" w:hRule="atLeast"/>
          <w:jc w:val="center"/>
        </w:trPr>
        <w:tc>
          <w:tcPr>
            <w:tcW w:w="0" w:type="auto"/>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4" w:hRule="atLeast"/>
          <w:jc w:val="center"/>
        </w:trPr>
        <w:tc>
          <w:tcPr>
            <w:tcW w:w="0" w:type="auto"/>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0" w:type="auto"/>
            <w:gridSpan w:val="10"/>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4" w:hRule="atLeast"/>
          <w:jc w:val="center"/>
        </w:trPr>
        <w:tc>
          <w:tcPr>
            <w:tcW w:w="0" w:type="auto"/>
            <w:vMerge w:val="continue"/>
            <w:noWrap w:val="0"/>
            <w:vAlign w:val="center"/>
          </w:tcPr>
          <w:p>
            <w:pPr>
              <w:spacing w:line="40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0" w:type="auto"/>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0" w:type="auto"/>
            <w:vMerge w:val="continue"/>
            <w:noWrap w:val="0"/>
            <w:vAlign w:val="center"/>
          </w:tcPr>
          <w:p>
            <w:pPr>
              <w:spacing w:line="40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0" w:type="auto"/>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0"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15603.71</w:t>
            </w:r>
          </w:p>
        </w:tc>
        <w:tc>
          <w:tcPr>
            <w:tcW w:w="0" w:type="auto"/>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410.39</w:t>
            </w:r>
          </w:p>
        </w:tc>
        <w:tc>
          <w:tcPr>
            <w:tcW w:w="0" w:type="auto"/>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204.27</w:t>
            </w:r>
          </w:p>
        </w:tc>
        <w:tc>
          <w:tcPr>
            <w:tcW w:w="0" w:type="auto"/>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206.12</w:t>
            </w:r>
          </w:p>
        </w:tc>
        <w:tc>
          <w:tcPr>
            <w:tcW w:w="0" w:type="auto"/>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15193.32</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15603.71</w:t>
            </w: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410.39</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204.27</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206.12</w:t>
            </w: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15193.32</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11"/>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40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会议费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w:t>
            </w:r>
          </w:p>
        </w:tc>
        <w:tc>
          <w:tcPr>
            <w:tcW w:w="0" w:type="auto"/>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w:t>
            </w: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10"/>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40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0" w:type="auto"/>
            <w:gridSpan w:val="5"/>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0" w:type="auto"/>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42.0613</w:t>
            </w:r>
          </w:p>
        </w:tc>
        <w:tc>
          <w:tcPr>
            <w:tcW w:w="0" w:type="auto"/>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42.0613</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42.0613</w:t>
            </w:r>
          </w:p>
        </w:tc>
        <w:tc>
          <w:tcPr>
            <w:tcW w:w="0" w:type="auto"/>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42.0613</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0" w:type="auto"/>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6"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目标1： 全年预算申请到位和下达数量在95%以上，三公经费变动率小于等于零；                                                                                           目标2：社会效益、经济效益、生态效益、可持续影响和社会公众满意度达到预期目标；                                                                     目标3：管理好移民后扶资金，实施好移民后扶项目，加强移民人口的管理，确保移民社会大局稳定和经济发展。                                                                  </w:t>
            </w:r>
          </w:p>
        </w:tc>
        <w:tc>
          <w:tcPr>
            <w:tcW w:w="0" w:type="auto"/>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全面完成各项目标任务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0" w:type="auto"/>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绩效内容</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目标值</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（部门工作实绩，即绩效办制定的单位年度考核计分办法中考核的部门工作实绩内容）</w:t>
            </w: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政府采购执行率</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spacing w:line="400" w:lineRule="exact"/>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公务卡刷卡率</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c>
          <w:tcPr>
            <w:tcW w:w="2098" w:type="dxa"/>
            <w:gridSpan w:val="2"/>
            <w:noWrap w:val="0"/>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spacing w:line="400" w:lineRule="exact"/>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固定资产利用率</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c>
          <w:tcPr>
            <w:tcW w:w="2098" w:type="dxa"/>
            <w:gridSpan w:val="2"/>
            <w:noWrap w:val="0"/>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spacing w:line="400" w:lineRule="exact"/>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后扶直补资金打卡发放率</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spacing w:line="400" w:lineRule="exact"/>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工程质量合格率</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财政供养人员控制率</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“三公”经费控制率</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“三公”经费变动率</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后扶直补人数</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43928人</w:t>
            </w:r>
          </w:p>
        </w:tc>
        <w:tc>
          <w:tcPr>
            <w:tcW w:w="2098" w:type="dxa"/>
            <w:gridSpan w:val="2"/>
            <w:noWrap w:val="0"/>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42928人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预计全年移民项目建设工程投入</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3000万元</w:t>
            </w:r>
          </w:p>
        </w:tc>
        <w:tc>
          <w:tcPr>
            <w:tcW w:w="2098" w:type="dxa"/>
            <w:gridSpan w:val="2"/>
            <w:noWrap w:val="0"/>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5776万元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1"/>
                <w:szCs w:val="21"/>
                <w:lang w:eastAsia="zh-CN"/>
              </w:rPr>
              <w:t>移民直补资金打卡按季度及时发放</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移民项目资金拨付及时</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财政支出绩效目标</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186.3万元</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促时移民增产收效明显</w:t>
            </w: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明显</w:t>
            </w: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社会公众满意度</w:t>
            </w:r>
          </w:p>
        </w:tc>
        <w:tc>
          <w:tcPr>
            <w:tcW w:w="83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95%以上</w:t>
            </w:r>
          </w:p>
        </w:tc>
        <w:tc>
          <w:tcPr>
            <w:tcW w:w="2098" w:type="dxa"/>
            <w:gridSpan w:val="2"/>
            <w:noWrap w:val="0"/>
            <w:vAlign w:val="center"/>
          </w:tcPr>
          <w:p>
            <w:pPr>
              <w:autoSpaceDN w:val="0"/>
              <w:spacing w:line="40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1713"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3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98"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0" w:type="auto"/>
            <w:gridSpan w:val="10"/>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0" w:type="auto"/>
            <w:gridSpan w:val="10"/>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gridSpan w:val="13"/>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李亮</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库区移民服务中心</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胡云</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库区移民服务中心</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张雪林</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库区移民服务中心</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李矜琴</w:t>
            </w:r>
          </w:p>
        </w:tc>
        <w:tc>
          <w:tcPr>
            <w:tcW w:w="0" w:type="auto"/>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出纳</w:t>
            </w:r>
          </w:p>
        </w:tc>
        <w:tc>
          <w:tcPr>
            <w:tcW w:w="0" w:type="auto"/>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库区移民服务中心</w:t>
            </w:r>
          </w:p>
        </w:tc>
        <w:tc>
          <w:tcPr>
            <w:tcW w:w="0" w:type="auto"/>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37" w:hRule="atLeast"/>
          <w:jc w:val="center"/>
        </w:trPr>
        <w:tc>
          <w:tcPr>
            <w:tcW w:w="0" w:type="auto"/>
            <w:gridSpan w:val="1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40" w:hRule="atLeast"/>
          <w:jc w:val="center"/>
        </w:trPr>
        <w:tc>
          <w:tcPr>
            <w:tcW w:w="0" w:type="auto"/>
            <w:gridSpan w:val="1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部门（单位）负责人（签字）：</w:t>
            </w:r>
            <w:r>
              <w:rPr>
                <w:rFonts w:hint="eastAsia" w:ascii="仿宋_GB2312" w:hAnsi="仿宋_GB2312" w:eastAsia="仿宋_GB2312" w:cs="仿宋_GB2312"/>
                <w:color w:val="000000"/>
                <w:sz w:val="24"/>
                <w:lang w:eastAsia="zh-CN"/>
              </w:rPr>
              <w:t>费时铭</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 xml:space="preserve">  日</w:t>
            </w:r>
          </w:p>
          <w:p>
            <w:pPr>
              <w:autoSpaceDN w:val="0"/>
              <w:spacing w:line="400" w:lineRule="exact"/>
              <w:jc w:val="left"/>
              <w:textAlignment w:val="center"/>
              <w:rPr>
                <w:rFonts w:hint="eastAsia" w:ascii="仿宋_GB2312" w:hAnsi="仿宋_GB2312" w:eastAsia="仿宋_GB2312" w:cs="仿宋_GB2312"/>
                <w:color w:val="000000"/>
                <w:sz w:val="24"/>
              </w:rPr>
            </w:pP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李矜琴</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15616589998</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9"/>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预算执行有一定差异</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有少量专项资金未拨付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有少量资金结余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3.5</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存在极少部分固定资产流失</w:t>
            </w: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存在部分闲置资产</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hint="eastAsia" w:eastAsia="仿宋_GB2312"/>
          <w:bCs/>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bookmarkStart w:id="0" w:name="_GoBack"/>
      <w:bookmarkEnd w:id="0"/>
    </w:p>
    <w:sectPr>
      <w:footerReference r:id="rId4" w:type="default"/>
      <w:pgSz w:w="11906" w:h="16838"/>
      <w:pgMar w:top="1587" w:right="1297" w:bottom="1587" w:left="1339"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- 15 -</w:t>
    </w:r>
    <w: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67"/>
    <w:rsid w:val="00035C1A"/>
    <w:rsid w:val="000728DD"/>
    <w:rsid w:val="000C3875"/>
    <w:rsid w:val="000F2B2A"/>
    <w:rsid w:val="00183B64"/>
    <w:rsid w:val="00234931"/>
    <w:rsid w:val="0024284B"/>
    <w:rsid w:val="002968B2"/>
    <w:rsid w:val="002F508A"/>
    <w:rsid w:val="003002CB"/>
    <w:rsid w:val="00381AC3"/>
    <w:rsid w:val="003D69C7"/>
    <w:rsid w:val="003F4EC0"/>
    <w:rsid w:val="005C7ACA"/>
    <w:rsid w:val="0062275A"/>
    <w:rsid w:val="006E5CFE"/>
    <w:rsid w:val="00721627"/>
    <w:rsid w:val="0094422C"/>
    <w:rsid w:val="00A77732"/>
    <w:rsid w:val="00AC0617"/>
    <w:rsid w:val="00B16310"/>
    <w:rsid w:val="00B500B5"/>
    <w:rsid w:val="00BC795B"/>
    <w:rsid w:val="00C17088"/>
    <w:rsid w:val="00D0498A"/>
    <w:rsid w:val="00D73600"/>
    <w:rsid w:val="00F22676"/>
    <w:rsid w:val="00F235A7"/>
    <w:rsid w:val="00F30A47"/>
    <w:rsid w:val="00F41940"/>
    <w:rsid w:val="0E246F80"/>
    <w:rsid w:val="0ED93A83"/>
    <w:rsid w:val="1D750AD0"/>
    <w:rsid w:val="22262E40"/>
    <w:rsid w:val="2E435E32"/>
    <w:rsid w:val="38E85793"/>
    <w:rsid w:val="3A620AB2"/>
    <w:rsid w:val="411853FC"/>
    <w:rsid w:val="4EF41198"/>
    <w:rsid w:val="5058573F"/>
    <w:rsid w:val="728D0355"/>
    <w:rsid w:val="779F09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0" w:beforeLines="0" w:beforeAutospacing="0" w:after="0" w:afterLines="0" w:afterAutospacing="0" w:line="360" w:lineRule="auto"/>
      <w:ind w:firstLine="720" w:firstLineChars="200"/>
      <w:outlineLvl w:val="1"/>
    </w:pPr>
    <w:rPr>
      <w:rFonts w:ascii="Arial" w:hAnsi="Arial" w:eastAsia="黑体"/>
      <w:b/>
      <w:sz w:val="32"/>
      <w:szCs w:val="24"/>
      <w:lang w:bidi="ar-SA"/>
    </w:rPr>
  </w:style>
  <w:style w:type="paragraph" w:styleId="3">
    <w:name w:val="heading 3"/>
    <w:basedOn w:val="1"/>
    <w:next w:val="1"/>
    <w:link w:val="12"/>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588" w:firstLineChars="200"/>
    </w:pPr>
    <w:rPr>
      <w:rFonts w:ascii="仿宋_GB2312" w:eastAsia="仿宋_GB2312"/>
      <w:sz w:val="3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标题 3 Char"/>
    <w:link w:val="3"/>
    <w:qFormat/>
    <w:uiPriority w:val="0"/>
    <w:rPr>
      <w:rFonts w:ascii="Times New Roman" w:hAnsi="Times New Roman" w:eastAsia="楷体_GB2312"/>
      <w:b/>
      <w:sz w:val="32"/>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268</Words>
  <Characters>1533</Characters>
  <Lines>12</Lines>
  <Paragraphs>3</Paragraphs>
  <TotalTime>7</TotalTime>
  <ScaleCrop>false</ScaleCrop>
  <LinksUpToDate>false</LinksUpToDate>
  <CharactersWithSpaces>1798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2014-04-23T07:54:00Z</dcterms:created>
  <dc:creator>史莉君  </dc:creator>
  <cp:lastModifiedBy>龙行天下</cp:lastModifiedBy>
  <cp:lastPrinted>2014-04-14T08:36:00Z</cp:lastPrinted>
  <dcterms:modified xsi:type="dcterms:W3CDTF">2020-08-13T09:00:33Z</dcterms:modified>
  <dc:title>浙江省财政支出项目绩效评价报告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