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44"/>
          <w:szCs w:val="44"/>
        </w:rPr>
      </w:pPr>
      <w:r>
        <w:rPr>
          <w:rFonts w:hint="eastAsia" w:ascii="宋体" w:hAnsi="宋体" w:cs="宋体"/>
          <w:b/>
          <w:bCs/>
          <w:color w:val="FFFFFF"/>
          <w:szCs w:val="21"/>
        </w:rPr>
        <w:t>县政府</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 xml:space="preserve"> </w:t>
      </w:r>
    </w:p>
    <w:p>
      <w:pPr>
        <w:spacing w:line="600" w:lineRule="exact"/>
        <w:jc w:val="center"/>
        <w:rPr>
          <w:rFonts w:hint="eastAsia" w:ascii="方正小标宋简体" w:hAnsi="宋体" w:eastAsia="方正小标宋简体"/>
          <w:sz w:val="44"/>
          <w:szCs w:val="44"/>
        </w:rPr>
      </w:pPr>
    </w:p>
    <w:p>
      <w:pPr>
        <w:spacing w:before="156" w:beforeLines="50" w:line="560" w:lineRule="exact"/>
        <w:ind w:left="-105" w:leftChars="-50"/>
        <w:jc w:val="center"/>
        <w:rPr>
          <w:rFonts w:ascii="方正小标宋简体" w:hAnsi="宋体" w:eastAsia="方正小标宋简体"/>
          <w:sz w:val="44"/>
          <w:szCs w:val="44"/>
        </w:rPr>
      </w:pPr>
      <w:r>
        <w:rPr>
          <w:rFonts w:hint="eastAsia" w:ascii="楷体_GB2312" w:hAnsi="宋体" w:eastAsia="楷体_GB2312"/>
          <w:sz w:val="52"/>
          <w:szCs w:val="52"/>
        </w:rPr>
        <w:t xml:space="preserve"> </w:t>
      </w:r>
      <w:r>
        <w:rPr>
          <w:rFonts w:hint="eastAsia" w:ascii="方正小标宋简体" w:hAnsi="宋体" w:eastAsia="方正小标宋简体"/>
          <w:sz w:val="44"/>
          <w:szCs w:val="44"/>
        </w:rPr>
        <w:t xml:space="preserve"> </w:t>
      </w:r>
    </w:p>
    <w:p>
      <w:pPr>
        <w:jc w:val="center"/>
        <w:rPr>
          <w:rFonts w:ascii="仿宋_GB2312" w:eastAsia="仿宋_GB2312"/>
          <w:sz w:val="32"/>
          <w:szCs w:val="32"/>
        </w:rPr>
      </w:pPr>
      <w:r>
        <w:rPr>
          <w:rFonts w:hint="eastAsia" w:ascii="仿宋_GB2312" w:eastAsia="仿宋_GB2312"/>
          <w:sz w:val="32"/>
          <w:szCs w:val="32"/>
        </w:rPr>
        <w:t>月镇政发〔20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22</w:t>
      </w:r>
      <w:r>
        <w:rPr>
          <w:rFonts w:hint="eastAsia" w:ascii="仿宋_GB2312" w:eastAsia="仿宋_GB2312"/>
          <w:sz w:val="32"/>
          <w:szCs w:val="32"/>
        </w:rPr>
        <w:t>号</w:t>
      </w:r>
    </w:p>
    <w:p>
      <w:pPr>
        <w:spacing w:line="680" w:lineRule="exact"/>
        <w:jc w:val="center"/>
        <w:rPr>
          <w:rFonts w:hint="eastAsia" w:ascii="仿宋" w:hAnsi="仿宋" w:eastAsia="仿宋"/>
          <w:sz w:val="32"/>
          <w:szCs w:val="32"/>
        </w:rPr>
      </w:pPr>
    </w:p>
    <w:p>
      <w:pPr>
        <w:spacing w:line="680" w:lineRule="exact"/>
        <w:jc w:val="center"/>
        <w:rPr>
          <w:rFonts w:hint="eastAsia" w:ascii="仿宋" w:hAnsi="仿宋" w:eastAsia="仿宋"/>
          <w:sz w:val="32"/>
          <w:szCs w:val="32"/>
        </w:rPr>
      </w:pPr>
    </w:p>
    <w:p>
      <w:pPr>
        <w:spacing w:line="680" w:lineRule="exact"/>
        <w:jc w:val="center"/>
        <w:rPr>
          <w:rFonts w:ascii="仿宋" w:hAnsi="仿宋" w:eastAsia="仿宋"/>
          <w:sz w:val="32"/>
          <w:szCs w:val="32"/>
        </w:rPr>
      </w:pPr>
      <w:r>
        <w:rPr>
          <w:rFonts w:hint="eastAsia" w:ascii="仿宋" w:hAnsi="仿宋" w:eastAsia="仿宋"/>
          <w:sz w:val="32"/>
          <w:szCs w:val="32"/>
        </w:rPr>
        <w:t xml:space="preserve"> </w:t>
      </w:r>
    </w:p>
    <w:p>
      <w:pPr>
        <w:spacing w:line="600" w:lineRule="exact"/>
        <w:jc w:val="center"/>
        <w:rPr>
          <w:rFonts w:hint="eastAsia" w:ascii="方正小标宋简体" w:hAnsi="方正小标宋简体" w:eastAsia="方正小标宋简体" w:cs="方正小标宋简体"/>
          <w:b/>
          <w:bCs/>
          <w:spacing w:val="0"/>
          <w:w w:val="95"/>
          <w:sz w:val="44"/>
          <w:szCs w:val="44"/>
        </w:rPr>
      </w:pPr>
      <w:r>
        <w:rPr>
          <w:rFonts w:hint="eastAsia" w:ascii="方正小标宋简体" w:hAnsi="方正小标宋简体" w:eastAsia="方正小标宋简体" w:cs="方正小标宋简体"/>
          <w:b/>
          <w:bCs/>
          <w:spacing w:val="0"/>
          <w:w w:val="95"/>
          <w:sz w:val="44"/>
          <w:szCs w:val="44"/>
        </w:rPr>
        <w:t>岳阳县月田镇人民政府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rPr>
      </w:pPr>
      <w:r>
        <w:rPr>
          <w:rFonts w:hint="eastAsia" w:ascii="方正小标宋简体" w:hAnsi="方正小标宋简体" w:eastAsia="方正小标宋简体" w:cs="方正小标宋简体"/>
          <w:b/>
          <w:bCs/>
          <w:spacing w:val="0"/>
          <w:w w:val="95"/>
          <w:sz w:val="44"/>
          <w:szCs w:val="44"/>
        </w:rPr>
        <w:t>关于</w:t>
      </w:r>
      <w:r>
        <w:rPr>
          <w:rFonts w:hint="eastAsia" w:ascii="方正小标宋简体" w:hAnsi="方正小标宋简体" w:eastAsia="方正小标宋简体" w:cs="方正小标宋简体"/>
          <w:b/>
          <w:bCs/>
          <w:spacing w:val="0"/>
          <w:w w:val="95"/>
          <w:sz w:val="44"/>
          <w:szCs w:val="44"/>
          <w:lang w:eastAsia="zh-CN"/>
        </w:rPr>
        <w:t>印发《</w:t>
      </w:r>
      <w:r>
        <w:rPr>
          <w:rFonts w:hint="eastAsia" w:ascii="方正小标宋_GBK" w:hAnsi="方正小标宋_GBK" w:eastAsia="方正小标宋_GBK" w:cs="方正小标宋_GBK"/>
          <w:b/>
          <w:bCs/>
          <w:sz w:val="44"/>
          <w:szCs w:val="44"/>
          <w:lang w:eastAsia="zh-CN"/>
        </w:rPr>
        <w:t>月田镇</w:t>
      </w:r>
      <w:r>
        <w:rPr>
          <w:rFonts w:hint="eastAsia" w:ascii="方正小标宋_GBK" w:hAnsi="方正小标宋_GBK" w:eastAsia="方正小标宋_GBK" w:cs="方正小标宋_GBK"/>
          <w:b/>
          <w:bCs/>
          <w:sz w:val="44"/>
          <w:szCs w:val="44"/>
        </w:rPr>
        <w:t>安全生产专项整治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pacing w:val="0"/>
          <w:w w:val="95"/>
          <w:sz w:val="44"/>
          <w:szCs w:val="44"/>
        </w:rPr>
      </w:pPr>
      <w:r>
        <w:rPr>
          <w:rFonts w:hint="eastAsia" w:ascii="方正小标宋_GBK" w:hAnsi="方正小标宋_GBK" w:eastAsia="方正小标宋_GBK" w:cs="方正小标宋_GBK"/>
          <w:b/>
          <w:bCs/>
          <w:sz w:val="44"/>
          <w:szCs w:val="44"/>
        </w:rPr>
        <w:t>三年行动实施方案</w:t>
      </w:r>
      <w:r>
        <w:rPr>
          <w:rFonts w:hint="eastAsia" w:ascii="方正小标宋_GBK" w:hAnsi="方正小标宋_GBK" w:eastAsia="方正小标宋_GBK" w:cs="方正小标宋_GBK"/>
          <w:b/>
          <w:bCs/>
          <w:sz w:val="44"/>
          <w:szCs w:val="44"/>
          <w:lang w:eastAsia="zh-CN"/>
        </w:rPr>
        <w:t>》</w:t>
      </w:r>
      <w:r>
        <w:rPr>
          <w:rFonts w:hint="eastAsia" w:ascii="方正小标宋简体" w:hAnsi="方正小标宋简体" w:eastAsia="方正小标宋简体" w:cs="方正小标宋简体"/>
          <w:b/>
          <w:bCs/>
          <w:spacing w:val="0"/>
          <w:w w:val="95"/>
          <w:sz w:val="44"/>
          <w:szCs w:val="44"/>
        </w:rPr>
        <w:t>的通知</w:t>
      </w:r>
    </w:p>
    <w:p>
      <w:pPr>
        <w:rPr>
          <w:rFonts w:hint="eastAsia" w:ascii="仿宋_GB2312" w:hAnsi="仿宋_GB2312" w:eastAsia="仿宋_GB2312" w:cs="仿宋_GB2312"/>
          <w:sz w:val="32"/>
          <w:szCs w:val="32"/>
        </w:rPr>
      </w:pPr>
    </w:p>
    <w:p>
      <w:pPr>
        <w:rPr>
          <w:rFonts w:hint="eastAsia" w:ascii="仿宋" w:hAnsi="仿宋" w:eastAsia="仿宋" w:cs="仿宋_GB2312"/>
          <w:sz w:val="32"/>
          <w:szCs w:val="32"/>
        </w:rPr>
      </w:pPr>
      <w:r>
        <w:rPr>
          <w:rFonts w:hint="eastAsia" w:ascii="仿宋" w:hAnsi="仿宋" w:eastAsia="仿宋" w:cs="仿宋_GB2312"/>
          <w:sz w:val="32"/>
          <w:szCs w:val="32"/>
        </w:rPr>
        <w:t>各村(居)委会</w:t>
      </w:r>
      <w:bookmarkStart w:id="0" w:name="_GoBack"/>
      <w:bookmarkEnd w:id="0"/>
      <w:r>
        <w:rPr>
          <w:rFonts w:hint="eastAsia" w:ascii="仿宋" w:hAnsi="仿宋" w:eastAsia="仿宋" w:cs="仿宋_GB2312"/>
          <w:sz w:val="32"/>
          <w:szCs w:val="32"/>
          <w:lang w:eastAsia="zh-CN"/>
        </w:rPr>
        <w:t>，各部门</w:t>
      </w:r>
      <w:r>
        <w:rPr>
          <w:rFonts w:hint="eastAsia" w:ascii="仿宋" w:hAnsi="仿宋" w:eastAsia="仿宋" w:cs="仿宋_GB2312"/>
          <w:sz w:val="32"/>
          <w:szCs w:val="32"/>
        </w:rPr>
        <w:t>：</w:t>
      </w:r>
    </w:p>
    <w:p>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现将《月田镇</w:t>
      </w:r>
      <w:r>
        <w:rPr>
          <w:rFonts w:hint="eastAsia" w:ascii="仿宋" w:hAnsi="仿宋" w:eastAsia="仿宋" w:cs="仿宋_GB2312"/>
          <w:sz w:val="32"/>
          <w:szCs w:val="32"/>
        </w:rPr>
        <w:t>安全生产专项整治三年行动实施方案</w:t>
      </w:r>
      <w:r>
        <w:rPr>
          <w:rFonts w:hint="eastAsia" w:ascii="仿宋" w:hAnsi="仿宋" w:eastAsia="仿宋" w:cs="仿宋_GB2312"/>
          <w:sz w:val="32"/>
          <w:szCs w:val="32"/>
          <w:lang w:eastAsia="zh-CN"/>
        </w:rPr>
        <w:t>》印发给你们，请认真组织实施。</w:t>
      </w:r>
    </w:p>
    <w:p>
      <w:pPr>
        <w:pStyle w:val="2"/>
        <w:ind w:left="0" w:leftChars="0" w:firstLine="0" w:firstLineChars="0"/>
        <w:rPr>
          <w:rFonts w:hint="eastAsia" w:ascii="仿宋" w:hAnsi="仿宋" w:eastAsia="仿宋" w:cs="仿宋_GB2312"/>
          <w:sz w:val="32"/>
          <w:szCs w:val="32"/>
          <w:lang w:eastAsia="zh-CN"/>
        </w:rPr>
      </w:pPr>
    </w:p>
    <w:p>
      <w:pPr>
        <w:pStyle w:val="2"/>
        <w:ind w:left="0" w:leftChars="0" w:firstLine="0" w:firstLineChars="0"/>
        <w:rPr>
          <w:rFonts w:hint="eastAsia" w:ascii="仿宋" w:hAnsi="仿宋" w:eastAsia="仿宋" w:cs="仿宋_GB2312"/>
          <w:sz w:val="32"/>
          <w:szCs w:val="32"/>
          <w:lang w:eastAsia="zh-CN"/>
        </w:rPr>
      </w:pPr>
    </w:p>
    <w:p>
      <w:pPr>
        <w:pStyle w:val="2"/>
        <w:ind w:left="0" w:leftChars="0" w:firstLine="4480" w:firstLineChars="14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岳阳县月田镇人民政府</w:t>
      </w:r>
    </w:p>
    <w:p>
      <w:pPr>
        <w:pStyle w:val="2"/>
        <w:ind w:left="0" w:leftChars="0" w:firstLine="4800" w:firstLineChars="15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2020年7月27日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月田镇</w:t>
      </w:r>
      <w:r>
        <w:rPr>
          <w:rFonts w:hint="eastAsia" w:ascii="方正小标宋_GBK" w:hAnsi="方正小标宋_GBK" w:eastAsia="方正小标宋_GBK" w:cs="方正小标宋_GBK"/>
          <w:b/>
          <w:bCs/>
          <w:sz w:val="44"/>
          <w:szCs w:val="44"/>
        </w:rPr>
        <w:t>安全生产专项整治三年行动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实</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施</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方</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岳阳</w:t>
      </w:r>
      <w:r>
        <w:rPr>
          <w:rFonts w:hint="eastAsia" w:ascii="仿宋_GB2312" w:hAnsi="仿宋_GB2312" w:eastAsia="仿宋_GB2312" w:cs="仿宋_GB2312"/>
          <w:sz w:val="32"/>
          <w:szCs w:val="32"/>
        </w:rPr>
        <w:t>县安全生产专项整治三年行动实施方案》，结合本镇实际，制定本实施方案。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二中、三中、四中全会精神，深入贯彻习近平总书记关于安全生产重要论述，树牢安全发展理念，强化底线思维和红线意识，坚持问题导</w:t>
      </w:r>
      <w:r>
        <w:rPr>
          <w:rFonts w:hint="eastAsia" w:ascii="仿宋_GB2312" w:hAnsi="仿宋_GB2312" w:eastAsia="仿宋_GB2312" w:cs="仿宋_GB2312"/>
          <w:sz w:val="32"/>
          <w:szCs w:val="32"/>
        </w:rPr>
        <w:t>向、目标导向和结果导向，深化源头治理、系统治理和综合治理，完善和落实“从根本上消除事故隐患”的责任链条、制度成果、管理办法、重点工程和工作机制，扎实推进安全生产治理体系和治理能力现代化，全力推动我镇安全生产整体水平明显提高，切实减少一般事故，有效控制较大事故，坚决杜绝重特大事故，为维护好全镇人民生命财产安全和经济高质量发展</w:t>
      </w:r>
      <w:r>
        <w:rPr>
          <w:rFonts w:hint="eastAsia" w:ascii="仿宋_GB2312" w:hAnsi="仿宋_GB2312" w:eastAsia="仿宋_GB2312" w:cs="仿宋_GB2312"/>
          <w:sz w:val="32"/>
          <w:szCs w:val="32"/>
          <w:lang w:eastAsia="zh-CN"/>
        </w:rPr>
        <w:t>、社会和谐稳定</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有力</w:t>
      </w:r>
      <w:r>
        <w:rPr>
          <w:rFonts w:hint="eastAsia" w:ascii="仿宋_GB2312" w:hAnsi="仿宋_GB2312" w:eastAsia="仿宋_GB2312" w:cs="仿宋_GB2312"/>
          <w:sz w:val="32"/>
          <w:szCs w:val="32"/>
        </w:rPr>
        <w:t>的安全保障。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二、主要任务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和落实安全生产责任及管理制度，健全落实“党政同责、一岗双责、齐抓共管、失职追责”的安全生产责任制，强化党委政府领导责任、村“两委”及部门监管责任和企业主体责任；推动各村、镇直各单位及各类企业坚持用习近平总书记关于安全生产重要论述武装头脑、指导实践，务必把安全生产摆到重要位置，切实解决思想认知不足、安全发展理念不牢和工作落实不到位等突出问题；建立公共安全隐患排查和安全预防控制体系，推进安全生产由企业被动接受监管向主动加强管理转变、安全风险管控由政府推动为主向企业自主开展转变、隐患排查治理由行政执法为主向企业日常自查自纠转变；完善安全生产体制机制法制，大力推动科技创新，持续加强基础建设，不断强化监管合力及执法力度，全面提升本镇安全水平。全镇安全生产专项整治三年行动重点分2个专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个行业领域深入推动实施。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（一）学习宣传贯彻习近平总书记关于安全生产重要论述专题。</w:t>
      </w:r>
      <w:r>
        <w:rPr>
          <w:rFonts w:hint="eastAsia" w:ascii="仿宋_GB2312" w:hAnsi="仿宋_GB2312" w:eastAsia="仿宋_GB2312" w:cs="仿宋_GB2312"/>
          <w:sz w:val="32"/>
          <w:szCs w:val="32"/>
        </w:rPr>
        <w:t>深入学习宣传贯彻习近平总书记关于安全生产重要论述，坚持解决思想问题与解决实际问题相结合，增强从根本上消除事故隐患的思想自觉和行动自觉。</w:t>
      </w:r>
      <w:r>
        <w:rPr>
          <w:rFonts w:hint="eastAsia" w:ascii="仿宋_GB2312" w:hAnsi="仿宋_GB2312" w:eastAsia="仿宋_GB2312" w:cs="仿宋_GB2312"/>
          <w:sz w:val="32"/>
          <w:szCs w:val="32"/>
        </w:rPr>
        <w:t>一是组织集中观看“生命重于泰山——学习习近平总书记关于安全生产重要论述”电视专题片。二是集中开展学习教育。</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党委理论学习中心组要安排专题学习和研讨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级分批组织安全监管干部和企业负责人、安全管理人员开展轮训，推进学习教育全覆盖。三是深入系统宣传。结合“安全生产月”“119全国消防月”“法制宣传周”“交通安全日”等活动，积极推进安全宣传“五进”增强公众安全意识。通</w:t>
      </w:r>
      <w:r>
        <w:rPr>
          <w:rFonts w:hint="eastAsia" w:ascii="仿宋_GB2312" w:hAnsi="仿宋_GB2312" w:eastAsia="仿宋_GB2312" w:cs="仿宋_GB2312"/>
          <w:sz w:val="32"/>
          <w:szCs w:val="32"/>
        </w:rPr>
        <w:t>过深入系统宣传贯彻、集中开展学习教育、健全落实安全生产责任制、有效防范安全风险、加强安全监管干部队伍建设。实现三个工作目标：一是学深悟透习近平总书记关于安全生产重要论述，以实际行动和实际效果做到“两个维护”。二是牢固树立安全发展理念，始终把人民群众生命安全放在第一位。三是坚决扛起防范化解重大安全风险的政治责任，切实做到促一方发展、保一方平安。</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（二）落实企业安全生产主体责任专题。</w:t>
      </w:r>
      <w:r>
        <w:rPr>
          <w:rFonts w:hint="eastAsia" w:ascii="仿宋_GB2312" w:hAnsi="仿宋_GB2312" w:eastAsia="仿宋_GB2312" w:cs="仿宋_GB2312"/>
          <w:sz w:val="32"/>
          <w:szCs w:val="32"/>
        </w:rPr>
        <w:t>一是压实企业安全生产责任。牢固树立安全发展理念，建立健全企业安全生产责任制，做到安全责任到位、安全投入到位、安全培训到位、安全管理到位、应急救援到位。二是规范企业安全生产管理。建立健全安全生产管理机构，配齐配强安全生产管理人员，积极鼓励和引导企业开展安全生产标准化达标创建工作。三是强化企业安全风险管控。建立健全安全风险分级管控和隐患排查治理双重预防机制，全面辨识评估安全风险，实现“一企一清单”。四是加强制度建设。完善和落实企业安全生产诚信、承诺、举报、“双报告”“一报告双签字”和教育培训等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b/>
          <w:bCs/>
          <w:sz w:val="32"/>
          <w:szCs w:val="32"/>
        </w:rPr>
        <w:t>（三）危险化学品安全整治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认真贯彻落实《中共中央办公厅国务院办公厅关于全面加强危险化学品安全生产工作的意见》，推动各项制度措施落地见效。</w:t>
      </w:r>
      <w:r>
        <w:rPr>
          <w:rFonts w:hint="eastAsia" w:ascii="仿宋_GB2312" w:hAnsi="仿宋_GB2312" w:eastAsia="仿宋_GB2312" w:cs="仿宋_GB2312"/>
          <w:sz w:val="32"/>
          <w:szCs w:val="32"/>
          <w:lang w:eastAsia="zh-CN"/>
        </w:rPr>
        <w:t>对油站、气站定期开展安全生产检查。严厉非法灌装液化气行为。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eastAsia="zh-CN"/>
        </w:rPr>
        <w:t>四</w:t>
      </w:r>
      <w:r>
        <w:rPr>
          <w:rFonts w:hint="eastAsia" w:ascii="方正楷体_GBK" w:hAnsi="方正楷体_GBK" w:eastAsia="方正楷体_GBK" w:cs="方正楷体_GBK"/>
          <w:b/>
          <w:bCs/>
          <w:sz w:val="32"/>
          <w:szCs w:val="32"/>
        </w:rPr>
        <w:t>）消防安全整治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一是集中解决突出风险隐患，开展打通消防生命通道工程、</w:t>
      </w:r>
      <w:r>
        <w:rPr>
          <w:rFonts w:hint="eastAsia" w:ascii="仿宋_GB2312" w:hAnsi="仿宋_GB2312" w:eastAsia="仿宋_GB2312" w:cs="仿宋_GB2312"/>
          <w:sz w:val="32"/>
          <w:szCs w:val="32"/>
        </w:rPr>
        <w:t>商场市场</w:t>
      </w:r>
      <w:r>
        <w:rPr>
          <w:rFonts w:hint="eastAsia" w:ascii="仿宋_GB2312" w:hAnsi="仿宋_GB2312" w:eastAsia="仿宋_GB2312" w:cs="仿宋_GB2312"/>
          <w:sz w:val="32"/>
          <w:szCs w:val="32"/>
        </w:rPr>
        <w:t>（“三合一”场所）、“九小”场所等重点整治。二是不断夯实火灾防控基础，推进镇村公共消防基础建设。三是</w:t>
      </w:r>
      <w:r>
        <w:rPr>
          <w:rFonts w:hint="eastAsia" w:ascii="仿宋_GB2312" w:hAnsi="仿宋_GB2312" w:eastAsia="仿宋_GB2312" w:cs="仿宋_GB2312"/>
          <w:sz w:val="32"/>
          <w:szCs w:val="32"/>
          <w:lang w:eastAsia="zh-CN"/>
        </w:rPr>
        <w:t>加强森林火灾防范，严格管控野外用火行为。四是</w:t>
      </w:r>
      <w:r>
        <w:rPr>
          <w:rFonts w:hint="eastAsia" w:ascii="仿宋_GB2312" w:hAnsi="仿宋_GB2312" w:eastAsia="仿宋_GB2312" w:cs="仿宋_GB2312"/>
          <w:sz w:val="32"/>
          <w:szCs w:val="32"/>
        </w:rPr>
        <w:t>提升群众消防安全素质和消防技能，持续针对一线重点人群，开展以“实操实训”为基本内容的消防技能培训，针对社会公众广泛宣传消防安全常识，增强群众消防安全意识。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eastAsia="zh-CN"/>
        </w:rPr>
        <w:t>（五）道路运输安全整治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rPr>
        <w:t>深入实施公路安全生命防护工程，巩固提升</w:t>
      </w:r>
      <w:r>
        <w:rPr>
          <w:rFonts w:hint="eastAsia" w:ascii="仿宋_GB2312" w:hAnsi="仿宋_GB2312" w:eastAsia="仿宋_GB2312" w:cs="仿宋_GB2312"/>
          <w:sz w:val="32"/>
          <w:szCs w:val="32"/>
          <w:lang w:eastAsia="zh-CN"/>
        </w:rPr>
        <w:t>境内</w:t>
      </w:r>
      <w:r>
        <w:rPr>
          <w:rFonts w:hint="eastAsia" w:ascii="仿宋_GB2312" w:hAnsi="仿宋_GB2312" w:eastAsia="仿宋_GB2312" w:cs="仿宋_GB2312"/>
          <w:sz w:val="32"/>
          <w:szCs w:val="32"/>
        </w:rPr>
        <w:t>公路安全隐患治理效果，加快临水临崖、连续长陡下坡、急弯陡坡等隐患路段和危桥改造整治，深化农村公路平交路口“千灯万带”示范工程，全面清理整治农村“马路市场”。</w:t>
      </w:r>
      <w:r>
        <w:rPr>
          <w:rFonts w:hint="eastAsia" w:ascii="仿宋_GB2312" w:hAnsi="仿宋_GB2312" w:eastAsia="仿宋_GB2312" w:cs="仿宋_GB2312"/>
          <w:sz w:val="32"/>
          <w:szCs w:val="32"/>
          <w:lang w:eastAsia="zh-CN"/>
        </w:rPr>
        <w:t>二是建立道路安全隐患排查整治制度。根据属地负责原则，各村（居）定期排查整改道路安全隐患，及时恢复因灾等原因造成的道路损毁等现象，及时完善道路安全标识。三是协调和组织有关部门开展治理超限超载、疲劳驾驶、酒驾、无牌无证、农用车载客、</w:t>
      </w:r>
      <w:r>
        <w:rPr>
          <w:rFonts w:hint="eastAsia" w:ascii="仿宋_GB2312" w:hAnsi="仿宋_GB2312" w:eastAsia="仿宋_GB2312" w:cs="仿宋_GB2312"/>
          <w:sz w:val="32"/>
          <w:szCs w:val="32"/>
        </w:rPr>
        <w:t>逾期未报废等违法违规行为</w:t>
      </w:r>
      <w:r>
        <w:rPr>
          <w:rFonts w:hint="eastAsia" w:ascii="仿宋_GB2312" w:hAnsi="仿宋_GB2312" w:eastAsia="仿宋_GB2312" w:cs="仿宋_GB2312"/>
          <w:sz w:val="32"/>
          <w:szCs w:val="32"/>
          <w:lang w:eastAsia="zh-CN"/>
        </w:rPr>
        <w:t>。四是扎实抓好校车安全整治。严厉打击未经批准的营运车辆接送学生上下学和校车超员、超速、不按规定线路行驶、不系安全带等行为。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b/>
          <w:bCs/>
          <w:sz w:val="32"/>
          <w:szCs w:val="32"/>
          <w:lang w:eastAsia="zh-CN"/>
        </w:rPr>
        <w:t>（六）水上交通和船舶安全整治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一是全面取缔无证船只（含竹排）。二是加强渡船渡口安全管理。对渡船进行定期检修，严禁带病运行。严禁渡船不按规定的线路运行和无证驾驶渡船。所有渡船渡口要配备足够的救身衣等安全防护设施。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eastAsia="zh-CN"/>
        </w:rPr>
        <w:t>（七）烟花爆竹安全整治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强化烟花爆竹经营安全整治，重点整治批发企业违反“六严禁”（经营超标、违禁、非法产品；超许可范围经营及向零售点销售专业燃放类产品；在仓库存放不属于烟花爆竹的爆炸物等危险物品；将执法收缴的产品与正常经营的产品混存；储存超量、堆放超高以及通道堵塞；购买和销售未张贴流向登记标签的产品);烟花爆竹零售企业“三严禁”“两关闭”(销售超标、违禁、专业燃放类产品或非法产品；在许可证载明的经营场所外存放烟花爆竹；超许可证载明隈量存放烟花爆竹；存在“下店上宅、前店后宅”等形式与居民居住场所设置在同一建筑物内的零售点；与人员密集场所和重点建筑物安全距离不足、集中连片经营、在超市内销售、未按规定专店销售的零售点）和经营场所与审批地址不符、从业人员未持证上岗、流向登记不规范等问题。强力“打非治违”，严防非法生产经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eastAsia="zh-CN"/>
        </w:rPr>
        <w:t>（八）工矿企业有限空间安全整治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健全完善有限空间安全管理制度，对有限空间进一步确认并登记建档，完善有限空间名称、地点、类型、危险因素、负责人等基本信息，杜绝漏管失控。加强有限空间作业全过程安全监管，严格落实作业前“三个必须”和作业中“五个必须”措施和作业后清理工作，切实确保作业安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eastAsia="zh-CN"/>
        </w:rPr>
        <w:t>（九）特种设备安全整治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全面排查登记特种设备(电梯)总数，确保特种设备相关单位及人员手续规范、证件齐全；督促特种设备使用单位落实主体责任，完善安全生产责任制，建立安全管理长效工作机制，在用特种设备登记率达到100%，特种设备定检率达到100%，作业人员持证上岗率达到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eastAsia="zh-CN"/>
        </w:rPr>
        <w:t>（十）中小学幼儿园校园安全整治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全面排查治理安全隐患。加强对校舍安全、用火、用电、用油、用气、危险化学品、网络、教学设施、生活设施安全检查，继续深入开展校车及学生道路交通安全综合整治，预防和减少道路交通事故。对排查出来的安全隐患，逐一落实责任单位和责任人，明确整改时限，形成闭环管理。加大安全保障基础投入。加强学校安全保卫机构建设，加大校园重点部位安防系统建设投入，完善集人防、物防、技防于一体的校园综合服务和治安防控体系；会同公安等部门深入推进校园周边治安环境治理，健全完善校园应急机制，认真组织开展法制教育和消防宣传、交通安全知识宣传，向师生传授自防、自救、自卫技能，进一步健全校园安全应急预案，对可能发生的如防火、防震、防踩踏、防暴恐、防溺水等各类安全事件开展有针对性的演练，提高师生应急处置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三、整治步骤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从2020年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月至2022年12月，分四个阶段进行。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（一）动员部署</w:t>
      </w: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对标对表全省、全市、全县三年专项整治要求，制定全镇安全生产专项整治三年行动实施方案；广泛宣传发动，营造浓厚整治氛围。各村、镇直各单位要结合实际，召开专项整治动员部署会，积极宣传动员，推动贯彻落实。</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（二）排查整治</w:t>
      </w: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月至12月）。</w:t>
      </w:r>
      <w:r>
        <w:rPr>
          <w:rFonts w:hint="eastAsia" w:ascii="仿宋_GB2312" w:hAnsi="仿宋_GB2312" w:eastAsia="仿宋_GB2312" w:cs="仿宋_GB2312"/>
          <w:sz w:val="32"/>
          <w:szCs w:val="32"/>
        </w:rPr>
        <w:t>各村、镇直各单位要深入分析本辖区、本行业领域事故发生的主客观原因，对本辖区、本行业领域和重点单位场所、关键环节安全风险隐患进行全面深入细致的排查治理，建立问题隐患和制度措施台账，明确整改责任人和整改要求，坚持边查边改、立查立改，加快推进实施，整治工作取得初步成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（三）集中攻坚</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rPr>
        <w:t>各村、镇直各单位要集中精力、突出重点，参加现场推进会、学习先进典型经验，加大专项整治攻坚力度，着力解决一批重点难点问题，落实和完善治理措施，推动建立健全公共安全隐患排查和安全预防控制体系，整治工作取得明显成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（四）巩固提升</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rPr>
        <w:t>各村、镇直各单位要认真梳理整治工作中存在的问题，深入分析安全生产共性问题和突出隐患，深挖背后的深层次矛盾和原因。总结安全生产专项整治三年行动开展情况，健全长效机制，形成一套较为成熟定型的安全生产制度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（一）强化组织领导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各村、镇直各单位要从增强“四个意识”、坚定“四个自信”、做到“两个维护”的政治高度，深刻认识做好专项整治三年行动的重要性，强化领导责任，勇于担当作为，抓好组织实施，绝不能只重发展不顾安全，更不能将其视为无关痛痒的事，搞形式主义、官僚主义。镇安委会负责全镇安全生产专项整治三年行动的组织领导</w:t>
      </w:r>
      <w:r>
        <w:rPr>
          <w:rFonts w:hint="eastAsia" w:ascii="仿宋_GB2312" w:hAnsi="仿宋_GB2312" w:eastAsia="仿宋_GB2312" w:cs="仿宋_GB2312"/>
          <w:sz w:val="32"/>
          <w:szCs w:val="32"/>
          <w:lang w:eastAsia="zh-CN"/>
        </w:rPr>
        <w:t>，分管安全生产的副职</w:t>
      </w:r>
      <w:r>
        <w:rPr>
          <w:rFonts w:hint="eastAsia" w:ascii="仿宋_GB2312" w:hAnsi="仿宋_GB2312" w:eastAsia="仿宋_GB2312" w:cs="仿宋_GB2312"/>
          <w:sz w:val="32"/>
          <w:szCs w:val="32"/>
        </w:rPr>
        <w:t>具体负责日常工作和协调。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（二）强化保障能力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完善支持安全生产工作政策体系，强化安全生产工作的经费保障，优化支出结构，向重点行业领域风险防控、事故隐患消除工作倾斜。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（三）强化检查执法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强化监管执法和跟踪问效，深入开展督促指导、明查暗访、村级交叉检查，对重点问题、重大隐患盯住不放、一抓到底。督促企业自查自纠，按照“一报告双签字”原则，报送企业主体责任履职报告；对企业主动发现、自觉报告的问题隐患，重点实行跟踪指导服务。充分运用正反两方面的典型，积极开展以案释法，加强宣传教育，鼓励和引导广大群众特别是企业职工举报重大隐患和违法违规行为，形成全社会参与支持、群防群治的良好局面。</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（四）强化考核问责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安委会</w:t>
      </w:r>
      <w:r>
        <w:rPr>
          <w:rFonts w:hint="eastAsia" w:ascii="仿宋_GB2312" w:hAnsi="仿宋_GB2312" w:eastAsia="仿宋_GB2312" w:cs="仿宋_GB2312"/>
          <w:sz w:val="32"/>
          <w:szCs w:val="32"/>
        </w:rPr>
        <w:t>加强对各村、镇直各单位落实情况的监督，有序推动各项措施落实。按照“一月一调度、一季一通报、一年一总结”要求，建立和落实与镇纪委安全生产违法违纪问题线索移交查办工作机制，对整治工作不负责、不作为，分工责任不落实、措施不得力，重大问题隐患悬而不决，逾期没有完成目标任务的，坚决问责。对因整治工作失职渎职，造成事故发生的，移交司法部门依法严肃追究法律责任。镇党委、政府把安全生产三年专项整治行动纳入安全生产年度综合考核，切实推动各项整治措施落实，确保取得实实在在的成效。</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76DF7"/>
    <w:rsid w:val="01876DF7"/>
    <w:rsid w:val="45CB5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uiPriority w:val="0"/>
    <w:pPr>
      <w:ind w:firstLine="200" w:firstLineChars="200"/>
    </w:pPr>
    <w:rPr>
      <w:rFonts w:ascii="Times New Roman" w:hAnsi="Times New Roman"/>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2020-09-27T07:17:00Z</dcterms:created>
  <dc:creator>月田镇办公室</dc:creator>
  <cp:lastModifiedBy>月田镇办公室</cp:lastModifiedBy>
  <dcterms:modified xsi:type="dcterms:W3CDTF">2020-09-27T09:24:16Z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