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u w:val="single"/>
          <w:lang w:eastAsia="zh-CN"/>
        </w:rPr>
        <w:t>岳阳县库区移民服务中心</w:t>
      </w:r>
      <w:r>
        <w:rPr>
          <w:rFonts w:hint="eastAsia" w:eastAsia="仿宋_GB2312"/>
          <w:sz w:val="32"/>
          <w:u w:val="single"/>
          <w:lang w:val="en-US" w:eastAsia="zh-CN"/>
        </w:rPr>
        <w:t xml:space="preserve">      </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z w:val="32"/>
          <w:u w:val="single"/>
          <w:lang w:val="en-US" w:eastAsia="zh-CN"/>
        </w:rPr>
        <w:t xml:space="preserve">yyx023    </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eastAsia="仿宋_GB2312"/>
          <w:sz w:val="32"/>
        </w:rPr>
        <w:t xml:space="preserve"> </w:t>
      </w:r>
      <w:r>
        <w:rPr>
          <w:rFonts w:hint="eastAsia" w:eastAsia="仿宋_GB2312"/>
          <w:sz w:val="32"/>
          <w:lang w:val="en-US" w:eastAsia="zh-CN"/>
        </w:rPr>
        <w:t>7</w:t>
      </w:r>
      <w:r>
        <w:rPr>
          <w:rFonts w:hint="eastAsia" w:eastAsia="仿宋_GB2312"/>
          <w:sz w:val="32"/>
        </w:rPr>
        <w:t>月</w:t>
      </w:r>
      <w:r>
        <w:rPr>
          <w:rFonts w:eastAsia="仿宋_GB2312"/>
          <w:sz w:val="32"/>
        </w:rPr>
        <w:t xml:space="preserve"> </w:t>
      </w:r>
      <w:r>
        <w:rPr>
          <w:rFonts w:hint="eastAsia" w:eastAsia="仿宋_GB2312"/>
          <w:sz w:val="32"/>
          <w:lang w:val="en-US" w:eastAsia="zh-CN"/>
        </w:rPr>
        <w:t>26</w:t>
      </w:r>
      <w:r>
        <w:rPr>
          <w:rFonts w:eastAsia="仿宋_GB2312"/>
          <w:sz w:val="32"/>
        </w:rPr>
        <w:t xml:space="preserve"> </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2"/>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李矜琴</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15616589998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spacing w:line="500" w:lineRule="exact"/>
              <w:ind w:firstLine="480"/>
              <w:jc w:val="left"/>
              <w:rPr>
                <w:rFonts w:hint="eastAsia" w:ascii="仿宋_GB2312" w:hAnsi="ˎ̥" w:eastAsia="仿宋_GB2312" w:cs="宋体"/>
                <w:color w:val="666666"/>
                <w:kern w:val="0"/>
                <w:sz w:val="24"/>
              </w:rPr>
            </w:pPr>
            <w:r>
              <w:rPr>
                <w:rFonts w:hint="eastAsia" w:ascii="仿宋_GB2312" w:hAnsi="ˎ̥" w:eastAsia="仿宋_GB2312" w:cs="宋体"/>
                <w:color w:val="333333"/>
                <w:kern w:val="0"/>
                <w:sz w:val="24"/>
              </w:rPr>
              <w:t>一、负责宣传和贯彻执行国家、省、市有关水利水电工程建设征地补偿和移民安置的政策、法律法规；</w:t>
            </w:r>
          </w:p>
          <w:p>
            <w:pPr>
              <w:widowControl/>
              <w:spacing w:line="500" w:lineRule="exact"/>
              <w:ind w:firstLine="480"/>
              <w:jc w:val="left"/>
              <w:rPr>
                <w:rFonts w:hint="eastAsia" w:ascii="仿宋_GB2312" w:hAnsi="ˎ̥" w:eastAsia="仿宋_GB2312" w:cs="宋体"/>
                <w:color w:val="666666"/>
                <w:kern w:val="0"/>
                <w:sz w:val="24"/>
              </w:rPr>
            </w:pPr>
            <w:r>
              <w:rPr>
                <w:rFonts w:hint="eastAsia" w:ascii="仿宋_GB2312" w:hAnsi="ˎ̥" w:eastAsia="仿宋_GB2312" w:cs="宋体"/>
                <w:color w:val="333333"/>
                <w:kern w:val="0"/>
                <w:sz w:val="24"/>
              </w:rPr>
              <w:t>二、负责本行政区域内大中型水利水电工程移民安置工作的实施，按照项目建立合同管理制度，对移民工程质量、进度、资金和档案实行全方位管理。</w:t>
            </w:r>
          </w:p>
          <w:p>
            <w:pPr>
              <w:widowControl/>
              <w:spacing w:line="500" w:lineRule="exact"/>
              <w:ind w:firstLine="420"/>
              <w:jc w:val="left"/>
              <w:rPr>
                <w:rFonts w:hint="eastAsia" w:ascii="仿宋_GB2312" w:hAnsi="ˎ̥" w:eastAsia="仿宋_GB2312" w:cs="宋体"/>
                <w:color w:val="666666"/>
                <w:kern w:val="0"/>
                <w:sz w:val="24"/>
              </w:rPr>
            </w:pPr>
            <w:r>
              <w:rPr>
                <w:rFonts w:hint="eastAsia" w:ascii="仿宋_GB2312" w:hAnsi="ˎ̥" w:eastAsia="仿宋_GB2312" w:cs="宋体"/>
                <w:color w:val="333333"/>
                <w:kern w:val="0"/>
                <w:sz w:val="24"/>
              </w:rPr>
              <w:t>三、主动参与项目设计单位编制本区域内大中型水利水电工程移民安置规划大纲，提出移民安置去向和方式，推荐移民安置方案，配合设计单位完成实物指标分解细化到户的工作。</w:t>
            </w:r>
          </w:p>
          <w:p>
            <w:pPr>
              <w:widowControl/>
              <w:spacing w:line="500" w:lineRule="exact"/>
              <w:ind w:firstLine="420"/>
              <w:jc w:val="left"/>
              <w:rPr>
                <w:rFonts w:hint="eastAsia" w:ascii="仿宋_GB2312" w:hAnsi="ˎ̥" w:eastAsia="仿宋_GB2312" w:cs="宋体"/>
                <w:color w:val="666666"/>
                <w:kern w:val="0"/>
                <w:sz w:val="24"/>
              </w:rPr>
            </w:pPr>
            <w:r>
              <w:rPr>
                <w:rFonts w:hint="eastAsia" w:ascii="仿宋_GB2312" w:hAnsi="ˎ̥" w:eastAsia="仿宋_GB2312" w:cs="宋体"/>
                <w:color w:val="333333"/>
                <w:kern w:val="0"/>
                <w:sz w:val="24"/>
              </w:rPr>
              <w:t>四、在规划设计单位的配合下，依据移民安置规划和移民安置总体进度要求编制移民安置实施计划，报上级批准后执行。</w:t>
            </w:r>
          </w:p>
          <w:p>
            <w:pPr>
              <w:widowControl/>
              <w:spacing w:line="500" w:lineRule="exact"/>
              <w:ind w:firstLine="420"/>
              <w:jc w:val="left"/>
              <w:rPr>
                <w:rFonts w:hint="eastAsia" w:ascii="仿宋_GB2312" w:hAnsi="ˎ̥" w:eastAsia="仿宋_GB2312" w:cs="宋体"/>
                <w:color w:val="666666"/>
                <w:kern w:val="0"/>
                <w:sz w:val="24"/>
              </w:rPr>
            </w:pPr>
            <w:r>
              <w:rPr>
                <w:rFonts w:hint="eastAsia" w:ascii="仿宋_GB2312" w:hAnsi="ˎ̥" w:eastAsia="仿宋_GB2312" w:cs="宋体"/>
                <w:color w:val="333333"/>
                <w:kern w:val="0"/>
                <w:sz w:val="24"/>
              </w:rPr>
              <w:t>五、根据移民安置规划和移民安置协议的要求，组织实施移民安置计划。</w:t>
            </w:r>
          </w:p>
          <w:p>
            <w:pPr>
              <w:widowControl/>
              <w:spacing w:line="500" w:lineRule="exact"/>
              <w:ind w:firstLine="420"/>
              <w:jc w:val="left"/>
              <w:rPr>
                <w:rFonts w:hint="eastAsia" w:ascii="仿宋_GB2312" w:hAnsi="ˎ̥" w:eastAsia="仿宋_GB2312" w:cs="宋体"/>
                <w:color w:val="666666"/>
                <w:kern w:val="0"/>
                <w:sz w:val="24"/>
              </w:rPr>
            </w:pPr>
            <w:r>
              <w:rPr>
                <w:rFonts w:hint="eastAsia" w:ascii="仿宋_GB2312" w:hAnsi="ˎ̥" w:eastAsia="仿宋_GB2312" w:cs="宋体"/>
                <w:color w:val="333333"/>
                <w:kern w:val="0"/>
                <w:sz w:val="24"/>
              </w:rPr>
              <w:t>六、负责编制水库移民后期扶持年度规划、中长期规划，负责移民后期扶持政策的落实兑现。</w:t>
            </w:r>
          </w:p>
          <w:p>
            <w:pPr>
              <w:widowControl/>
              <w:spacing w:line="500" w:lineRule="exact"/>
              <w:ind w:firstLine="420"/>
              <w:jc w:val="left"/>
              <w:rPr>
                <w:rFonts w:hint="eastAsia" w:ascii="仿宋_GB2312" w:hAnsi="ˎ̥" w:eastAsia="仿宋_GB2312" w:cs="宋体"/>
                <w:color w:val="666666"/>
                <w:kern w:val="0"/>
                <w:sz w:val="24"/>
              </w:rPr>
            </w:pPr>
            <w:r>
              <w:rPr>
                <w:rFonts w:hint="eastAsia" w:ascii="仿宋_GB2312" w:hAnsi="ˎ̥" w:eastAsia="仿宋_GB2312" w:cs="宋体"/>
                <w:color w:val="333333"/>
                <w:kern w:val="0"/>
                <w:sz w:val="24"/>
              </w:rPr>
              <w:t>七、对有关乡（镇）的移民安置和水库移民后期扶持实行全过程监督和管理。</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ˎ̥" w:eastAsia="仿宋_GB2312" w:cs="宋体"/>
                <w:color w:val="333333"/>
                <w:kern w:val="0"/>
                <w:sz w:val="24"/>
              </w:rPr>
              <w:t>八、完成县委、县政府和</w:t>
            </w:r>
            <w:r>
              <w:rPr>
                <w:rFonts w:hint="eastAsia" w:ascii="仿宋_GB2312" w:hAnsi="ˎ̥" w:eastAsia="仿宋_GB2312" w:cs="宋体"/>
                <w:color w:val="333333"/>
                <w:kern w:val="0"/>
                <w:sz w:val="24"/>
                <w:lang w:eastAsia="zh-CN"/>
              </w:rPr>
              <w:t>上级移民管理部门</w:t>
            </w:r>
            <w:r>
              <w:rPr>
                <w:rFonts w:hint="eastAsia" w:ascii="仿宋_GB2312" w:hAnsi="ˎ̥" w:eastAsia="仿宋_GB2312" w:cs="宋体"/>
                <w:color w:val="333333"/>
                <w:kern w:val="0"/>
                <w:sz w:val="24"/>
              </w:rPr>
              <w:t>交办的其它工作任务。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任务1：争取移民后扶项目资金5000万元以上用于库区和移民安置区建设。</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任务2：开展移民培训，培训移民</w:t>
            </w:r>
            <w:r>
              <w:rPr>
                <w:rFonts w:hint="eastAsia" w:ascii="仿宋_GB2312" w:hAnsi="仿宋_GB2312" w:eastAsia="仿宋_GB2312" w:cs="仿宋_GB2312"/>
                <w:color w:val="000000"/>
                <w:sz w:val="24"/>
                <w:lang w:val="en-US" w:eastAsia="zh-CN"/>
              </w:rPr>
              <w:t>900</w:t>
            </w:r>
            <w:r>
              <w:rPr>
                <w:rFonts w:hint="eastAsia" w:ascii="仿宋_GB2312" w:hAnsi="仿宋_GB2312" w:eastAsia="仿宋_GB2312" w:cs="仿宋_GB2312"/>
                <w:color w:val="000000"/>
                <w:sz w:val="24"/>
              </w:rPr>
              <w:t>人次，着力提高移民素质。</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任务3：对接我县农业品牌创建工作，加大移民产业开发力度。</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任务4：加强移民项目和资金的监管，确保移民资金安全运行。</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任务5：做好移民维稳工作，确保移民社会大局稳定。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E w:val="0"/>
              <w:autoSpaceDN w:val="0"/>
              <w:adjustRightInd w:val="0"/>
              <w:spacing w:line="580" w:lineRule="exact"/>
              <w:ind w:firstLine="477" w:firstLineChars="199"/>
              <w:rPr>
                <w:rFonts w:hint="eastAsia" w:ascii="仿宋_GB2312" w:hAnsi="仿宋_GB2312" w:eastAsia="仿宋_GB2312" w:cs="仿宋_GB2312"/>
                <w:color w:val="000000"/>
                <w:sz w:val="24"/>
                <w:lang w:eastAsia="zh-CN"/>
              </w:rPr>
            </w:pPr>
            <w:r>
              <w:rPr>
                <w:rFonts w:hint="eastAsia" w:ascii="仿宋_GB2312" w:hAnsi="仿宋_GB2312" w:eastAsia="仿宋_GB2312" w:cs="仿宋_GB2312"/>
                <w:b w:val="0"/>
                <w:bCs w:val="0"/>
                <w:color w:val="000000"/>
                <w:sz w:val="24"/>
                <w:szCs w:val="24"/>
                <w:lang w:eastAsia="zh-CN"/>
              </w:rPr>
              <w:t>一、</w:t>
            </w:r>
            <w:r>
              <w:rPr>
                <w:rFonts w:hint="eastAsia" w:ascii="仿宋_GB2312" w:hAnsi="Times New Roman" w:eastAsia="仿宋_GB2312" w:cs="Times New Roman"/>
                <w:b w:val="0"/>
                <w:bCs w:val="0"/>
                <w:kern w:val="32"/>
                <w:sz w:val="24"/>
                <w:szCs w:val="24"/>
              </w:rPr>
              <w:t>精准扶持移民重点村建设工作</w:t>
            </w:r>
            <w:r>
              <w:rPr>
                <w:rFonts w:hint="eastAsia" w:ascii="仿宋_GB2312" w:eastAsia="仿宋_GB2312" w:cs="Times New Roman"/>
                <w:b w:val="0"/>
                <w:bCs w:val="0"/>
                <w:kern w:val="32"/>
                <w:sz w:val="24"/>
                <w:szCs w:val="24"/>
                <w:lang w:eastAsia="zh-CN"/>
              </w:rPr>
              <w:t>成效显著；二、</w:t>
            </w:r>
            <w:r>
              <w:rPr>
                <w:rFonts w:hint="eastAsia" w:ascii="仿宋_GB2312" w:hAnsi="Times New Roman" w:eastAsia="仿宋_GB2312" w:cs="Times New Roman"/>
                <w:b w:val="0"/>
                <w:bCs w:val="0"/>
                <w:kern w:val="32"/>
                <w:sz w:val="24"/>
                <w:szCs w:val="24"/>
              </w:rPr>
              <w:t>争取国家重点投入项目</w:t>
            </w:r>
            <w:r>
              <w:rPr>
                <w:rFonts w:hint="eastAsia" w:ascii="仿宋_GB2312" w:eastAsia="仿宋_GB2312" w:cs="Times New Roman"/>
                <w:b w:val="0"/>
                <w:bCs w:val="0"/>
                <w:kern w:val="32"/>
                <w:sz w:val="24"/>
                <w:szCs w:val="24"/>
                <w:lang w:eastAsia="zh-CN"/>
              </w:rPr>
              <w:t>资金</w:t>
            </w:r>
            <w:r>
              <w:rPr>
                <w:rFonts w:hint="eastAsia" w:ascii="仿宋_GB2312" w:eastAsia="仿宋_GB2312" w:cs="Times New Roman"/>
                <w:b w:val="0"/>
                <w:bCs w:val="0"/>
                <w:kern w:val="32"/>
                <w:sz w:val="24"/>
                <w:szCs w:val="24"/>
                <w:lang w:val="en-US" w:eastAsia="zh-CN"/>
              </w:rPr>
              <w:t>7400余万元；三；</w:t>
            </w:r>
            <w:r>
              <w:rPr>
                <w:rFonts w:hint="eastAsia" w:ascii="仿宋_GB2312" w:eastAsia="仿宋_GB2312"/>
                <w:b w:val="0"/>
                <w:bCs w:val="0"/>
                <w:sz w:val="24"/>
                <w:szCs w:val="24"/>
              </w:rPr>
              <w:t>移民培训工作</w:t>
            </w:r>
            <w:r>
              <w:rPr>
                <w:rFonts w:hint="eastAsia" w:ascii="仿宋_GB2312" w:eastAsia="仿宋_GB2312"/>
                <w:b w:val="0"/>
                <w:bCs w:val="0"/>
                <w:sz w:val="24"/>
                <w:szCs w:val="24"/>
                <w:lang w:eastAsia="zh-CN"/>
              </w:rPr>
              <w:t>稳步</w:t>
            </w:r>
            <w:r>
              <w:rPr>
                <w:rFonts w:hint="eastAsia" w:ascii="仿宋_GB2312" w:eastAsia="仿宋_GB2312"/>
                <w:b w:val="0"/>
                <w:bCs w:val="0"/>
                <w:sz w:val="24"/>
                <w:szCs w:val="24"/>
              </w:rPr>
              <w:t>推进</w:t>
            </w:r>
            <w:r>
              <w:rPr>
                <w:rFonts w:hint="eastAsia" w:ascii="仿宋_GB2312" w:eastAsia="仿宋_GB2312"/>
                <w:b w:val="0"/>
                <w:bCs w:val="0"/>
                <w:sz w:val="24"/>
                <w:szCs w:val="24"/>
                <w:lang w:eastAsia="zh-CN"/>
              </w:rPr>
              <w:t>；四、</w:t>
            </w:r>
            <w:r>
              <w:rPr>
                <w:rFonts w:hint="eastAsia" w:ascii="仿宋_GB2312" w:hAnsi="Times New Roman" w:eastAsia="仿宋_GB2312" w:cs="Times New Roman"/>
                <w:b w:val="0"/>
                <w:bCs w:val="0"/>
                <w:kern w:val="32"/>
                <w:sz w:val="24"/>
                <w:szCs w:val="24"/>
              </w:rPr>
              <w:t>完成移民无害化厕所改造3000个</w:t>
            </w:r>
            <w:r>
              <w:rPr>
                <w:rFonts w:hint="eastAsia" w:ascii="仿宋_GB2312" w:eastAsia="仿宋_GB2312" w:cs="Times New Roman"/>
                <w:b w:val="0"/>
                <w:bCs w:val="0"/>
                <w:kern w:val="32"/>
                <w:sz w:val="24"/>
                <w:szCs w:val="24"/>
                <w:lang w:eastAsia="zh-CN"/>
              </w:rPr>
              <w:t>；五、</w:t>
            </w:r>
            <w:r>
              <w:rPr>
                <w:rFonts w:hint="eastAsia" w:ascii="仿宋_GB2312" w:hAnsi="Times New Roman" w:eastAsia="仿宋_GB2312" w:cs="Times New Roman"/>
                <w:b w:val="0"/>
                <w:bCs w:val="0"/>
                <w:kern w:val="32"/>
                <w:sz w:val="24"/>
                <w:szCs w:val="24"/>
              </w:rPr>
              <w:t>及时有效处置三峡群体信访事件</w:t>
            </w:r>
            <w:r>
              <w:rPr>
                <w:rFonts w:hint="eastAsia" w:ascii="仿宋_GB2312" w:eastAsia="仿宋_GB2312" w:cs="Times New Roman"/>
                <w:b w:val="0"/>
                <w:bCs w:val="0"/>
                <w:kern w:val="32"/>
                <w:sz w:val="24"/>
                <w:szCs w:val="24"/>
                <w:lang w:eastAsia="zh-CN"/>
              </w:rPr>
              <w:t>；六、</w:t>
            </w:r>
            <w:r>
              <w:rPr>
                <w:rFonts w:hint="eastAsia" w:ascii="仿宋" w:hAnsi="仿宋" w:eastAsia="仿宋"/>
                <w:b w:val="0"/>
                <w:bCs w:val="0"/>
                <w:kern w:val="32"/>
                <w:sz w:val="24"/>
                <w:szCs w:val="24"/>
              </w:rPr>
              <w:t>接受</w:t>
            </w:r>
            <w:r>
              <w:rPr>
                <w:rFonts w:hint="eastAsia" w:ascii="仿宋_GB2312" w:hAnsi="Times New Roman" w:eastAsia="仿宋_GB2312" w:cs="Times New Roman"/>
                <w:b w:val="0"/>
                <w:bCs w:val="0"/>
                <w:kern w:val="32"/>
                <w:sz w:val="24"/>
                <w:szCs w:val="24"/>
              </w:rPr>
              <w:t>省、市移民事务中心年度内审、监测评估和绩效评价工作，圆满完成工作任务</w:t>
            </w:r>
            <w:r>
              <w:rPr>
                <w:rFonts w:hint="eastAsia" w:ascii="仿宋_GB2312" w:eastAsia="仿宋_GB2312" w:cs="Times New Roman"/>
                <w:b w:val="0"/>
                <w:bCs w:val="0"/>
                <w:kern w:val="32"/>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10476.4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1834.93</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8425.37</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216.1</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10476.4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1834.93</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8425.37</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216.1</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8346.82</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291.8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181.02</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110.78</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8055.02</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18"/>
                <w:szCs w:val="18"/>
                <w:lang w:val="en-US" w:eastAsia="zh-CN"/>
              </w:rPr>
              <w:t>294.65</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15"/>
                <w:szCs w:val="15"/>
                <w:lang w:val="en-US" w:eastAsia="zh-CN"/>
              </w:rPr>
              <w:t>2126.57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8346.82</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291.8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181.02</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110.78</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8055.02</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18"/>
                <w:szCs w:val="18"/>
                <w:lang w:val="en-US" w:eastAsia="zh-CN"/>
              </w:rPr>
              <w:t>294.65</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15"/>
                <w:szCs w:val="15"/>
                <w:lang w:val="en-US" w:eastAsia="zh-CN"/>
              </w:rPr>
              <w:t>2126.57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4.41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4.41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35.03</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35.03</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35.03</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35.03</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目标1： 全年预算申请到位和下达数量在95%以上，三公经费变动率小于等于零；                                                                                           目标2：社会效益、经济效益、生态效益、可持续影响和社会公众满意度达到预期目标；                                                                     目标3：管理好移民后扶资金，实施好移民后扶项目，加强移民人口的管理，确保移民社会大局稳定和经济发展。  </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全面完成各项目标任务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eastAsia="zh-CN"/>
              </w:rPr>
              <w:t>政府采购执行率</w:t>
            </w:r>
            <w:r>
              <w:rPr>
                <w:rFonts w:hint="eastAsia" w:ascii="仿宋_GB2312" w:hAnsi="仿宋_GB2312" w:eastAsia="仿宋_GB2312" w:cs="仿宋_GB2312"/>
                <w:color w:val="000000"/>
                <w:sz w:val="24"/>
                <w:lang w:val="en-US" w:eastAsia="zh-CN"/>
              </w:rPr>
              <w:t>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eastAsia="zh-CN"/>
              </w:rPr>
              <w:t>公务卡刷卡率</w:t>
            </w:r>
            <w:r>
              <w:rPr>
                <w:rFonts w:hint="eastAsia" w:ascii="仿宋_GB2312" w:hAnsi="仿宋_GB2312" w:eastAsia="仿宋_GB2312" w:cs="仿宋_GB2312"/>
                <w:color w:val="000000"/>
                <w:sz w:val="24"/>
                <w:lang w:val="en-US" w:eastAsia="zh-CN"/>
              </w:rPr>
              <w:t>85%</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eastAsia="zh-CN"/>
              </w:rPr>
              <w:t>固定资产利用率</w:t>
            </w:r>
            <w:r>
              <w:rPr>
                <w:rFonts w:hint="eastAsia" w:ascii="仿宋_GB2312" w:hAnsi="仿宋_GB2312" w:eastAsia="仿宋_GB2312" w:cs="仿宋_GB2312"/>
                <w:color w:val="000000"/>
                <w:sz w:val="24"/>
                <w:lang w:val="en-US" w:eastAsia="zh-CN"/>
              </w:rPr>
              <w:t>95%</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18"/>
                <w:szCs w:val="18"/>
                <w:lang w:eastAsia="zh-CN"/>
              </w:rPr>
              <w:t>后扶直补资金打卡发放率</w:t>
            </w:r>
            <w:r>
              <w:rPr>
                <w:rFonts w:hint="eastAsia" w:ascii="仿宋_GB2312" w:hAnsi="仿宋_GB2312" w:eastAsia="仿宋_GB2312" w:cs="仿宋_GB2312"/>
                <w:color w:val="000000"/>
                <w:sz w:val="18"/>
                <w:szCs w:val="18"/>
                <w:lang w:val="en-US" w:eastAsia="zh-CN"/>
              </w:rPr>
              <w:t>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eastAsia="zh-CN"/>
              </w:rPr>
              <w:t>工程质量合格率</w:t>
            </w:r>
            <w:r>
              <w:rPr>
                <w:rFonts w:hint="eastAsia" w:ascii="仿宋_GB2312" w:hAnsi="仿宋_GB2312" w:eastAsia="仿宋_GB2312" w:cs="仿宋_GB2312"/>
                <w:color w:val="000000"/>
                <w:sz w:val="24"/>
                <w:lang w:val="en-US" w:eastAsia="zh-CN"/>
              </w:rPr>
              <w:t>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eastAsia="zh-CN"/>
              </w:rPr>
              <w:t>财政供养人员控制率</w:t>
            </w:r>
            <w:r>
              <w:rPr>
                <w:rFonts w:hint="eastAsia" w:ascii="仿宋_GB2312" w:hAnsi="仿宋_GB2312" w:eastAsia="仿宋_GB2312" w:cs="仿宋_GB2312"/>
                <w:color w:val="000000"/>
                <w:sz w:val="24"/>
                <w:lang w:val="en-US" w:eastAsia="zh-CN"/>
              </w:rPr>
              <w:t>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“三公”经费控制率</w:t>
            </w:r>
            <w:r>
              <w:rPr>
                <w:rFonts w:hint="eastAsia" w:ascii="仿宋_GB2312" w:hAnsi="仿宋_GB2312" w:eastAsia="仿宋_GB2312" w:cs="仿宋_GB2312"/>
                <w:color w:val="000000"/>
                <w:sz w:val="24"/>
                <w:lang w:val="en-US" w:eastAsia="zh-CN"/>
              </w:rPr>
              <w:t>100%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“三公”经费变动率</w:t>
            </w:r>
            <w:r>
              <w:rPr>
                <w:rFonts w:hint="default" w:ascii="Arial" w:hAnsi="Arial" w:eastAsia="仿宋_GB2312" w:cs="Arial"/>
                <w:color w:val="000000"/>
                <w:sz w:val="24"/>
              </w:rPr>
              <w:t>≤</w:t>
            </w:r>
            <w:r>
              <w:rPr>
                <w:rFonts w:hint="eastAsia" w:ascii="仿宋_GB2312" w:hAnsi="仿宋_GB2312" w:eastAsia="仿宋_GB2312" w:cs="仿宋_GB2312"/>
                <w:color w:val="000000"/>
                <w:sz w:val="24"/>
                <w:lang w:val="en-US" w:eastAsia="zh-CN"/>
              </w:rPr>
              <w:t>0</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default" w:ascii="Arial" w:hAnsi="Arial" w:eastAsia="仿宋_GB2312" w:cs="Arial"/>
                <w:color w:val="000000"/>
                <w:sz w:val="24"/>
              </w:rPr>
              <w:t>≤</w:t>
            </w: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后扶直补人数</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lang w:val="en-US" w:eastAsia="zh-CN"/>
              </w:rPr>
              <w:t>42928人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eastAsia="zh-CN"/>
              </w:rPr>
              <w:t>预计全年移民项目建设工程投入</w:t>
            </w:r>
            <w:r>
              <w:rPr>
                <w:rFonts w:hint="eastAsia" w:ascii="仿宋_GB2312" w:hAnsi="仿宋_GB2312" w:eastAsia="仿宋_GB2312" w:cs="仿宋_GB2312"/>
                <w:color w:val="000000"/>
                <w:sz w:val="24"/>
                <w:lang w:val="en-US" w:eastAsia="zh-CN"/>
              </w:rPr>
              <w:t>5000万元</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6400万元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1"/>
                <w:szCs w:val="21"/>
                <w:lang w:eastAsia="zh-CN"/>
              </w:rPr>
              <w:t>移民直补资金打卡按季度及时发放</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lang w:eastAsia="zh-CN"/>
              </w:rPr>
              <w:t>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移民项目资金拨付及时</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lang w:eastAsia="zh-CN"/>
              </w:rPr>
              <w:t>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eastAsia="zh-CN"/>
              </w:rPr>
              <w:t>财政支出绩效目标</w:t>
            </w:r>
            <w:r>
              <w:rPr>
                <w:rFonts w:hint="eastAsia" w:ascii="仿宋_GB2312" w:hAnsi="仿宋_GB2312" w:eastAsia="仿宋_GB2312" w:cs="仿宋_GB2312"/>
                <w:color w:val="000000"/>
                <w:sz w:val="24"/>
                <w:lang w:val="en-US" w:eastAsia="zh-CN"/>
              </w:rPr>
              <w:t>195.1万元</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促时移民增产收效明显</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eastAsia="zh-CN"/>
              </w:rPr>
              <w:t>社会公众满意度</w:t>
            </w:r>
            <w:r>
              <w:rPr>
                <w:rFonts w:hint="eastAsia" w:ascii="仿宋_GB2312" w:hAnsi="仿宋_GB2312" w:eastAsia="仿宋_GB2312" w:cs="仿宋_GB2312"/>
                <w:color w:val="000000"/>
                <w:sz w:val="24"/>
                <w:lang w:val="en-US" w:eastAsia="zh-CN"/>
              </w:rPr>
              <w:t>95%以上</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李亮</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副主任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库区移民服务中心</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胡云</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办公室主任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库区移民服务中心</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张雪林</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财务股长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库区移民服务中心</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李矜琴</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出纳</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库区移民服务中心</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bookmarkStart w:id="0" w:name="_GoBack"/>
            <w:bookmarkEnd w:id="0"/>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部门（单位）负责人（签章）：</w:t>
            </w:r>
            <w:r>
              <w:rPr>
                <w:rFonts w:hint="eastAsia" w:ascii="仿宋_GB2312" w:hAnsi="仿宋_GB2312" w:eastAsia="仿宋_GB2312" w:cs="仿宋_GB2312"/>
                <w:color w:val="000000"/>
                <w:sz w:val="24"/>
                <w:lang w:eastAsia="zh-CN"/>
              </w:rPr>
              <w:t>费时铭</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2021</w:t>
            </w:r>
            <w:r>
              <w:rPr>
                <w:rFonts w:hint="eastAsia" w:ascii="仿宋_GB2312" w:hAnsi="仿宋_GB2312" w:eastAsia="仿宋_GB2312" w:cs="仿宋_GB2312"/>
                <w:color w:val="000000"/>
                <w:sz w:val="24"/>
              </w:rPr>
              <w:t xml:space="preserve"> 年 </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 xml:space="preserve"> 月 </w:t>
            </w:r>
            <w:r>
              <w:rPr>
                <w:rFonts w:hint="eastAsia" w:ascii="仿宋_GB2312" w:hAnsi="仿宋_GB2312" w:eastAsia="仿宋_GB2312" w:cs="仿宋_GB2312"/>
                <w:color w:val="000000"/>
                <w:sz w:val="24"/>
                <w:lang w:val="en-US" w:eastAsia="zh-CN"/>
              </w:rPr>
              <w:t>28</w:t>
            </w:r>
            <w:r>
              <w:rPr>
                <w:rFonts w:hint="eastAsia" w:ascii="仿宋_GB2312" w:hAnsi="仿宋_GB2312" w:eastAsia="仿宋_GB2312" w:cs="仿宋_GB2312"/>
                <w:color w:val="000000"/>
                <w:sz w:val="24"/>
              </w:rPr>
              <w:t xml:space="preserve">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lang w:eastAsia="zh-CN"/>
        </w:rPr>
        <w:t>李矜琴</w:t>
      </w:r>
      <w:r>
        <w:rPr>
          <w:rFonts w:eastAsia="仿宋_GB2312" w:cs="仿宋_GB2312"/>
          <w:bCs/>
          <w:sz w:val="28"/>
          <w:szCs w:val="28"/>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15616589998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D3E52"/>
    <w:rsid w:val="04AD3E52"/>
    <w:rsid w:val="06DB4246"/>
    <w:rsid w:val="372F58F4"/>
    <w:rsid w:val="45D555DD"/>
    <w:rsid w:val="55AD12EE"/>
    <w:rsid w:val="55DF0860"/>
    <w:rsid w:val="62C020ED"/>
    <w:rsid w:val="7305240E"/>
    <w:rsid w:val="73402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2021-07-25T01:31:00Z</dcterms:created>
  <dc:creator>Administrator</dc:creator>
  <cp:lastModifiedBy>Administrator</cp:lastModifiedBy>
  <dcterms:modified xsi:type="dcterms:W3CDTF">2021-09-07T01:34:53Z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7975D3EA5794410A8B9794AFFE5FE807</vt:lpwstr>
  </property>
</Properties>
</file>