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val="en-US"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岳阳县公安局</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601001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24</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黄雅君</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7666519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336</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仿宋_GB2312" w:hAnsi="仿宋_GB2312" w:eastAsia="仿宋_GB2312" w:cs="仿宋_GB2312"/>
                <w:color w:val="000000"/>
                <w:sz w:val="24"/>
                <w:lang w:val="en-US" w:eastAsia="zh-CN"/>
              </w:rPr>
              <w:t>公安机关是国家政权的重要组成部分，是我国人民民主专政政权中具有武装性质的治安行政和刑事司法专门机关，其任务是维护国家安全，维护社会秩序，保护公民的人身安全、人身自由和合法财产，保护公共财产，预防、制止和惩治违法犯罪活动、保障改革开放和社会现代化建设的顺利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最大力度最严举措打好政治安全和维稳安保整体仗</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加快提升规范执法能力</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坚决杜绝重特大公共安全事故、抑制较大事故</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任务4：聚焦县域发展大局，充分发挥公安职能，服务经济建设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任务5：加快推进科技信息和基层基础现代化</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任务6：深入开展教育整顿，努力锻造“四个铁一般”过硬公安队伍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建党百年安保圆满完成、捍卫政治安全坚强有力、维护社会稳定扎实有效、打击突出犯罪成效显著、公共安全管理平安有序、法治公安建设稳步推进、基层基础工作持续加强，队伍教育整顿走深走实，强有力保障了全县社会大局的平安稳定。县局荣获全市公安机关绩效评估成绩突出单位，被省厅评为“</w:t>
            </w:r>
            <w:r>
              <w:rPr>
                <w:rFonts w:hint="eastAsia" w:ascii="仿宋_GB2312" w:hAnsi="仿宋_GB2312" w:eastAsia="仿宋_GB2312" w:cs="仿宋_GB2312"/>
                <w:color w:val="000000"/>
                <w:sz w:val="24"/>
                <w:lang w:val="en-US" w:eastAsia="zh-CN"/>
              </w:rPr>
              <w:t>2020年网上政治安全保卫工作成绩突出单位</w:t>
            </w:r>
            <w:r>
              <w:rPr>
                <w:rFonts w:hint="eastAsia" w:ascii="仿宋_GB2312" w:hAnsi="仿宋_GB2312" w:eastAsia="仿宋_GB2312" w:cs="仿宋_GB2312"/>
                <w:color w:val="000000"/>
                <w:sz w:val="24"/>
                <w:lang w:eastAsia="zh-CN"/>
              </w:rPr>
              <w:t>”等</w:t>
            </w:r>
            <w:r>
              <w:rPr>
                <w:rFonts w:hint="eastAsia" w:ascii="仿宋_GB2312" w:hAnsi="仿宋_GB2312" w:eastAsia="仿宋_GB2312" w:cs="仿宋_GB2312"/>
                <w:color w:val="000000"/>
                <w:sz w:val="24"/>
                <w:lang w:val="en-US" w:eastAsia="zh-CN"/>
              </w:rPr>
              <w:t>11个单项工作先进。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17813.5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17813.5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17813.5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10438.9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6876.58</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3562.32</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7374.6</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15081.18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7706.58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6876.58</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830</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7374.6</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2732.32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2732.32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2732.32</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344.3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253.8</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88.2</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87.8</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88.2</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166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9555.5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9555.5</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8926</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8926</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629.5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629.5</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最大力度最严举措打好政治安全和维稳安保整体仗</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加快提升规范执法能力</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eastAsia="zh-CN"/>
              </w:rPr>
              <w:t>坚决杜绝重特大公共安全事故、抑制较大事故</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目标4：聚焦县域发展大局，充分发挥公安职能，服务经济建设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目标5：加快推进科技信息和基层基础现代化</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目标6：深入开展教育整顿，努力锻造“四个铁一般”过硬公安队伍</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指标1：三公经费控制率达到百分之百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指标2：政府采购执行率百分之百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指标1：固定资产利用率百分之百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指标2：财政供养人员控制率达到百分之百；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：三公经费变动率小于等于零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ascii="仿宋_GB2312" w:hAnsi="仿宋_GB2312" w:eastAsia="仿宋_GB2312" w:cs="仿宋_GB2312"/>
                <w:b/>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宋体" w:hAnsi="宋体" w:eastAsia="宋体" w:cs="宋体"/>
                <w:i w:val="0"/>
                <w:color w:val="000000"/>
                <w:kern w:val="0"/>
                <w:sz w:val="22"/>
                <w:szCs w:val="22"/>
                <w:u w:val="none"/>
                <w:lang w:val="en-US" w:eastAsia="zh-CN" w:bidi="ar"/>
              </w:rPr>
              <w:t>专项资金到位率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宋体" w:hAnsi="宋体" w:eastAsia="宋体" w:cs="宋体"/>
                <w:i w:val="0"/>
                <w:color w:val="000000"/>
                <w:kern w:val="0"/>
                <w:sz w:val="22"/>
                <w:szCs w:val="22"/>
                <w:u w:val="none"/>
                <w:lang w:val="en-US" w:eastAsia="zh-CN" w:bidi="ar"/>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指标1：财政支出绩效目标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17813.5万元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维护社会治安大局平稳</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加大破获经济案件力度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严打破坏环境资源违法犯罪</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社会公众满意度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陈遇春</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副县长、公安局党委书记、局长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岳阳县公安局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毛四兵</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党委副书记、副局长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岳阳县公安局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警务保障室主任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岳阳县公安局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评价组组长（签字）：</w:t>
            </w:r>
            <w:r>
              <w:rPr>
                <w:rFonts w:hint="eastAsia" w:ascii="仿宋_GB2312" w:hAnsi="仿宋_GB2312" w:eastAsia="仿宋_GB2312" w:cs="仿宋_GB2312"/>
                <w:color w:val="000000"/>
                <w:sz w:val="24"/>
                <w:lang w:eastAsia="zh-CN"/>
              </w:rPr>
              <w:t>陈遇春</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24</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部门（单位）意见：</w:t>
            </w:r>
            <w:r>
              <w:rPr>
                <w:rFonts w:hint="eastAsia" w:ascii="仿宋_GB2312" w:hAnsi="仿宋_GB2312" w:eastAsia="仿宋_GB2312" w:cs="仿宋_GB2312"/>
                <w:color w:val="000000"/>
                <w:sz w:val="24"/>
                <w:lang w:eastAsia="zh-CN"/>
              </w:rPr>
              <w:t>同意</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eastAsia="zh-CN"/>
              </w:rPr>
              <w:t>陈遇春</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24</w:t>
            </w:r>
            <w:r>
              <w:rPr>
                <w:rFonts w:hint="eastAsia" w:ascii="仿宋_GB2312" w:hAnsi="仿宋_GB2312" w:eastAsia="仿宋_GB2312" w:cs="仿宋_GB2312"/>
                <w:color w:val="000000"/>
                <w:sz w:val="24"/>
              </w:rPr>
              <w:t xml:space="preserve">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黄雅君</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7666519</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spacing w:line="560" w:lineRule="exact"/>
              <w:ind w:firstLine="1247" w:firstLineChars="345"/>
              <w:rPr>
                <w:rFonts w:ascii="宋体" w:hAnsi="宋体"/>
                <w:b/>
                <w:sz w:val="36"/>
                <w:szCs w:val="36"/>
              </w:rPr>
            </w:pPr>
            <w:r>
              <w:rPr>
                <w:rFonts w:hint="eastAsia" w:ascii="宋体" w:hAnsi="宋体"/>
                <w:b/>
                <w:sz w:val="36"/>
                <w:szCs w:val="36"/>
              </w:rPr>
              <w:t>岳阳县公安局20</w:t>
            </w:r>
            <w:r>
              <w:rPr>
                <w:rFonts w:hint="eastAsia" w:ascii="宋体" w:hAnsi="宋体"/>
                <w:b/>
                <w:sz w:val="36"/>
                <w:szCs w:val="36"/>
                <w:lang w:val="en-US" w:eastAsia="zh-CN"/>
              </w:rPr>
              <w:t>21</w:t>
            </w:r>
            <w:r>
              <w:rPr>
                <w:rFonts w:hint="eastAsia" w:ascii="宋体" w:hAnsi="宋体"/>
                <w:b/>
                <w:sz w:val="36"/>
                <w:szCs w:val="36"/>
              </w:rPr>
              <w:t>年度整体支出绩效评价</w:t>
            </w:r>
          </w:p>
          <w:p>
            <w:pPr>
              <w:spacing w:line="560" w:lineRule="exact"/>
              <w:jc w:val="center"/>
              <w:rPr>
                <w:rFonts w:ascii="宋体" w:hAnsi="宋体"/>
                <w:b/>
                <w:sz w:val="36"/>
                <w:szCs w:val="36"/>
              </w:rPr>
            </w:pPr>
            <w:r>
              <w:rPr>
                <w:rFonts w:hint="eastAsia" w:ascii="宋体" w:hAnsi="宋体"/>
                <w:b/>
                <w:sz w:val="36"/>
                <w:szCs w:val="36"/>
              </w:rPr>
              <w:t xml:space="preserve">自  评  报  告  </w:t>
            </w:r>
          </w:p>
          <w:p>
            <w:pPr>
              <w:spacing w:line="440" w:lineRule="exact"/>
              <w:ind w:firstLine="640" w:firstLineChars="200"/>
              <w:rPr>
                <w:rFonts w:eastAsia="仿宋_GB2312"/>
                <w:sz w:val="32"/>
                <w:szCs w:val="32"/>
              </w:rPr>
            </w:pP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部门（单位）概况</w:t>
            </w:r>
          </w:p>
          <w:p>
            <w:pPr>
              <w:numPr>
                <w:ilvl w:val="0"/>
                <w:numId w:val="0"/>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widowControl/>
              <w:shd w:val="clear" w:color="auto" w:fill="FFFFFF"/>
              <w:spacing w:line="480" w:lineRule="atLeast"/>
              <w:ind w:firstLine="70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岳阳县公安局20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年在职在编民警3</w:t>
            </w:r>
            <w:r>
              <w:rPr>
                <w:rFonts w:hint="eastAsia" w:ascii="仿宋_GB2312" w:hAnsi="仿宋_GB2312" w:eastAsia="仿宋_GB2312" w:cs="仿宋_GB2312"/>
                <w:bCs/>
                <w:sz w:val="28"/>
                <w:szCs w:val="28"/>
                <w:lang w:val="en-US" w:eastAsia="zh-CN"/>
              </w:rPr>
              <w:t>35</w:t>
            </w:r>
            <w:r>
              <w:rPr>
                <w:rFonts w:hint="eastAsia" w:ascii="仿宋_GB2312" w:hAnsi="仿宋_GB2312" w:eastAsia="仿宋_GB2312" w:cs="仿宋_GB2312"/>
                <w:bCs/>
                <w:sz w:val="28"/>
                <w:szCs w:val="28"/>
              </w:rPr>
              <w:t>人，退休民警</w:t>
            </w:r>
            <w:r>
              <w:rPr>
                <w:rFonts w:hint="eastAsia" w:ascii="仿宋_GB2312" w:hAnsi="仿宋_GB2312" w:eastAsia="仿宋_GB2312" w:cs="仿宋_GB2312"/>
                <w:bCs/>
                <w:sz w:val="28"/>
                <w:szCs w:val="28"/>
                <w:lang w:val="en-US" w:eastAsia="zh-CN"/>
              </w:rPr>
              <w:t>108</w:t>
            </w:r>
            <w:r>
              <w:rPr>
                <w:rFonts w:hint="eastAsia" w:ascii="仿宋_GB2312" w:hAnsi="仿宋_GB2312" w:eastAsia="仿宋_GB2312" w:cs="仿宋_GB2312"/>
                <w:bCs/>
                <w:sz w:val="28"/>
                <w:szCs w:val="28"/>
              </w:rPr>
              <w:t>人，协（辅）警243人</w:t>
            </w:r>
            <w:r>
              <w:rPr>
                <w:rFonts w:hint="eastAsia" w:ascii="仿宋_GB2312" w:hAnsi="仿宋_GB2312" w:eastAsia="仿宋_GB2312" w:cs="仿宋_GB2312"/>
                <w:bCs/>
                <w:sz w:val="28"/>
                <w:szCs w:val="28"/>
                <w:lang w:eastAsia="zh-CN"/>
              </w:rPr>
              <w:t>，一村一辅警</w:t>
            </w:r>
            <w:r>
              <w:rPr>
                <w:rFonts w:hint="eastAsia" w:ascii="仿宋_GB2312" w:hAnsi="仿宋_GB2312" w:eastAsia="仿宋_GB2312" w:cs="仿宋_GB2312"/>
                <w:bCs/>
                <w:sz w:val="28"/>
                <w:szCs w:val="28"/>
                <w:lang w:val="en-US" w:eastAsia="zh-CN"/>
              </w:rPr>
              <w:t>195人</w:t>
            </w:r>
            <w:r>
              <w:rPr>
                <w:rFonts w:hint="eastAsia" w:ascii="仿宋_GB2312" w:hAnsi="仿宋_GB2312" w:eastAsia="仿宋_GB2312" w:cs="仿宋_GB2312"/>
                <w:bCs/>
                <w:sz w:val="28"/>
                <w:szCs w:val="28"/>
              </w:rPr>
              <w:t>。定编公务用车47台，实有47台。局机关内设：交警大队、刑侦大队、治安大队、巡特警大队、禁毒大队、网</w:t>
            </w:r>
            <w:r>
              <w:rPr>
                <w:rFonts w:hint="eastAsia" w:ascii="仿宋_GB2312" w:hAnsi="仿宋_GB2312" w:eastAsia="仿宋_GB2312" w:cs="仿宋_GB2312"/>
                <w:bCs/>
                <w:sz w:val="28"/>
                <w:szCs w:val="28"/>
                <w:lang w:eastAsia="zh-CN"/>
              </w:rPr>
              <w:t>安</w:t>
            </w:r>
            <w:r>
              <w:rPr>
                <w:rFonts w:hint="eastAsia" w:ascii="仿宋_GB2312" w:hAnsi="仿宋_GB2312" w:eastAsia="仿宋_GB2312" w:cs="仿宋_GB2312"/>
                <w:bCs/>
                <w:sz w:val="28"/>
                <w:szCs w:val="28"/>
              </w:rPr>
              <w:t>大队、经侦大队、国保大队、</w:t>
            </w:r>
            <w:r>
              <w:rPr>
                <w:rFonts w:hint="eastAsia" w:ascii="仿宋_GB2312" w:hAnsi="仿宋_GB2312" w:eastAsia="仿宋_GB2312" w:cs="仿宋_GB2312"/>
                <w:bCs/>
                <w:sz w:val="28"/>
                <w:szCs w:val="28"/>
                <w:lang w:eastAsia="zh-CN"/>
              </w:rPr>
              <w:t>情报信息大队、反恐大队、</w:t>
            </w:r>
            <w:r>
              <w:rPr>
                <w:rFonts w:hint="eastAsia" w:ascii="仿宋_GB2312" w:hAnsi="仿宋_GB2312" w:eastAsia="仿宋_GB2312" w:cs="仿宋_GB2312"/>
                <w:bCs/>
                <w:sz w:val="28"/>
                <w:szCs w:val="28"/>
              </w:rPr>
              <w:t>人口与出入境管理大队、治安巡逻大队、政工室、指挥中心、党廉办、督察大队、法制大队、执法办案中心、警务保障室</w:t>
            </w:r>
            <w:r>
              <w:rPr>
                <w:rFonts w:hint="eastAsia" w:ascii="仿宋_GB2312" w:hAnsi="仿宋_GB2312" w:eastAsia="仿宋_GB2312" w:cs="仿宋_GB2312"/>
                <w:bCs/>
                <w:sz w:val="28"/>
                <w:szCs w:val="28"/>
                <w:lang w:eastAsia="zh-CN"/>
              </w:rPr>
              <w:t>、食药环大队、城管执法大队</w:t>
            </w:r>
            <w:r>
              <w:rPr>
                <w:rFonts w:hint="eastAsia" w:ascii="仿宋_GB2312" w:hAnsi="仿宋_GB2312" w:eastAsia="仿宋_GB2312" w:cs="仿宋_GB2312"/>
                <w:bCs/>
                <w:sz w:val="28"/>
                <w:szCs w:val="28"/>
              </w:rPr>
              <w:t>。下设看守所、拘留所、戒毒所和</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个派出所。</w:t>
            </w:r>
          </w:p>
          <w:p>
            <w:pPr>
              <w:spacing w:line="560" w:lineRule="exact"/>
              <w:ind w:firstLine="618" w:firstLineChars="221"/>
              <w:rPr>
                <w:rFonts w:ascii="仿宋_GB2312" w:hAnsi="宋体" w:eastAsia="仿宋_GB2312"/>
                <w:sz w:val="32"/>
                <w:szCs w:val="32"/>
              </w:rPr>
            </w:pPr>
            <w:r>
              <w:rPr>
                <w:rFonts w:hint="eastAsia" w:ascii="仿宋_GB2312" w:hAnsi="仿宋_GB2312" w:eastAsia="仿宋_GB2312" w:cs="仿宋_GB2312"/>
                <w:bCs/>
                <w:sz w:val="28"/>
                <w:szCs w:val="28"/>
              </w:rPr>
              <w:t>（二）部门（单位）整体支出规模、使用方向和主要内容、涉及范围等</w:t>
            </w:r>
          </w:p>
          <w:p>
            <w:pPr>
              <w:widowControl/>
              <w:shd w:val="clear" w:color="auto" w:fill="FFFFFF"/>
              <w:spacing w:line="480" w:lineRule="atLeast"/>
              <w:ind w:firstLine="70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公安机关是国家政权的重要组成部分，是我国人民民主专政政权中具有武装性质的治安行政和刑事司法专门机关，其任务是维护国家安全，维护社会秩序，保护公民的人身安全、人身自由和合法财产</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保护公共财产，预防、制止和惩治违法犯罪活动、保障改革开放和社会现代化建设的顺利进行。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widowControl/>
              <w:shd w:val="clear" w:color="auto" w:fill="FFFFFF"/>
              <w:spacing w:line="480" w:lineRule="atLeast"/>
              <w:ind w:firstLine="708"/>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年全局基本支出</w:t>
            </w:r>
            <w:r>
              <w:rPr>
                <w:rFonts w:hint="eastAsia" w:ascii="仿宋_GB2312" w:hAnsi="仿宋_GB2312" w:eastAsia="仿宋_GB2312" w:cs="仿宋_GB2312"/>
                <w:bCs/>
                <w:sz w:val="28"/>
                <w:szCs w:val="28"/>
                <w:lang w:val="en-US" w:eastAsia="zh-CN"/>
              </w:rPr>
              <w:t>10438.9</w:t>
            </w:r>
            <w:r>
              <w:rPr>
                <w:rFonts w:hint="eastAsia" w:ascii="仿宋_GB2312" w:hAnsi="仿宋_GB2312" w:eastAsia="仿宋_GB2312" w:cs="仿宋_GB2312"/>
                <w:bCs/>
                <w:sz w:val="28"/>
                <w:szCs w:val="28"/>
              </w:rPr>
              <w:t>万元。主要用于人员经费、日常运行公用经费</w:t>
            </w:r>
            <w:r>
              <w:rPr>
                <w:rFonts w:hint="eastAsia" w:ascii="仿宋_GB2312" w:hAnsi="仿宋_GB2312" w:eastAsia="仿宋_GB2312" w:cs="仿宋_GB2312"/>
                <w:bCs/>
                <w:sz w:val="28"/>
                <w:szCs w:val="28"/>
                <w:lang w:eastAsia="zh-CN"/>
              </w:rPr>
              <w:t>，其中</w:t>
            </w:r>
            <w:r>
              <w:rPr>
                <w:rFonts w:hint="eastAsia" w:ascii="仿宋_GB2312" w:hAnsi="仿宋_GB2312" w:eastAsia="仿宋_GB2312" w:cs="仿宋_GB2312"/>
                <w:bCs/>
                <w:sz w:val="28"/>
                <w:szCs w:val="28"/>
              </w:rPr>
              <w:t>人员经费支出</w:t>
            </w:r>
            <w:r>
              <w:rPr>
                <w:rFonts w:hint="eastAsia" w:ascii="仿宋_GB2312" w:hAnsi="仿宋_GB2312" w:eastAsia="仿宋_GB2312" w:cs="仿宋_GB2312"/>
                <w:bCs/>
                <w:sz w:val="28"/>
                <w:szCs w:val="28"/>
                <w:lang w:val="en-US" w:eastAsia="zh-CN"/>
              </w:rPr>
              <w:t>6876.58</w:t>
            </w:r>
            <w:r>
              <w:rPr>
                <w:rFonts w:hint="eastAsia" w:ascii="仿宋_GB2312" w:hAnsi="仿宋_GB2312" w:eastAsia="仿宋_GB2312" w:cs="仿宋_GB2312"/>
                <w:bCs/>
                <w:sz w:val="28"/>
                <w:szCs w:val="28"/>
              </w:rPr>
              <w:t>万元，日常运行公用经费</w:t>
            </w:r>
            <w:r>
              <w:rPr>
                <w:rFonts w:hint="eastAsia" w:ascii="仿宋_GB2312" w:hAnsi="仿宋_GB2312" w:eastAsia="仿宋_GB2312" w:cs="仿宋_GB2312"/>
                <w:bCs/>
                <w:sz w:val="28"/>
                <w:szCs w:val="28"/>
                <w:lang w:val="en-US" w:eastAsia="zh-CN"/>
              </w:rPr>
              <w:t>3562.32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（其中机关运行经费</w:t>
            </w:r>
            <w:r>
              <w:rPr>
                <w:rFonts w:hint="eastAsia" w:ascii="仿宋_GB2312" w:hAnsi="仿宋_GB2312" w:eastAsia="仿宋_GB2312" w:cs="仿宋_GB2312"/>
                <w:bCs/>
                <w:sz w:val="28"/>
                <w:szCs w:val="28"/>
                <w:lang w:val="en-US" w:eastAsia="zh-CN"/>
              </w:rPr>
              <w:t>830万元，办案经费2732.32万元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。基本支出中“三公”经费支出</w:t>
            </w:r>
            <w:r>
              <w:rPr>
                <w:rFonts w:hint="eastAsia" w:ascii="仿宋_GB2312" w:hAnsi="仿宋_GB2312" w:eastAsia="仿宋_GB2312" w:cs="仿宋_GB2312"/>
                <w:bCs/>
                <w:sz w:val="28"/>
                <w:szCs w:val="28"/>
                <w:lang w:val="en-US" w:eastAsia="zh-CN"/>
              </w:rPr>
              <w:t>321</w:t>
            </w:r>
            <w:r>
              <w:rPr>
                <w:rFonts w:hint="eastAsia" w:ascii="仿宋_GB2312" w:hAnsi="仿宋_GB2312" w:eastAsia="仿宋_GB2312" w:cs="仿宋_GB2312"/>
                <w:bCs/>
                <w:sz w:val="28"/>
                <w:szCs w:val="28"/>
              </w:rPr>
              <w:t>万元，包括（1）公务接待费</w:t>
            </w:r>
            <w:r>
              <w:rPr>
                <w:rFonts w:hint="eastAsia" w:ascii="仿宋_GB2312" w:hAnsi="仿宋_GB2312" w:eastAsia="仿宋_GB2312" w:cs="仿宋_GB2312"/>
                <w:bCs/>
                <w:sz w:val="28"/>
                <w:szCs w:val="28"/>
                <w:lang w:val="en-US" w:eastAsia="zh-CN"/>
              </w:rPr>
              <w:t>2.3</w:t>
            </w:r>
            <w:r>
              <w:rPr>
                <w:rFonts w:hint="eastAsia" w:ascii="仿宋_GB2312" w:hAnsi="仿宋_GB2312" w:eastAsia="仿宋_GB2312" w:cs="仿宋_GB2312"/>
                <w:bCs/>
                <w:sz w:val="28"/>
                <w:szCs w:val="28"/>
              </w:rPr>
              <w:t>万元，比县财监年初核定基数20万元减少</w:t>
            </w:r>
            <w:r>
              <w:rPr>
                <w:rFonts w:hint="eastAsia" w:ascii="仿宋_GB2312" w:hAnsi="仿宋_GB2312" w:eastAsia="仿宋_GB2312" w:cs="仿宋_GB2312"/>
                <w:bCs/>
                <w:sz w:val="28"/>
                <w:szCs w:val="28"/>
                <w:lang w:val="en-US" w:eastAsia="zh-CN"/>
              </w:rPr>
              <w:t>17.7</w:t>
            </w:r>
            <w:r>
              <w:rPr>
                <w:rFonts w:hint="eastAsia" w:ascii="仿宋_GB2312" w:hAnsi="仿宋_GB2312" w:eastAsia="仿宋_GB2312" w:cs="仿宋_GB2312"/>
                <w:bCs/>
                <w:sz w:val="28"/>
                <w:szCs w:val="28"/>
              </w:rPr>
              <w:t>万元；（2）公务用车运维费</w:t>
            </w:r>
            <w:r>
              <w:rPr>
                <w:rFonts w:hint="eastAsia" w:ascii="仿宋_GB2312" w:hAnsi="仿宋_GB2312" w:eastAsia="仿宋_GB2312" w:cs="仿宋_GB2312"/>
                <w:bCs/>
                <w:sz w:val="28"/>
                <w:szCs w:val="28"/>
                <w:lang w:val="en-US" w:eastAsia="zh-CN"/>
              </w:rPr>
              <w:t>253.8</w:t>
            </w:r>
            <w:r>
              <w:rPr>
                <w:rFonts w:hint="eastAsia" w:ascii="仿宋_GB2312" w:hAnsi="仿宋_GB2312" w:eastAsia="仿宋_GB2312" w:cs="仿宋_GB2312"/>
                <w:bCs/>
                <w:sz w:val="28"/>
                <w:szCs w:val="28"/>
              </w:rPr>
              <w:t>万元，按全局实有公务用车计算，平均每辆车耗费</w:t>
            </w:r>
            <w:r>
              <w:rPr>
                <w:rFonts w:hint="eastAsia" w:ascii="仿宋_GB2312" w:hAnsi="仿宋_GB2312" w:eastAsia="仿宋_GB2312" w:cs="仿宋_GB2312"/>
                <w:bCs/>
                <w:sz w:val="28"/>
                <w:szCs w:val="28"/>
                <w:lang w:val="en-US" w:eastAsia="zh-CN"/>
              </w:rPr>
              <w:t>5.4</w:t>
            </w:r>
            <w:r>
              <w:rPr>
                <w:rFonts w:hint="eastAsia" w:ascii="仿宋_GB2312" w:hAnsi="仿宋_GB2312" w:eastAsia="仿宋_GB2312" w:cs="仿宋_GB2312"/>
                <w:bCs/>
                <w:sz w:val="28"/>
                <w:szCs w:val="28"/>
              </w:rPr>
              <w:t>万元，公务用车经费控制在年初预算以内；</w:t>
            </w:r>
            <w:r>
              <w:rPr>
                <w:rFonts w:hint="eastAsia" w:ascii="仿宋_GB2312" w:hAnsi="仿宋_GB2312" w:eastAsia="仿宋_GB2312" w:cs="仿宋_GB2312"/>
                <w:bCs/>
                <w:sz w:val="28"/>
                <w:szCs w:val="28"/>
                <w:lang w:val="en-US" w:eastAsia="zh-CN"/>
              </w:rPr>
              <w:t>2021年公务用车购置费88.2万元，主要是旧车置换新车。</w:t>
            </w:r>
            <w:r>
              <w:rPr>
                <w:rFonts w:hint="eastAsia" w:ascii="仿宋_GB2312" w:hAnsi="仿宋_GB2312" w:eastAsia="仿宋_GB2312" w:cs="仿宋_GB2312"/>
                <w:bCs/>
                <w:sz w:val="28"/>
                <w:szCs w:val="28"/>
              </w:rPr>
              <w:t>（3）全局因公出国（境）经费为“零”。评价年度内全局“三公”经费支出执行情况较好。</w:t>
            </w:r>
          </w:p>
          <w:p>
            <w:pPr>
              <w:widowControl/>
              <w:shd w:val="clear" w:color="auto" w:fill="FFFFFF"/>
              <w:spacing w:line="480" w:lineRule="atLeast"/>
              <w:ind w:firstLine="708"/>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widowControl/>
              <w:shd w:val="clear" w:color="auto" w:fill="FFFFFF"/>
              <w:spacing w:line="480" w:lineRule="atLeast"/>
              <w:ind w:firstLine="708"/>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年全局专项支出</w:t>
            </w:r>
            <w:r>
              <w:rPr>
                <w:rFonts w:hint="eastAsia" w:ascii="仿宋_GB2312" w:hAnsi="仿宋_GB2312" w:eastAsia="仿宋_GB2312" w:cs="仿宋_GB2312"/>
                <w:bCs/>
                <w:sz w:val="28"/>
                <w:szCs w:val="28"/>
                <w:lang w:val="en-US" w:eastAsia="zh-CN"/>
              </w:rPr>
              <w:t>7374.6</w:t>
            </w:r>
            <w:r>
              <w:rPr>
                <w:rFonts w:hint="eastAsia" w:ascii="仿宋_GB2312" w:hAnsi="仿宋_GB2312" w:eastAsia="仿宋_GB2312" w:cs="仿宋_GB2312"/>
                <w:bCs/>
                <w:sz w:val="28"/>
                <w:szCs w:val="28"/>
              </w:rPr>
              <w:t>万元，其主要项目包括：</w:t>
            </w:r>
            <w:r>
              <w:rPr>
                <w:rFonts w:hint="eastAsia" w:ascii="仿宋_GB2312" w:hAnsi="仿宋_GB2312" w:eastAsia="仿宋_GB2312" w:cs="仿宋_GB2312"/>
                <w:bCs/>
                <w:sz w:val="28"/>
                <w:szCs w:val="28"/>
                <w:lang w:eastAsia="zh-CN"/>
              </w:rPr>
              <w:t>平安城市建设、</w:t>
            </w:r>
            <w:r>
              <w:rPr>
                <w:rFonts w:hint="eastAsia" w:ascii="仿宋_GB2312" w:hAnsi="仿宋_GB2312" w:eastAsia="仿宋_GB2312" w:cs="仿宋_GB2312"/>
                <w:bCs/>
                <w:sz w:val="28"/>
                <w:szCs w:val="28"/>
              </w:rPr>
              <w:t>执法办案中心建设、戒毒所建设、</w:t>
            </w:r>
            <w:r>
              <w:rPr>
                <w:rFonts w:hint="eastAsia" w:ascii="仿宋_GB2312" w:hAnsi="仿宋_GB2312" w:eastAsia="仿宋_GB2312" w:cs="仿宋_GB2312"/>
                <w:bCs/>
                <w:sz w:val="28"/>
                <w:szCs w:val="28"/>
                <w:lang w:eastAsia="zh-CN"/>
              </w:rPr>
              <w:t>业务技术用房建设、张谷英派出所建设、公田派出所建设、月田派出所建设、黄沙街派出所建设、扫黑除恶开支、办案</w:t>
            </w:r>
            <w:r>
              <w:rPr>
                <w:rFonts w:hint="eastAsia" w:ascii="仿宋_GB2312" w:hAnsi="仿宋_GB2312" w:eastAsia="仿宋_GB2312" w:cs="仿宋_GB2312"/>
                <w:bCs/>
                <w:sz w:val="28"/>
                <w:szCs w:val="28"/>
              </w:rPr>
              <w:t>开支、装备费开支等。该工程立项、报建、招投标程序合法，各项制度管理完善，工程监督管理严谨，工程质量验收合格，目前运行状况良好，符合设计要求。</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widowControl/>
              <w:shd w:val="clear" w:color="auto" w:fill="FFFFFF"/>
              <w:spacing w:line="480" w:lineRule="atLeast"/>
              <w:ind w:firstLine="708"/>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建党百年安保圆满完成、捍卫政治安全坚强有力、维护社会稳定扎实有效、打击突出犯罪成效显著、公共安全管理平安有序、法治公安建设稳步推进、基层基础工作持续加强，队伍教育整顿走深走实，强有力保障了全县社会大局的平安稳定。县局荣获全市公安机关绩效评估成绩突出单位，被省厅评为“</w:t>
            </w:r>
            <w:r>
              <w:rPr>
                <w:rFonts w:hint="eastAsia" w:ascii="仿宋_GB2312" w:hAnsi="仿宋_GB2312" w:eastAsia="仿宋_GB2312" w:cs="仿宋_GB2312"/>
                <w:bCs/>
                <w:sz w:val="28"/>
                <w:szCs w:val="28"/>
                <w:lang w:val="en-US" w:eastAsia="zh-CN"/>
              </w:rPr>
              <w:t>2020年网上政治安全保卫工作成绩突出单位</w:t>
            </w:r>
            <w:r>
              <w:rPr>
                <w:rFonts w:hint="eastAsia" w:ascii="仿宋_GB2312" w:hAnsi="仿宋_GB2312" w:eastAsia="仿宋_GB2312" w:cs="仿宋_GB2312"/>
                <w:bCs/>
                <w:sz w:val="28"/>
                <w:szCs w:val="28"/>
                <w:lang w:eastAsia="zh-CN"/>
              </w:rPr>
              <w:t>”等</w:t>
            </w:r>
            <w:r>
              <w:rPr>
                <w:rFonts w:hint="eastAsia" w:ascii="仿宋_GB2312" w:hAnsi="仿宋_GB2312" w:eastAsia="仿宋_GB2312" w:cs="仿宋_GB2312"/>
                <w:bCs/>
                <w:sz w:val="28"/>
                <w:szCs w:val="28"/>
                <w:lang w:val="en-US" w:eastAsia="zh-CN"/>
              </w:rPr>
              <w:t xml:space="preserve">11个单项工作先进。                                    </w:t>
            </w:r>
          </w:p>
          <w:p>
            <w:pPr>
              <w:widowControl/>
              <w:shd w:val="clear" w:color="auto" w:fill="FFFFFF"/>
              <w:spacing w:line="480" w:lineRule="atLeast"/>
              <w:ind w:firstLine="708"/>
              <w:jc w:val="left"/>
              <w:rPr>
                <w:rFonts w:ascii="黑体" w:hAnsi="黑体" w:eastAsia="黑体" w:cs="黑体"/>
                <w:bCs/>
                <w:sz w:val="28"/>
                <w:szCs w:val="28"/>
              </w:rPr>
            </w:pPr>
            <w:r>
              <w:rPr>
                <w:rFonts w:hint="eastAsia" w:ascii="黑体" w:hAnsi="黑体" w:eastAsia="黑体" w:cs="黑体"/>
                <w:bCs/>
                <w:sz w:val="28"/>
                <w:szCs w:val="28"/>
              </w:rPr>
              <w:t>四、存在的主要问题</w:t>
            </w:r>
          </w:p>
          <w:p>
            <w:pPr>
              <w:spacing w:line="560" w:lineRule="exact"/>
              <w:ind w:firstLine="618" w:firstLineChars="221"/>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近年来</w:t>
            </w:r>
            <w:r>
              <w:rPr>
                <w:rFonts w:hint="eastAsia" w:ascii="仿宋_GB2312" w:hAnsi="仿宋_GB2312" w:eastAsia="仿宋_GB2312" w:cs="仿宋_GB2312"/>
                <w:bCs/>
                <w:sz w:val="28"/>
                <w:szCs w:val="28"/>
              </w:rPr>
              <w:t>物价上涨，公安办案成本增加（尤其是出省办案成本增加），公安办案经费</w:t>
            </w:r>
            <w:bookmarkStart w:id="0" w:name="_GoBack"/>
            <w:bookmarkEnd w:id="0"/>
            <w:r>
              <w:rPr>
                <w:rFonts w:hint="eastAsia" w:ascii="仿宋_GB2312" w:hAnsi="仿宋_GB2312" w:eastAsia="仿宋_GB2312" w:cs="仿宋_GB2312"/>
                <w:bCs/>
                <w:sz w:val="28"/>
                <w:szCs w:val="28"/>
              </w:rPr>
              <w:t>不足。</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五、改进措施和有关建议</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建议</w:t>
            </w:r>
            <w:r>
              <w:rPr>
                <w:rFonts w:hint="eastAsia" w:ascii="仿宋_GB2312" w:hAnsi="仿宋_GB2312" w:eastAsia="仿宋_GB2312" w:cs="仿宋_GB2312"/>
                <w:bCs/>
                <w:sz w:val="28"/>
                <w:szCs w:val="28"/>
                <w:lang w:eastAsia="zh-CN"/>
              </w:rPr>
              <w:t>加大财政资金投入力度</w:t>
            </w:r>
            <w:r>
              <w:rPr>
                <w:rFonts w:hint="eastAsia" w:ascii="仿宋_GB2312" w:hAnsi="仿宋_GB2312" w:eastAsia="仿宋_GB2312" w:cs="仿宋_GB2312"/>
                <w:bCs/>
                <w:sz w:val="28"/>
                <w:szCs w:val="28"/>
              </w:rPr>
              <w:t>。</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岳阳县2021年财政项目支出绩效评价自评报告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p>
    <w:p>
      <w:pPr>
        <w:spacing w:beforeLines="50" w:line="760" w:lineRule="exact"/>
        <w:ind w:firstLine="480" w:firstLineChars="150"/>
        <w:rPr>
          <w:rFonts w:eastAsia="仿宋_GB2312"/>
          <w:sz w:val="32"/>
        </w:rPr>
      </w:pPr>
      <w:r>
        <w:rPr>
          <w:rFonts w:hint="eastAsia" w:eastAsia="仿宋_GB2312"/>
          <w:sz w:val="32"/>
        </w:rPr>
        <w:t>项目单位：</w:t>
      </w:r>
    </w:p>
    <w:p>
      <w:pPr>
        <w:spacing w:beforeLines="50" w:line="760" w:lineRule="exact"/>
        <w:ind w:firstLine="480" w:firstLineChars="150"/>
        <w:rPr>
          <w:rFonts w:eastAsia="仿宋_GB2312"/>
          <w:sz w:val="32"/>
          <w:u w:val="single"/>
        </w:rPr>
      </w:pPr>
      <w:r>
        <w:rPr>
          <w:rFonts w:hint="eastAsia" w:eastAsia="仿宋_GB2312"/>
          <w:sz w:val="32"/>
        </w:rPr>
        <w:t>主管部门：</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部门（单位）评价组</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报告日期：年月日</w:t>
      </w:r>
    </w:p>
    <w:p>
      <w:pPr>
        <w:spacing w:line="348" w:lineRule="auto"/>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一、项目基本概况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项目负责人</w:t>
            </w:r>
          </w:p>
        </w:tc>
        <w:tc>
          <w:tcPr>
            <w:tcW w:w="3240" w:type="dxa"/>
            <w:gridSpan w:val="6"/>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347"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联系电话</w:t>
            </w:r>
          </w:p>
        </w:tc>
        <w:tc>
          <w:tcPr>
            <w:tcW w:w="3333"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项目地址</w:t>
            </w:r>
          </w:p>
        </w:tc>
        <w:tc>
          <w:tcPr>
            <w:tcW w:w="3240" w:type="dxa"/>
            <w:gridSpan w:val="6"/>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347"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邮编</w:t>
            </w:r>
          </w:p>
        </w:tc>
        <w:tc>
          <w:tcPr>
            <w:tcW w:w="3333"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项目起止时间</w:t>
            </w:r>
          </w:p>
        </w:tc>
        <w:tc>
          <w:tcPr>
            <w:tcW w:w="7920" w:type="dxa"/>
            <w:gridSpan w:val="12"/>
            <w:tcBorders>
              <w:top w:val="single" w:color="auto" w:sz="4" w:space="0"/>
              <w:left w:val="single" w:color="auto" w:sz="4" w:space="0"/>
              <w:bottom w:val="single" w:color="auto" w:sz="4" w:space="0"/>
              <w:right w:val="single" w:color="auto" w:sz="4" w:space="0"/>
            </w:tcBorders>
            <w:vAlign w:val="center"/>
          </w:tcPr>
          <w:p>
            <w:pPr>
              <w:ind w:firstLine="1190" w:firstLineChars="496"/>
              <w:rPr>
                <w:rFonts w:eastAsia="仿宋_GB2312"/>
                <w:sz w:val="24"/>
              </w:rPr>
            </w:pPr>
            <w:r>
              <w:rPr>
                <w:rFonts w:hint="eastAsia" w:eastAsia="仿宋_GB2312"/>
                <w:sz w:val="24"/>
              </w:rPr>
              <w:t>年月起至年月止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64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pacing w:val="-6"/>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pacing w:val="-6"/>
                <w:sz w:val="24"/>
              </w:rPr>
            </w:pPr>
          </w:p>
        </w:tc>
        <w:tc>
          <w:tcPr>
            <w:tcW w:w="1644"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spacing w:val="-6"/>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44"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省财政</w:t>
            </w:r>
          </w:p>
        </w:tc>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省财政</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44"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市财政</w:t>
            </w:r>
          </w:p>
        </w:tc>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市财政</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县财政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县财政</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44"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县财政</w:t>
            </w:r>
          </w:p>
        </w:tc>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县财政</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44"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其它</w:t>
            </w:r>
          </w:p>
        </w:tc>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其它</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3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3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3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3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3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3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3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c>
          <w:tcPr>
            <w:tcW w:w="2342"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预期目标</w:t>
            </w:r>
          </w:p>
        </w:tc>
        <w:tc>
          <w:tcPr>
            <w:tcW w:w="3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5073" w:type="dxa"/>
            <w:gridSpan w:val="10"/>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一级指标</w:t>
            </w:r>
          </w:p>
        </w:tc>
        <w:tc>
          <w:tcPr>
            <w:tcW w:w="182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项目产出指标</w:t>
            </w:r>
          </w:p>
        </w:tc>
        <w:tc>
          <w:tcPr>
            <w:tcW w:w="182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项目效益指标</w:t>
            </w:r>
          </w:p>
        </w:tc>
        <w:tc>
          <w:tcPr>
            <w:tcW w:w="182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2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姓名</w:t>
            </w:r>
          </w:p>
        </w:tc>
        <w:tc>
          <w:tcPr>
            <w:tcW w:w="233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1950"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单位</w:t>
            </w:r>
          </w:p>
        </w:tc>
        <w:tc>
          <w:tcPr>
            <w:tcW w:w="303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2332"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950"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2332"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950"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2332"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950"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3036"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pPr>
              <w:spacing w:line="440" w:lineRule="exact"/>
              <w:rPr>
                <w:rFonts w:eastAsia="仿宋_GB2312"/>
                <w:sz w:val="24"/>
              </w:rPr>
            </w:pPr>
            <w:r>
              <w:rPr>
                <w:rFonts w:hint="eastAsia" w:eastAsia="仿宋_GB2312"/>
                <w:sz w:val="24"/>
              </w:rPr>
              <w:t>评价组组长（签字）：</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年月日</w:t>
            </w:r>
          </w:p>
        </w:tc>
      </w:tr>
    </w:tbl>
    <w:p>
      <w:pPr>
        <w:rPr>
          <w:rFonts w:eastAsia="仿宋_GB2312" w:cs="仿宋_GB2312"/>
          <w:bCs/>
          <w:sz w:val="28"/>
          <w:szCs w:val="28"/>
        </w:rPr>
      </w:pPr>
      <w:r>
        <w:rPr>
          <w:rFonts w:hint="eastAsia" w:eastAsia="仿宋_GB2312" w:cs="仿宋_GB2312"/>
          <w:bCs/>
          <w:sz w:val="28"/>
          <w:szCs w:val="28"/>
        </w:rPr>
        <w:t>填报人（签名）：联系电话：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eastAsia="仿宋_GB2312"/>
                <w:sz w:val="30"/>
                <w:szCs w:val="30"/>
              </w:rPr>
            </w:pPr>
            <w:r>
              <w:rPr>
                <w:rFonts w:hint="eastAsia" w:eastAsia="仿宋_GB2312"/>
                <w:sz w:val="30"/>
                <w:szCs w:val="30"/>
              </w:rPr>
              <w:t>（一）项目基本概况</w:t>
            </w:r>
          </w:p>
          <w:p>
            <w:pPr>
              <w:spacing w:line="560" w:lineRule="exact"/>
              <w:ind w:firstLine="600" w:firstLineChars="200"/>
              <w:rPr>
                <w:rFonts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eastAsia="仿宋_GB2312"/>
                <w:sz w:val="30"/>
                <w:szCs w:val="30"/>
              </w:rPr>
            </w:pPr>
            <w:r>
              <w:rPr>
                <w:rFonts w:hint="eastAsia" w:eastAsia="仿宋_GB2312"/>
                <w:sz w:val="30"/>
                <w:szCs w:val="30"/>
              </w:rPr>
              <w:t>（三）项目组织实施情况</w:t>
            </w:r>
          </w:p>
          <w:p>
            <w:pPr>
              <w:spacing w:line="560" w:lineRule="exact"/>
              <w:ind w:firstLine="600" w:firstLineChars="200"/>
              <w:rPr>
                <w:rFonts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eastAsia="仿宋_GB2312"/>
                <w:sz w:val="30"/>
                <w:szCs w:val="30"/>
              </w:rPr>
            </w:pPr>
            <w:r>
              <w:rPr>
                <w:rFonts w:hint="eastAsia" w:eastAsia="仿宋_GB2312"/>
                <w:sz w:val="30"/>
                <w:szCs w:val="30"/>
              </w:rPr>
              <w:t>（五）项目主要绩效情况分析</w:t>
            </w:r>
          </w:p>
          <w:p>
            <w:pPr>
              <w:spacing w:line="560" w:lineRule="exact"/>
              <w:ind w:firstLine="600"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pPr>
        <w:spacing w:beforeLines="50"/>
        <w:rPr>
          <w:rFonts w:ascii="仿宋_GB2312" w:hAnsi="宋体" w:eastAsia="仿宋_GB2312" w:cs="宋体"/>
          <w:kern w:val="0"/>
          <w:szCs w:val="21"/>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项目支出绩效评价指标体系评分表</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9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p>
      <w:pPr>
        <w:adjustRightInd w:val="0"/>
        <w:snapToGrid w:val="0"/>
        <w:spacing w:line="200" w:lineRule="exact"/>
        <w:jc w:val="left"/>
        <w:rPr>
          <w:rFonts w:eastAsia="仿宋_GB2312"/>
          <w:sz w:val="32"/>
        </w:rPr>
      </w:pPr>
    </w:p>
    <w:tbl>
      <w:tblPr>
        <w:tblStyle w:val="6"/>
        <w:tblW w:w="9450" w:type="dxa"/>
        <w:tblInd w:w="78" w:type="dxa"/>
        <w:tblLayout w:type="fixed"/>
        <w:tblCellMar>
          <w:top w:w="0" w:type="dxa"/>
          <w:left w:w="108" w:type="dxa"/>
          <w:bottom w:w="0" w:type="dxa"/>
          <w:right w:w="108" w:type="dxa"/>
        </w:tblCellMar>
      </w:tblPr>
      <w:tblGrid>
        <w:gridCol w:w="1650"/>
        <w:gridCol w:w="3525"/>
        <w:gridCol w:w="4275"/>
      </w:tblGrid>
      <w:tr>
        <w:tblPrEx>
          <w:tblCellMar>
            <w:top w:w="0" w:type="dxa"/>
            <w:left w:w="108" w:type="dxa"/>
            <w:bottom w:w="0" w:type="dxa"/>
            <w:right w:w="108" w:type="dxa"/>
          </w:tblCellMar>
        </w:tblPrEx>
        <w:trPr>
          <w:trHeight w:val="820" w:hRule="atLeast"/>
        </w:trPr>
        <w:tc>
          <w:tcPr>
            <w:tcW w:w="1650" w:type="dxa"/>
            <w:tcBorders>
              <w:top w:val="nil"/>
              <w:left w:val="nil"/>
              <w:bottom w:val="nil"/>
              <w:right w:val="nil"/>
              <w:tl2br w:val="nil"/>
              <w:tr2bl w:val="nil"/>
            </w:tcBorders>
            <w:noWrap/>
          </w:tcPr>
          <w:p>
            <w:pPr>
              <w:jc w:val="left"/>
              <w:rPr>
                <w:rFonts w:ascii="仿宋_GB2312" w:hAnsi="仿宋_GB2312" w:eastAsia="仿宋_GB2312"/>
                <w:color w:val="000000"/>
                <w:sz w:val="32"/>
              </w:rPr>
            </w:pPr>
            <w:r>
              <w:rPr>
                <w:rFonts w:hint="eastAsia" w:ascii="仿宋_GB2312" w:hAnsi="仿宋_GB2312" w:eastAsia="仿宋_GB2312"/>
                <w:color w:val="000000"/>
                <w:sz w:val="32"/>
              </w:rPr>
              <w:t>附件：4-1</w:t>
            </w:r>
          </w:p>
        </w:tc>
        <w:tc>
          <w:tcPr>
            <w:tcW w:w="3525" w:type="dxa"/>
            <w:tcBorders>
              <w:top w:val="nil"/>
              <w:left w:val="nil"/>
              <w:bottom w:val="nil"/>
              <w:right w:val="nil"/>
              <w:tl2br w:val="nil"/>
              <w:tr2bl w:val="nil"/>
            </w:tcBorders>
            <w:noWrap/>
          </w:tcPr>
          <w:p>
            <w:pPr>
              <w:jc w:val="right"/>
              <w:rPr>
                <w:rFonts w:ascii="宋体" w:hAnsi="宋体"/>
                <w:color w:val="000000"/>
                <w:sz w:val="22"/>
              </w:rPr>
            </w:pPr>
          </w:p>
        </w:tc>
        <w:tc>
          <w:tcPr>
            <w:tcW w:w="4275" w:type="dxa"/>
            <w:tcBorders>
              <w:top w:val="nil"/>
              <w:left w:val="nil"/>
              <w:bottom w:val="nil"/>
              <w:right w:val="nil"/>
              <w:tl2br w:val="nil"/>
              <w:tr2bl w:val="nil"/>
            </w:tcBorders>
            <w:noWrap/>
          </w:tcPr>
          <w:p>
            <w:pPr>
              <w:jc w:val="right"/>
              <w:rPr>
                <w:rFonts w:ascii="宋体" w:hAnsi="宋体"/>
                <w:color w:val="000000"/>
                <w:sz w:val="22"/>
              </w:rPr>
            </w:pPr>
          </w:p>
        </w:tc>
      </w:tr>
      <w:tr>
        <w:tblPrEx>
          <w:tblCellMar>
            <w:top w:w="0" w:type="dxa"/>
            <w:left w:w="108" w:type="dxa"/>
            <w:bottom w:w="0" w:type="dxa"/>
            <w:right w:w="108" w:type="dxa"/>
          </w:tblCellMar>
        </w:tblPrEx>
        <w:trPr>
          <w:trHeight w:val="1185" w:hRule="atLeast"/>
        </w:trPr>
        <w:tc>
          <w:tcPr>
            <w:tcW w:w="9450" w:type="dxa"/>
            <w:gridSpan w:val="3"/>
            <w:tcBorders>
              <w:top w:val="nil"/>
              <w:left w:val="nil"/>
              <w:bottom w:val="nil"/>
              <w:right w:val="nil"/>
              <w:tl2br w:val="nil"/>
              <w:tr2bl w:val="nil"/>
            </w:tcBorders>
            <w:noWrap/>
          </w:tcPr>
          <w:p>
            <w:pPr>
              <w:jc w:val="center"/>
              <w:rPr>
                <w:rFonts w:ascii="仿宋_GB2312" w:hAnsi="仿宋_GB2312" w:eastAsia="仿宋_GB2312"/>
                <w:b/>
                <w:color w:val="000000"/>
                <w:sz w:val="36"/>
              </w:rPr>
            </w:pPr>
            <w:r>
              <w:rPr>
                <w:rFonts w:hint="eastAsia" w:ascii="仿宋_GB2312" w:hAnsi="仿宋_GB2312" w:eastAsia="仿宋_GB2312"/>
                <w:b/>
                <w:color w:val="000000"/>
                <w:sz w:val="36"/>
              </w:rPr>
              <w:t>2021年预算部门整体支出绩效自评明细表</w:t>
            </w:r>
          </w:p>
        </w:tc>
      </w:tr>
      <w:tr>
        <w:tblPrEx>
          <w:tblCellMar>
            <w:top w:w="0" w:type="dxa"/>
            <w:left w:w="108" w:type="dxa"/>
            <w:bottom w:w="0" w:type="dxa"/>
            <w:right w:w="108" w:type="dxa"/>
          </w:tblCellMar>
        </w:tblPrEx>
        <w:trPr>
          <w:trHeight w:val="399" w:hRule="atLeast"/>
        </w:trPr>
        <w:tc>
          <w:tcPr>
            <w:tcW w:w="1650" w:type="dxa"/>
            <w:tcBorders>
              <w:top w:val="nil"/>
              <w:left w:val="nil"/>
              <w:bottom w:val="nil"/>
              <w:right w:val="nil"/>
              <w:tl2br w:val="nil"/>
              <w:tr2bl w:val="nil"/>
            </w:tcBorders>
            <w:noWrap/>
          </w:tcPr>
          <w:p>
            <w:pPr>
              <w:jc w:val="center"/>
              <w:rPr>
                <w:rFonts w:ascii="仿宋_GB2312" w:hAnsi="仿宋_GB2312" w:eastAsia="仿宋_GB2312"/>
                <w:b/>
                <w:color w:val="000000"/>
                <w:sz w:val="36"/>
              </w:rPr>
            </w:pPr>
          </w:p>
        </w:tc>
        <w:tc>
          <w:tcPr>
            <w:tcW w:w="3525" w:type="dxa"/>
            <w:tcBorders>
              <w:top w:val="nil"/>
              <w:left w:val="nil"/>
              <w:bottom w:val="nil"/>
              <w:right w:val="nil"/>
              <w:tl2br w:val="nil"/>
              <w:tr2bl w:val="nil"/>
            </w:tcBorders>
            <w:noWrap/>
          </w:tcPr>
          <w:p>
            <w:pPr>
              <w:jc w:val="center"/>
              <w:rPr>
                <w:rFonts w:ascii="仿宋_GB2312" w:hAnsi="仿宋_GB2312" w:eastAsia="仿宋_GB2312"/>
                <w:b/>
                <w:color w:val="000000"/>
                <w:sz w:val="36"/>
              </w:rPr>
            </w:pPr>
          </w:p>
        </w:tc>
        <w:tc>
          <w:tcPr>
            <w:tcW w:w="4275" w:type="dxa"/>
            <w:tcBorders>
              <w:top w:val="nil"/>
              <w:left w:val="nil"/>
              <w:bottom w:val="nil"/>
              <w:right w:val="nil"/>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单位：万元</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序号</w:t>
            </w:r>
          </w:p>
        </w:tc>
        <w:tc>
          <w:tcPr>
            <w:tcW w:w="352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单位</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金额</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东管会</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1140.00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文联</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69.11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教体局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7845.57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科技局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243.40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科协</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64.86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文旅广电局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335.56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广播电视台</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1111.58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公路建设养护中心</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1298.00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荣湾湖建设开发中心</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156.74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住建局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1340.54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城管局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1251.22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交通局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595.01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农业农村局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1506.54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乡村振兴局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192.32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水利局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971.02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库区移民服务中心</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190.58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畜牧水产发展服务中心</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444.46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林业局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3127.63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19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自然资源局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3763.39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砂管局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649.40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渔政局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1008.52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大云山管理处</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235.69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铁山水资源保护中心</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327.19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高新技术产业园</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505.71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台创园</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165.56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工信局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473.58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供销社</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330.76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人社局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770.77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29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残联</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419.81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民政局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2585.00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退役军人事务局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1404.30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医疗保障局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614.07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卫生健康局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3822.83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商粮局</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1115.12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贸促会</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139.83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张谷英管理处</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165.95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人大</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780.68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政协</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478.24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39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政府</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1095.25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发改局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566.80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统计局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368.86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财政局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1560.98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审计局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372.07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纪委监委</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1615.05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工商联</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108.13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妇联</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91.56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团委</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59.85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总工会</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217.65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49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县委办</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1252.87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巡察办</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130.71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编办</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144.64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52</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政法委</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376.26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53</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组织部</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431.98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54</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党校</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391.31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55</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宣传部</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380.48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56</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统战部</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339.97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57</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信访局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140.87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58</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公安局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8562.36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59</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司法局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1250.57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60</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应急管理局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658.29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shd w:val="clear" w:color="auto"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61</w:t>
            </w:r>
          </w:p>
        </w:tc>
        <w:tc>
          <w:tcPr>
            <w:tcW w:w="352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市场局</w:t>
            </w:r>
          </w:p>
        </w:tc>
        <w:tc>
          <w:tcPr>
            <w:tcW w:w="4275" w:type="dxa"/>
            <w:tcBorders>
              <w:top w:val="single" w:color="auto" w:sz="6" w:space="0"/>
              <w:left w:val="single" w:color="auto" w:sz="6" w:space="0"/>
              <w:bottom w:val="single" w:color="auto" w:sz="6" w:space="0"/>
              <w:right w:val="single" w:color="auto" w:sz="6" w:space="0"/>
              <w:tl2br w:val="nil"/>
              <w:tr2bl w:val="nil"/>
            </w:tcBorders>
            <w:shd w:val="solid" w:color="FFFFFF" w:fill="auto"/>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3866.44 </w:t>
            </w:r>
          </w:p>
        </w:tc>
      </w:tr>
      <w:tr>
        <w:tblPrEx>
          <w:tblCellMar>
            <w:top w:w="0" w:type="dxa"/>
            <w:left w:w="108" w:type="dxa"/>
            <w:bottom w:w="0" w:type="dxa"/>
            <w:right w:w="108" w:type="dxa"/>
          </w:tblCellMar>
        </w:tblPrEx>
        <w:trPr>
          <w:trHeight w:val="522" w:hRule="atLeast"/>
        </w:trPr>
        <w:tc>
          <w:tcPr>
            <w:tcW w:w="1650"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p>
        </w:tc>
        <w:tc>
          <w:tcPr>
            <w:tcW w:w="352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合  计</w:t>
            </w:r>
          </w:p>
        </w:tc>
        <w:tc>
          <w:tcPr>
            <w:tcW w:w="4275" w:type="dxa"/>
            <w:tcBorders>
              <w:top w:val="single" w:color="auto" w:sz="6" w:space="0"/>
              <w:left w:val="single" w:color="auto" w:sz="6" w:space="0"/>
              <w:bottom w:val="single" w:color="auto" w:sz="6" w:space="0"/>
              <w:right w:val="single" w:color="auto" w:sz="6" w:space="0"/>
              <w:tl2br w:val="nil"/>
              <w:tr2bl w:val="nil"/>
            </w:tcBorders>
            <w:noWrap/>
          </w:tcPr>
          <w:p>
            <w:pPr>
              <w:jc w:val="center"/>
              <w:rPr>
                <w:rFonts w:ascii="仿宋_GB2312" w:hAnsi="仿宋_GB2312" w:eastAsia="仿宋_GB2312"/>
                <w:color w:val="000000"/>
                <w:sz w:val="36"/>
              </w:rPr>
            </w:pPr>
            <w:r>
              <w:rPr>
                <w:rFonts w:hint="eastAsia" w:ascii="仿宋_GB2312" w:hAnsi="仿宋_GB2312" w:eastAsia="仿宋_GB2312"/>
                <w:color w:val="000000"/>
                <w:sz w:val="36"/>
              </w:rPr>
              <w:t xml:space="preserve">65623.49 </w:t>
            </w:r>
          </w:p>
        </w:tc>
      </w:tr>
    </w:tbl>
    <w:p/>
    <w:p/>
    <w:p/>
    <w:p>
      <w:pPr>
        <w:widowControl/>
        <w:jc w:val="left"/>
      </w:pPr>
      <w:r>
        <w:br w:type="page"/>
      </w:r>
    </w:p>
    <w:tbl>
      <w:tblPr>
        <w:tblStyle w:val="6"/>
        <w:tblW w:w="9953" w:type="dxa"/>
        <w:tblInd w:w="78" w:type="dxa"/>
        <w:tblLayout w:type="fixed"/>
        <w:tblCellMar>
          <w:top w:w="0" w:type="dxa"/>
          <w:left w:w="108" w:type="dxa"/>
          <w:bottom w:w="0" w:type="dxa"/>
          <w:right w:w="108" w:type="dxa"/>
        </w:tblCellMar>
      </w:tblPr>
      <w:tblGrid>
        <w:gridCol w:w="2280"/>
        <w:gridCol w:w="1335"/>
        <w:gridCol w:w="3750"/>
        <w:gridCol w:w="2588"/>
      </w:tblGrid>
      <w:tr>
        <w:tblPrEx>
          <w:tblCellMar>
            <w:top w:w="0" w:type="dxa"/>
            <w:left w:w="108" w:type="dxa"/>
            <w:bottom w:w="0" w:type="dxa"/>
            <w:right w:w="108" w:type="dxa"/>
          </w:tblCellMar>
        </w:tblPrEx>
        <w:trPr>
          <w:trHeight w:val="700" w:hRule="atLeast"/>
        </w:trPr>
        <w:tc>
          <w:tcPr>
            <w:tcW w:w="2280" w:type="dxa"/>
            <w:tcBorders>
              <w:top w:val="nil"/>
              <w:left w:val="nil"/>
              <w:bottom w:val="nil"/>
              <w:right w:val="nil"/>
              <w:tl2br w:val="nil"/>
              <w:tr2bl w:val="nil"/>
            </w:tcBorders>
            <w:noWrap/>
          </w:tcPr>
          <w:p>
            <w:pPr>
              <w:jc w:val="left"/>
              <w:rPr>
                <w:rFonts w:ascii="仿宋_GB2312" w:hAnsi="仿宋_GB2312" w:eastAsia="仿宋_GB2312"/>
                <w:color w:val="000000"/>
                <w:sz w:val="32"/>
              </w:rPr>
            </w:pPr>
            <w:r>
              <w:rPr>
                <w:rFonts w:hint="eastAsia" w:ascii="仿宋_GB2312" w:hAnsi="仿宋_GB2312" w:eastAsia="仿宋_GB2312"/>
                <w:color w:val="000000"/>
                <w:sz w:val="32"/>
              </w:rPr>
              <w:t>附件：4-2</w:t>
            </w:r>
          </w:p>
        </w:tc>
        <w:tc>
          <w:tcPr>
            <w:tcW w:w="1335" w:type="dxa"/>
            <w:tcBorders>
              <w:top w:val="nil"/>
              <w:left w:val="nil"/>
              <w:bottom w:val="nil"/>
              <w:right w:val="nil"/>
              <w:tl2br w:val="nil"/>
              <w:tr2bl w:val="nil"/>
            </w:tcBorders>
            <w:noWrap/>
          </w:tcPr>
          <w:p>
            <w:pPr>
              <w:jc w:val="right"/>
              <w:rPr>
                <w:rFonts w:ascii="宋体" w:hAnsi="宋体"/>
                <w:color w:val="000000"/>
                <w:sz w:val="22"/>
              </w:rPr>
            </w:pPr>
          </w:p>
        </w:tc>
        <w:tc>
          <w:tcPr>
            <w:tcW w:w="3750" w:type="dxa"/>
            <w:tcBorders>
              <w:top w:val="nil"/>
              <w:left w:val="nil"/>
              <w:bottom w:val="nil"/>
              <w:right w:val="nil"/>
              <w:tl2br w:val="nil"/>
              <w:tr2bl w:val="nil"/>
            </w:tcBorders>
            <w:noWrap/>
          </w:tcPr>
          <w:p>
            <w:pPr>
              <w:jc w:val="right"/>
              <w:rPr>
                <w:rFonts w:ascii="宋体" w:hAnsi="宋体"/>
                <w:color w:val="000000"/>
                <w:sz w:val="22"/>
              </w:rPr>
            </w:pPr>
          </w:p>
        </w:tc>
        <w:tc>
          <w:tcPr>
            <w:tcW w:w="2588" w:type="dxa"/>
            <w:tcBorders>
              <w:top w:val="nil"/>
              <w:left w:val="nil"/>
              <w:bottom w:val="nil"/>
              <w:right w:val="nil"/>
              <w:tl2br w:val="nil"/>
              <w:tr2bl w:val="nil"/>
            </w:tcBorders>
            <w:noWrap/>
          </w:tcPr>
          <w:p>
            <w:pPr>
              <w:jc w:val="right"/>
              <w:rPr>
                <w:rFonts w:ascii="宋体" w:hAnsi="宋体"/>
                <w:color w:val="000000"/>
                <w:sz w:val="22"/>
              </w:rPr>
            </w:pPr>
          </w:p>
        </w:tc>
      </w:tr>
      <w:tr>
        <w:tblPrEx>
          <w:tblCellMar>
            <w:top w:w="0" w:type="dxa"/>
            <w:left w:w="108" w:type="dxa"/>
            <w:bottom w:w="0" w:type="dxa"/>
            <w:right w:w="108" w:type="dxa"/>
          </w:tblCellMar>
        </w:tblPrEx>
        <w:trPr>
          <w:trHeight w:val="765" w:hRule="atLeast"/>
        </w:trPr>
        <w:tc>
          <w:tcPr>
            <w:tcW w:w="9953" w:type="dxa"/>
            <w:gridSpan w:val="4"/>
            <w:tcBorders>
              <w:top w:val="nil"/>
              <w:left w:val="nil"/>
              <w:bottom w:val="nil"/>
              <w:right w:val="nil"/>
              <w:tl2br w:val="nil"/>
              <w:tr2bl w:val="nil"/>
            </w:tcBorders>
            <w:noWrap/>
          </w:tcPr>
          <w:p>
            <w:pPr>
              <w:jc w:val="center"/>
              <w:rPr>
                <w:rFonts w:ascii="宋体" w:hAnsi="宋体"/>
                <w:b/>
                <w:color w:val="000000"/>
                <w:sz w:val="32"/>
              </w:rPr>
            </w:pPr>
            <w:r>
              <w:rPr>
                <w:rFonts w:hint="eastAsia" w:ascii="宋体" w:hAnsi="宋体"/>
                <w:b/>
                <w:color w:val="000000"/>
                <w:sz w:val="32"/>
              </w:rPr>
              <w:t>2021年预算单位财政项目支出绩效自评明细表</w:t>
            </w:r>
          </w:p>
        </w:tc>
      </w:tr>
      <w:tr>
        <w:tblPrEx>
          <w:tblCellMar>
            <w:top w:w="0" w:type="dxa"/>
            <w:left w:w="108" w:type="dxa"/>
            <w:bottom w:w="0" w:type="dxa"/>
            <w:right w:w="108" w:type="dxa"/>
          </w:tblCellMar>
        </w:tblPrEx>
        <w:trPr>
          <w:trHeight w:val="405" w:hRule="atLeast"/>
        </w:trPr>
        <w:tc>
          <w:tcPr>
            <w:tcW w:w="2280" w:type="dxa"/>
            <w:tcBorders>
              <w:top w:val="nil"/>
              <w:left w:val="nil"/>
              <w:bottom w:val="nil"/>
              <w:right w:val="nil"/>
              <w:tl2br w:val="nil"/>
              <w:tr2bl w:val="nil"/>
            </w:tcBorders>
            <w:noWrap/>
          </w:tcPr>
          <w:p>
            <w:pPr>
              <w:jc w:val="center"/>
              <w:rPr>
                <w:rFonts w:ascii="宋体" w:hAnsi="宋体"/>
                <w:b/>
                <w:color w:val="000000"/>
                <w:sz w:val="32"/>
              </w:rPr>
            </w:pPr>
          </w:p>
        </w:tc>
        <w:tc>
          <w:tcPr>
            <w:tcW w:w="1335" w:type="dxa"/>
            <w:tcBorders>
              <w:top w:val="nil"/>
              <w:left w:val="nil"/>
              <w:bottom w:val="nil"/>
              <w:right w:val="nil"/>
              <w:tl2br w:val="nil"/>
              <w:tr2bl w:val="nil"/>
            </w:tcBorders>
            <w:noWrap/>
          </w:tcPr>
          <w:p>
            <w:pPr>
              <w:jc w:val="center"/>
              <w:rPr>
                <w:rFonts w:ascii="宋体" w:hAnsi="宋体"/>
                <w:b/>
                <w:color w:val="000000"/>
                <w:sz w:val="32"/>
              </w:rPr>
            </w:pPr>
          </w:p>
        </w:tc>
        <w:tc>
          <w:tcPr>
            <w:tcW w:w="3750" w:type="dxa"/>
            <w:tcBorders>
              <w:top w:val="nil"/>
              <w:left w:val="nil"/>
              <w:bottom w:val="nil"/>
              <w:right w:val="nil"/>
              <w:tl2br w:val="nil"/>
              <w:tr2bl w:val="nil"/>
            </w:tcBorders>
            <w:noWrap/>
          </w:tcPr>
          <w:p>
            <w:pPr>
              <w:jc w:val="center"/>
              <w:rPr>
                <w:rFonts w:ascii="宋体" w:hAnsi="宋体"/>
                <w:b/>
                <w:color w:val="000000"/>
                <w:sz w:val="32"/>
              </w:rPr>
            </w:pPr>
          </w:p>
        </w:tc>
        <w:tc>
          <w:tcPr>
            <w:tcW w:w="2588" w:type="dxa"/>
            <w:tcBorders>
              <w:top w:val="nil"/>
              <w:left w:val="nil"/>
              <w:bottom w:val="nil"/>
              <w:right w:val="nil"/>
              <w:tl2br w:val="nil"/>
              <w:tr2bl w:val="nil"/>
            </w:tcBorders>
            <w:noWrap/>
          </w:tcPr>
          <w:p>
            <w:pPr>
              <w:jc w:val="center"/>
              <w:rPr>
                <w:rFonts w:ascii="宋体" w:hAnsi="宋体"/>
                <w:b/>
                <w:color w:val="000000"/>
                <w:sz w:val="32"/>
              </w:rPr>
            </w:pPr>
            <w:r>
              <w:rPr>
                <w:rFonts w:hint="eastAsia" w:ascii="宋体" w:hAnsi="宋体"/>
                <w:b/>
                <w:color w:val="000000"/>
                <w:sz w:val="32"/>
              </w:rPr>
              <w:t>单位：万元</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主管部门及实施单位</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序号</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项目内容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预算安排金额</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教体局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危房改造经费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731</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校车配套经费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180.5</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义务教育专项经费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983</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教师培训费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370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职专教育专项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特教专项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寄宿生补助</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91</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科技局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科技创新服务平台建设项目</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住建局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建设市场执法监管费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370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长丰北路拓改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8000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北湖路道路新建工程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1962</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公园路道路新建工程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400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文胜铁路桥涵改造工程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450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小游园及停车位建设项目</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800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荣站货运停车场</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523</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新墙河路</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1000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城北路道路项目建设</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1386</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城北路桥梁项目建设</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223</w:t>
            </w:r>
          </w:p>
        </w:tc>
      </w:tr>
      <w:tr>
        <w:tblPrEx>
          <w:tblCellMar>
            <w:top w:w="0" w:type="dxa"/>
            <w:left w:w="108" w:type="dxa"/>
            <w:bottom w:w="0" w:type="dxa"/>
            <w:right w:w="108" w:type="dxa"/>
          </w:tblCellMar>
        </w:tblPrEx>
        <w:trPr>
          <w:trHeight w:val="72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青山北路改造新建、改造（怡和小区旧改配套基础设施建设项目）</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1109</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白洋水库黑臭水体治理</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1000</w:t>
            </w:r>
          </w:p>
        </w:tc>
      </w:tr>
      <w:tr>
        <w:tblPrEx>
          <w:tblCellMar>
            <w:top w:w="0" w:type="dxa"/>
            <w:left w:w="108" w:type="dxa"/>
            <w:bottom w:w="0" w:type="dxa"/>
            <w:right w:w="108" w:type="dxa"/>
          </w:tblCellMar>
        </w:tblPrEx>
        <w:trPr>
          <w:trHeight w:val="480" w:hRule="atLeast"/>
        </w:trPr>
        <w:tc>
          <w:tcPr>
            <w:tcW w:w="2280" w:type="dxa"/>
            <w:tcBorders>
              <w:top w:val="nil"/>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污水处理(首创环保公司)</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1400</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交通局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公路养护</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700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乡村振兴“四好农村公路”建设</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1280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危桥改造工程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300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X118荣宝路大修工程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600</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荣湾湖开发服务中心</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滨水东路南延</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683</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荣湾湖渡改桥（虎形山大桥）工程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5683</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农业农村局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农村环境整治</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1918</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农业产业发展资金</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450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粮食生产专项资金</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784</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乡村振兴局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乡村振兴基础设施建设资金</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1000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林业局机关</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森林防火</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55</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渔政局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打击非法捕捞</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109</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畜牧水产发展服务中心</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病死动物无害化处理运行及补助</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295</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高新技术产业园</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污水处理厂污水处理费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899</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残联</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残疾人就业保障</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415</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民政局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重度残疾人补贴</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901</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养老服务补贴</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180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nil"/>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残疾人两项补贴</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560</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卫生健康局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县人民医院外科楼建设</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1000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基本卫生均等化服务配套经费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616.3</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两癌免费检查经费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126</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新型冠状病毒肺炎疫情防控</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1000</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商粮局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荣湾粮库县级粮食储备经费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180</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粮食改制经费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131</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组织部</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党员培训</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75</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宣传部</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文明创建</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30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党校</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b/>
                <w:color w:val="000000"/>
                <w:sz w:val="32"/>
              </w:rPr>
            </w:pPr>
            <w:r>
              <w:rPr>
                <w:rFonts w:hint="eastAsia" w:ascii="宋体" w:hAnsi="宋体"/>
                <w:b/>
                <w:color w:val="000000"/>
                <w:sz w:val="32"/>
              </w:rPr>
              <w:t>主体培训</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74</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应急管理局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打非执法</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52</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退役军人事务局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义务兵优待金</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457</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县纪委</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办案经费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270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政法委</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52</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保平安经费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754</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铁山水资源保护局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53</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铁山库区垃圾转运</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200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司法局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54</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社区矫正</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45</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市场局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55</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食品药品监管、检验及打假</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231</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供销社</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56</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老旧小区改造</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96</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统计局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57</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第七次人口普查经费</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80</w:t>
            </w:r>
          </w:p>
        </w:tc>
      </w:tr>
      <w:tr>
        <w:tblPrEx>
          <w:tblCellMar>
            <w:top w:w="0" w:type="dxa"/>
            <w:left w:w="108" w:type="dxa"/>
            <w:bottom w:w="0" w:type="dxa"/>
            <w:right w:w="108" w:type="dxa"/>
          </w:tblCellMar>
        </w:tblPrEx>
        <w:trPr>
          <w:trHeight w:val="480" w:hRule="atLeast"/>
        </w:trPr>
        <w:tc>
          <w:tcPr>
            <w:tcW w:w="2280" w:type="dxa"/>
            <w:vMerge w:val="restart"/>
            <w:tcBorders>
              <w:top w:val="single" w:color="auto" w:sz="6" w:space="0"/>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城管局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58</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垃圾中转站建设工程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1305</w:t>
            </w:r>
          </w:p>
        </w:tc>
      </w:tr>
      <w:tr>
        <w:tblPrEx>
          <w:tblCellMar>
            <w:top w:w="0" w:type="dxa"/>
            <w:left w:w="108" w:type="dxa"/>
            <w:bottom w:w="0" w:type="dxa"/>
            <w:right w:w="108" w:type="dxa"/>
          </w:tblCellMar>
        </w:tblPrEx>
        <w:trPr>
          <w:trHeight w:val="480" w:hRule="atLeast"/>
        </w:trPr>
        <w:tc>
          <w:tcPr>
            <w:tcW w:w="2280" w:type="dxa"/>
            <w:vMerge w:val="continue"/>
            <w:tcBorders>
              <w:left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59</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新建建筑垃圾消纳场</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500</w:t>
            </w:r>
          </w:p>
        </w:tc>
      </w:tr>
      <w:tr>
        <w:tblPrEx>
          <w:tblCellMar>
            <w:top w:w="0" w:type="dxa"/>
            <w:left w:w="108" w:type="dxa"/>
            <w:bottom w:w="0" w:type="dxa"/>
            <w:right w:w="108" w:type="dxa"/>
          </w:tblCellMar>
        </w:tblPrEx>
        <w:trPr>
          <w:trHeight w:val="800" w:hRule="atLeast"/>
        </w:trPr>
        <w:tc>
          <w:tcPr>
            <w:tcW w:w="2280" w:type="dxa"/>
            <w:vMerge w:val="continue"/>
            <w:tcBorders>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60</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岳阳县生活垃圾卫生填埋场渗滤液处理站项目建设工程</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171</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公安局</w:t>
            </w:r>
          </w:p>
        </w:tc>
        <w:tc>
          <w:tcPr>
            <w:tcW w:w="1335"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61</w:t>
            </w:r>
          </w:p>
        </w:tc>
        <w:tc>
          <w:tcPr>
            <w:tcW w:w="37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rPr>
                <w:rFonts w:ascii="宋体" w:hAnsi="宋体"/>
                <w:color w:val="000000"/>
                <w:sz w:val="32"/>
              </w:rPr>
            </w:pPr>
            <w:r>
              <w:rPr>
                <w:rFonts w:hint="eastAsia" w:ascii="宋体" w:hAnsi="宋体"/>
                <w:color w:val="000000"/>
                <w:sz w:val="32"/>
              </w:rPr>
              <w:t>公安局业务用房建设</w:t>
            </w: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8000</w:t>
            </w:r>
          </w:p>
        </w:tc>
      </w:tr>
      <w:tr>
        <w:tblPrEx>
          <w:tblCellMar>
            <w:top w:w="0" w:type="dxa"/>
            <w:left w:w="108" w:type="dxa"/>
            <w:bottom w:w="0" w:type="dxa"/>
            <w:right w:w="108" w:type="dxa"/>
          </w:tblCellMar>
        </w:tblPrEx>
        <w:trPr>
          <w:trHeight w:val="480" w:hRule="atLeast"/>
        </w:trPr>
        <w:tc>
          <w:tcPr>
            <w:tcW w:w="2280"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合  计</w:t>
            </w:r>
          </w:p>
        </w:tc>
        <w:tc>
          <w:tcPr>
            <w:tcW w:w="1335" w:type="dxa"/>
            <w:tcBorders>
              <w:top w:val="nil"/>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3750" w:type="dxa"/>
            <w:tcBorders>
              <w:top w:val="nil"/>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p>
        </w:tc>
        <w:tc>
          <w:tcPr>
            <w:tcW w:w="2588" w:type="dxa"/>
            <w:tcBorders>
              <w:top w:val="single" w:color="auto" w:sz="6" w:space="0"/>
              <w:left w:val="single" w:color="auto" w:sz="6" w:space="0"/>
              <w:bottom w:val="single" w:color="auto" w:sz="6" w:space="0"/>
              <w:right w:val="single" w:color="auto" w:sz="6" w:space="0"/>
              <w:tl2br w:val="nil"/>
              <w:tr2bl w:val="nil"/>
            </w:tcBorders>
            <w:shd w:val="solid" w:color="FFFFFF" w:fill="auto"/>
            <w:noWrap/>
            <w:vAlign w:val="center"/>
          </w:tcPr>
          <w:p>
            <w:pPr>
              <w:jc w:val="center"/>
              <w:rPr>
                <w:rFonts w:ascii="宋体" w:hAnsi="宋体"/>
                <w:color w:val="000000"/>
                <w:sz w:val="32"/>
              </w:rPr>
            </w:pPr>
            <w:r>
              <w:rPr>
                <w:rFonts w:hint="eastAsia" w:ascii="宋体" w:hAnsi="宋体"/>
                <w:color w:val="000000"/>
                <w:sz w:val="32"/>
              </w:rPr>
              <w:t>53403.8</w:t>
            </w:r>
          </w:p>
        </w:tc>
      </w:tr>
    </w:tbl>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2522D"/>
    <w:multiLevelType w:val="singleLevel"/>
    <w:tmpl w:val="9432522D"/>
    <w:lvl w:ilvl="0" w:tentative="0">
      <w:start w:val="1"/>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6"/>
      <w:lvlText w:val="%1."/>
      <w:lvlJc w:val="left"/>
      <w:pPr>
        <w:tabs>
          <w:tab w:val="left" w:pos="780"/>
        </w:tabs>
        <w:ind w:left="7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1NDEwYjhiZWIwZTFkNWU4ZmVmYjI4ZWU3OWE1OWYifQ=="/>
  </w:docVars>
  <w:rsids>
    <w:rsidRoot w:val="00172A27"/>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72A27"/>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8501A"/>
    <w:rsid w:val="00F947E3"/>
    <w:rsid w:val="00FA6EE7"/>
    <w:rsid w:val="00FB16AF"/>
    <w:rsid w:val="00FB2BA1"/>
    <w:rsid w:val="00FD21C0"/>
    <w:rsid w:val="00FD708D"/>
    <w:rsid w:val="00FF3258"/>
    <w:rsid w:val="00FF605E"/>
    <w:rsid w:val="06C416D5"/>
    <w:rsid w:val="0A030A34"/>
    <w:rsid w:val="0DA81347"/>
    <w:rsid w:val="19260A14"/>
    <w:rsid w:val="1C1C666B"/>
    <w:rsid w:val="1D743260"/>
    <w:rsid w:val="26774D24"/>
    <w:rsid w:val="2851609F"/>
    <w:rsid w:val="29315E51"/>
    <w:rsid w:val="29793438"/>
    <w:rsid w:val="2BEA0167"/>
    <w:rsid w:val="31CD3766"/>
    <w:rsid w:val="363B56BF"/>
    <w:rsid w:val="38C23616"/>
    <w:rsid w:val="4AAE2E99"/>
    <w:rsid w:val="4CEE580D"/>
    <w:rsid w:val="504A552E"/>
    <w:rsid w:val="50AD0C6D"/>
    <w:rsid w:val="54AB4321"/>
    <w:rsid w:val="5D4F35AB"/>
    <w:rsid w:val="5DB20C5F"/>
    <w:rsid w:val="62A009D7"/>
    <w:rsid w:val="648C220A"/>
    <w:rsid w:val="6809134E"/>
    <w:rsid w:val="68AA4C39"/>
    <w:rsid w:val="69742BDF"/>
    <w:rsid w:val="6AD76980"/>
    <w:rsid w:val="6B71573B"/>
    <w:rsid w:val="732561B0"/>
    <w:rsid w:val="756013EF"/>
    <w:rsid w:val="79F0607A"/>
    <w:rsid w:val="7A920274"/>
    <w:rsid w:val="7CFD6D4D"/>
    <w:rsid w:val="7EA174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0"/>
    <w:pPr>
      <w:ind w:left="100" w:leftChars="2500"/>
    </w:pPr>
  </w:style>
  <w:style w:type="paragraph" w:styleId="3">
    <w:name w:val="Body Text Indent 2"/>
    <w:basedOn w:val="1"/>
    <w:link w:val="13"/>
    <w:semiHidden/>
    <w:unhideWhenUsed/>
    <w:qFormat/>
    <w:uiPriority w:val="0"/>
    <w:pPr>
      <w:ind w:firstLine="588" w:firstLineChars="200"/>
    </w:pPr>
    <w:rPr>
      <w:rFonts w:ascii="仿宋_GB2312" w:hAnsi="Calibri" w:eastAsia="仿宋_GB2312"/>
      <w:sz w:val="32"/>
    </w:rPr>
  </w:style>
  <w:style w:type="paragraph" w:styleId="4">
    <w:name w:val="footer"/>
    <w:basedOn w:val="1"/>
    <w:link w:val="17"/>
    <w:semiHidden/>
    <w:unhideWhenUsed/>
    <w:qFormat/>
    <w:uiPriority w:val="0"/>
    <w:pPr>
      <w:tabs>
        <w:tab w:val="center" w:pos="4153"/>
        <w:tab w:val="right" w:pos="8306"/>
      </w:tabs>
      <w:snapToGrid w:val="0"/>
      <w:jc w:val="left"/>
    </w:pPr>
    <w:rPr>
      <w:kern w:val="0"/>
      <w:sz w:val="18"/>
      <w:szCs w:val="18"/>
    </w:rPr>
  </w:style>
  <w:style w:type="paragraph" w:styleId="5">
    <w:name w:val="header"/>
    <w:basedOn w:val="1"/>
    <w:link w:val="10"/>
    <w:semiHidden/>
    <w:unhideWhenUsed/>
    <w:qFormat/>
    <w:uiPriority w:val="0"/>
    <w:pP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semiHidden/>
    <w:unhideWhenUsed/>
    <w:qFormat/>
    <w:uiPriority w:val="0"/>
    <w:rPr>
      <w:color w:val="0000FF"/>
      <w:u w:val="single"/>
    </w:rPr>
  </w:style>
  <w:style w:type="character" w:customStyle="1" w:styleId="10">
    <w:name w:val="页眉 Char"/>
    <w:basedOn w:val="7"/>
    <w:link w:val="5"/>
    <w:semiHidden/>
    <w:uiPriority w:val="0"/>
    <w:rPr>
      <w:rFonts w:ascii="Times New Roman" w:hAnsi="Times New Roman" w:eastAsia="宋体" w:cs="Times New Roman"/>
      <w:sz w:val="18"/>
      <w:szCs w:val="18"/>
    </w:rPr>
  </w:style>
  <w:style w:type="character" w:customStyle="1" w:styleId="11">
    <w:name w:val="页脚 Char"/>
    <w:basedOn w:val="7"/>
    <w:link w:val="4"/>
    <w:semiHidden/>
    <w:uiPriority w:val="0"/>
    <w:rPr>
      <w:rFonts w:ascii="Times New Roman" w:hAnsi="Times New Roman" w:eastAsia="宋体" w:cs="Times New Roman"/>
      <w:sz w:val="18"/>
      <w:szCs w:val="18"/>
    </w:rPr>
  </w:style>
  <w:style w:type="character" w:customStyle="1" w:styleId="12">
    <w:name w:val="日期 Char"/>
    <w:basedOn w:val="7"/>
    <w:link w:val="2"/>
    <w:semiHidden/>
    <w:uiPriority w:val="0"/>
    <w:rPr>
      <w:rFonts w:ascii="Times New Roman" w:hAnsi="Times New Roman" w:eastAsia="宋体" w:cs="Times New Roman"/>
      <w:szCs w:val="24"/>
    </w:rPr>
  </w:style>
  <w:style w:type="character" w:customStyle="1" w:styleId="13">
    <w:name w:val="正文文本缩进 2 Char"/>
    <w:basedOn w:val="7"/>
    <w:link w:val="3"/>
    <w:semiHidden/>
    <w:qFormat/>
    <w:uiPriority w:val="0"/>
    <w:rPr>
      <w:rFonts w:ascii="仿宋_GB2312" w:hAnsi="Calibri" w:eastAsia="仿宋_GB2312" w:cs="Times New Roman"/>
      <w:sz w:val="32"/>
      <w:szCs w:val="24"/>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paragraph" w:customStyle="1" w:styleId="15">
    <w:name w:val="Char1"/>
    <w:basedOn w:val="1"/>
    <w:qFormat/>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页脚 Char1"/>
    <w:basedOn w:val="7"/>
    <w:link w:val="4"/>
    <w:semiHidden/>
    <w:qFormat/>
    <w:locked/>
    <w:uiPriority w:val="0"/>
    <w:rPr>
      <w:rFonts w:ascii="Times New Roman" w:hAnsi="Times New Roman" w:eastAsia="宋体" w:cs="Times New Roman"/>
      <w:kern w:val="0"/>
      <w:sz w:val="18"/>
      <w:szCs w:val="18"/>
    </w:rPr>
  </w:style>
  <w:style w:type="character" w:customStyle="1" w:styleId="18">
    <w:name w:val="标题 3 Char Char"/>
    <w:qFormat/>
    <w:uiPriority w:val="0"/>
    <w:rPr>
      <w:rFonts w:hint="eastAsia" w:ascii="楷体_GB2312" w:eastAsia="楷体_GB2312"/>
      <w:b/>
      <w:kern w:val="2"/>
      <w:sz w:val="32"/>
      <w:szCs w:val="24"/>
      <w:lang w:val="en-US" w:eastAsia="zh-CN" w:bidi="ar-SA"/>
    </w:rPr>
  </w:style>
  <w:style w:type="character" w:customStyle="1" w:styleId="19">
    <w:name w:val="font11"/>
    <w:basedOn w:val="7"/>
    <w:qFormat/>
    <w:uiPriority w:val="0"/>
    <w:rPr>
      <w:rFonts w:hint="eastAsia" w:ascii="宋体" w:hAnsi="宋体" w:eastAsia="宋体" w:cs="宋体"/>
      <w:b/>
      <w:bCs/>
      <w:color w:val="000000"/>
      <w:sz w:val="36"/>
      <w:szCs w:val="36"/>
      <w:u w:val="none"/>
    </w:rPr>
  </w:style>
  <w:style w:type="character" w:customStyle="1" w:styleId="20">
    <w:name w:val="font51"/>
    <w:basedOn w:val="7"/>
    <w:qFormat/>
    <w:uiPriority w:val="0"/>
    <w:rPr>
      <w:rFonts w:hint="eastAsia" w:ascii="宋体" w:hAnsi="宋体" w:eastAsia="宋体" w:cs="宋体"/>
      <w:color w:val="000000"/>
      <w:sz w:val="20"/>
      <w:szCs w:val="20"/>
      <w:u w:val="none"/>
    </w:rPr>
  </w:style>
  <w:style w:type="character" w:customStyle="1" w:styleId="21">
    <w:name w:val="font9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7478</Words>
  <Characters>8528</Characters>
  <Lines>87</Lines>
  <Paragraphs>24</Paragraphs>
  <TotalTime>10</TotalTime>
  <ScaleCrop>false</ScaleCrop>
  <LinksUpToDate>false</LinksUpToDate>
  <CharactersWithSpaces>9066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cp:lastPrinted>2022-06-27T02:55:00Z</cp:lastPrinted>
  <dcterms:modified xsi:type="dcterms:W3CDTF">2022-07-12T09:02:05Z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D437A7A720334F978D14FA794832065D</vt:lpwstr>
  </property>
</Properties>
</file>