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岳阳县2020年财政项目支出绩效评价自评报告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评价类型：项目实施过程评价□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项目完成结果评价</w:t>
      </w:r>
      <w:r>
        <w:rPr>
          <w:rFonts w:hint="eastAsia" w:eastAsia="仿宋_GB2312"/>
          <w:sz w:val="32"/>
          <w:szCs w:val="32"/>
          <w:lang w:eastAsia="zh-CN"/>
        </w:rPr>
        <w:t>☑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eastAsia="仿宋_GB2312"/>
          <w:sz w:val="32"/>
          <w:u w:val="single"/>
        </w:rPr>
        <w:t xml:space="preserve">            </w:t>
      </w:r>
      <w:r>
        <w:rPr>
          <w:rFonts w:hint="eastAsia" w:eastAsia="仿宋_GB2312"/>
          <w:sz w:val="32"/>
          <w:u w:val="single"/>
          <w:lang w:eastAsia="zh-CN"/>
        </w:rPr>
        <w:t>义务兵家庭优待金</w:t>
      </w:r>
      <w:r>
        <w:rPr>
          <w:rFonts w:eastAsia="仿宋_GB2312"/>
          <w:sz w:val="32"/>
          <w:u w:val="single"/>
        </w:rPr>
        <w:t xml:space="preserve">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u w:val="single"/>
          <w:lang w:eastAsia="zh-CN"/>
        </w:rPr>
        <w:t>岳阳县退役军人事务局优抚股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eastAsia="仿宋_GB2312"/>
          <w:sz w:val="32"/>
          <w:u w:val="single"/>
        </w:rPr>
        <w:t xml:space="preserve">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eastAsia="仿宋_GB2312"/>
          <w:sz w:val="32"/>
          <w:u w:val="single"/>
        </w:rPr>
        <w:t xml:space="preserve">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u w:val="single"/>
          <w:lang w:eastAsia="zh-CN"/>
        </w:rPr>
        <w:t>岳阳县退役军人事务局</w:t>
      </w:r>
      <w:r>
        <w:rPr>
          <w:rFonts w:eastAsia="仿宋_GB2312"/>
          <w:sz w:val="32"/>
          <w:u w:val="single"/>
        </w:rPr>
        <w:t xml:space="preserve">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>部门（单位）评价组</w:t>
      </w:r>
      <w:r>
        <w:rPr>
          <w:rFonts w:eastAsia="仿宋_GB2312"/>
          <w:sz w:val="28"/>
          <w:szCs w:val="28"/>
        </w:rPr>
        <w:t xml:space="preserve">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>2021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>16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2"/>
        <w:tblW w:w="10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99"/>
        <w:gridCol w:w="201"/>
        <w:gridCol w:w="414"/>
        <w:gridCol w:w="306"/>
        <w:gridCol w:w="1224"/>
        <w:gridCol w:w="123"/>
        <w:gridCol w:w="81"/>
        <w:gridCol w:w="961"/>
        <w:gridCol w:w="420"/>
        <w:gridCol w:w="1336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5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目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基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本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概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hint="eastAsia" w:eastAsia="仿宋_GB2312"/>
                <w:b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方  兴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4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0730-7649818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岳阳县退役军人事务局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编</w:t>
            </w:r>
          </w:p>
        </w:tc>
        <w:tc>
          <w:tcPr>
            <w:tcW w:w="4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9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月起至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485.4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489.6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489.6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130.2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130.2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130.2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157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359.4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359.4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县财政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198.2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5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2020年义务兵家庭优待金、奖励金发放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485.6</w:t>
            </w:r>
          </w:p>
        </w:tc>
        <w:tc>
          <w:tcPr>
            <w:tcW w:w="2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2020年12月65#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2020年入伍进藏新兵一次性奖励金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2020年9月30#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489.6</w:t>
            </w:r>
          </w:p>
        </w:tc>
        <w:tc>
          <w:tcPr>
            <w:tcW w:w="2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05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48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标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8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份</w:t>
            </w:r>
            <w:r>
              <w:rPr>
                <w:rFonts w:hint="eastAsia" w:ascii="仿宋_GB2312" w:eastAsia="仿宋_GB2312"/>
                <w:sz w:val="24"/>
                <w:szCs w:val="24"/>
              </w:rPr>
              <w:t>完成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仿宋_GB2312" w:eastAsia="仿宋_GB2312"/>
                <w:sz w:val="24"/>
                <w:szCs w:val="24"/>
              </w:rPr>
              <w:t>义务兵家庭优待金发放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489.6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万元，解决现役军属实际困难，完善和落实征兵政策。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份已</w:t>
            </w:r>
            <w:r>
              <w:rPr>
                <w:rFonts w:hint="eastAsia" w:ascii="仿宋_GB2312" w:eastAsia="仿宋_GB2312"/>
                <w:sz w:val="24"/>
                <w:szCs w:val="24"/>
              </w:rPr>
              <w:t>完成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2020年</w:t>
            </w:r>
            <w:r>
              <w:rPr>
                <w:rFonts w:hint="eastAsia" w:ascii="仿宋_GB2312" w:eastAsia="仿宋_GB2312"/>
                <w:sz w:val="24"/>
                <w:szCs w:val="24"/>
              </w:rPr>
              <w:t>义务兵家庭优待金发放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489.6</w:t>
            </w:r>
            <w:r>
              <w:rPr>
                <w:rFonts w:hint="eastAsia" w:ascii="仿宋_GB2312" w:eastAsia="仿宋_GB2312"/>
                <w:sz w:val="24"/>
                <w:szCs w:val="24"/>
              </w:rPr>
              <w:t>万元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发放</w:t>
            </w:r>
            <w:r>
              <w:rPr>
                <w:rFonts w:hint="eastAsia"/>
                <w:sz w:val="18"/>
                <w:szCs w:val="18"/>
              </w:rPr>
              <w:t>城镇、农村义务兵</w:t>
            </w:r>
            <w:r>
              <w:rPr>
                <w:rFonts w:hint="eastAsia"/>
                <w:sz w:val="18"/>
                <w:szCs w:val="18"/>
                <w:lang w:eastAsia="zh-CN"/>
              </w:rPr>
              <w:t>家</w:t>
            </w:r>
            <w:r>
              <w:rPr>
                <w:rFonts w:hint="eastAsia"/>
                <w:sz w:val="18"/>
                <w:szCs w:val="18"/>
              </w:rPr>
              <w:t>庭优待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425.6</w:t>
            </w: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发放</w:t>
            </w:r>
            <w:r>
              <w:rPr>
                <w:rFonts w:hint="eastAsia"/>
                <w:sz w:val="18"/>
                <w:szCs w:val="18"/>
              </w:rPr>
              <w:t>一次性</w:t>
            </w:r>
            <w:r>
              <w:rPr>
                <w:rFonts w:hint="eastAsia"/>
                <w:sz w:val="18"/>
                <w:szCs w:val="18"/>
                <w:lang w:eastAsia="zh-CN"/>
              </w:rPr>
              <w:t>奖励金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64万元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为现役军人家庭提</w:t>
            </w:r>
            <w:r>
              <w:rPr>
                <w:rFonts w:hint="eastAsia"/>
                <w:sz w:val="18"/>
                <w:szCs w:val="18"/>
                <w:lang w:eastAsia="zh-CN"/>
              </w:rPr>
              <w:t>供了一定的经济保障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完善和落实征兵激</w:t>
            </w:r>
            <w:r>
              <w:rPr>
                <w:rFonts w:hint="eastAsia"/>
                <w:sz w:val="18"/>
                <w:szCs w:val="18"/>
                <w:lang w:eastAsia="zh-CN"/>
              </w:rPr>
              <w:t>励政策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于每年12月份前打卡发放完成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上级专项补助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130.2万元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县财政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359.4</w:t>
            </w:r>
            <w:r>
              <w:rPr>
                <w:rFonts w:hint="eastAsia"/>
                <w:sz w:val="18"/>
                <w:szCs w:val="18"/>
              </w:rPr>
              <w:t>万</w:t>
            </w: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体现拥军优属政策制</w:t>
            </w:r>
            <w:r>
              <w:rPr>
                <w:rFonts w:hint="eastAsia"/>
                <w:sz w:val="18"/>
                <w:szCs w:val="18"/>
                <w:lang w:eastAsia="zh-CN"/>
              </w:rPr>
              <w:t>度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大力营造参军光荣社</w:t>
            </w:r>
            <w:r>
              <w:rPr>
                <w:rFonts w:hint="eastAsia"/>
                <w:sz w:val="18"/>
                <w:szCs w:val="18"/>
                <w:lang w:eastAsia="zh-CN"/>
              </w:rPr>
              <w:t>会风尚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现役军人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现役军人家属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100%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99</w:t>
            </w:r>
            <w:r>
              <w:rPr>
                <w:rFonts w:hint="eastAsia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职务</w:t>
            </w: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位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方兴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局长</w:t>
            </w: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岳阳县退役军人事务局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方新宇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副局长</w:t>
            </w: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岳阳县退役军人事务局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李小华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规划财务股股长</w:t>
            </w: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岳阳县退役军人事务局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明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优抚股股长</w:t>
            </w: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岳阳县退役军人事务局</w:t>
            </w:r>
          </w:p>
        </w:tc>
        <w:tc>
          <w:tcPr>
            <w:tcW w:w="4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05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评价组组长（签字）：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05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05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                           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eastAsia="仿宋_GB2312"/>
                <w:sz w:val="24"/>
              </w:rPr>
              <w:t xml:space="preserve">     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李小华</w:t>
      </w:r>
      <w:r>
        <w:rPr>
          <w:rFonts w:eastAsia="仿宋_GB2312" w:cs="仿宋_GB2312"/>
          <w:bCs/>
          <w:sz w:val="28"/>
          <w:szCs w:val="28"/>
        </w:rPr>
        <w:t xml:space="preserve">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0730-7649818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600" w:lineRule="exact"/>
              <w:ind w:right="641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岳阳县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退役军人事务局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义务兵家庭优待金专项绩效报告</w:t>
            </w:r>
          </w:p>
          <w:p>
            <w:pPr>
              <w:adjustRightInd w:val="0"/>
              <w:spacing w:line="600" w:lineRule="exact"/>
              <w:ind w:right="641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、项目概况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义务兵家庭优待金是城镇、农村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及大学生入伍新兵两年义务兵期间发放给其家庭的优待金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及一次性奖励金，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县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退役军人事务局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优抚股根据县武装部每年提供的入伍名单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父母身份证户口本复印件办理存折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或提供父母一方的账号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，于每年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打卡发放。</w:t>
            </w:r>
          </w:p>
          <w:p>
            <w:pPr>
              <w:adjustRightInd w:val="0"/>
              <w:snapToGrid w:val="0"/>
              <w:spacing w:line="600" w:lineRule="exac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二、资金使用情况</w:t>
            </w: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年义务兵家庭优待金共发放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489.6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万元，资金主要来源：省财政补助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130.2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万元，县财政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359.4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年入伍义务兵优待金发放第二年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222.6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年入伍义务兵家庭优待金发放第一年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年艰苦地区入伍一次性奖励金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；大学生入伍奖励金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60万元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。发放标准为：义务兵家庭优待金每人每年14000元；到西藏、新疆等艰苦地区服役的义务兵家庭给予10000元一次性奖励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；大学生入伍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发放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一次性奖励金（毕生业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8000元；在校生6000元；大学新生4000元。）发放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文件依据：（湖南省民政厅关于执行城乡义务兵家庭优待金新标准的通知）转省委、省政府、省军区联合下（湘发［２０１１］１４号）及岳政办发[2013]10号关于做好城乡义务兵家庭优待金发放工作的通知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2018年省民政厅、省财政厅、省人民政府征兵办公室联合下发的《关于调整义务兵家庭优待金政策的通知》（湘民发[2018]8号）。</w:t>
            </w:r>
          </w:p>
          <w:p>
            <w:pPr>
              <w:adjustRightInd w:val="0"/>
              <w:snapToGrid w:val="0"/>
              <w:spacing w:line="600" w:lineRule="exac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三、项目绩效情况</w:t>
            </w: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义务兵家庭优待金的发放为现役军人家庭提供了一定的经济保障。完善和落实了征兵激励政策，体现拥军优属政策制度，大力营造了参军光荣社会风尚。</w:t>
            </w:r>
          </w:p>
          <w:p>
            <w:pPr>
              <w:adjustRightInd w:val="0"/>
              <w:snapToGrid w:val="0"/>
              <w:spacing w:line="600" w:lineRule="exact"/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四、其他需要说明的问题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因为有极个别士兵家庭外出打工联系不到，会影响到发放进度，延续期比较长，20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年义务兵优待金发放率达到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我们将继续进一步完善和落实好国家拥军优属政策。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82670"/>
    <w:rsid w:val="04F82670"/>
    <w:rsid w:val="1A786A18"/>
    <w:rsid w:val="25844E44"/>
    <w:rsid w:val="2CB23A95"/>
    <w:rsid w:val="47121D4F"/>
    <w:rsid w:val="7B59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2021-07-23T04:59:00Z</dcterms:created>
  <dc:creator>筱</dc:creator>
  <cp:lastModifiedBy>筱</cp:lastModifiedBy>
  <dcterms:modified xsi:type="dcterms:W3CDTF">2021-09-08T03:37:38Z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F16EA058F42D4B0DAB48616BA59D7414</vt:lpwstr>
  </property>
</Properties>
</file>