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bookmarkStart w:id="0" w:name="_GoBack"/>
      <w:r>
        <w:rPr>
          <w:rFonts w:eastAsia="方正小标宋简体"/>
          <w:bCs/>
          <w:sz w:val="46"/>
          <w:szCs w:val="46"/>
          <w:u w:val="none"/>
        </w:rPr>
        <w:t>20</w:t>
      </w:r>
      <w:r>
        <w:rPr>
          <w:rFonts w:hint="eastAsia" w:eastAsia="方正小标宋简体"/>
          <w:bCs/>
          <w:sz w:val="46"/>
          <w:szCs w:val="46"/>
          <w:u w:val="none"/>
        </w:rPr>
        <w:t>20</w:t>
      </w:r>
      <w:bookmarkEnd w:id="0"/>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名称：岳阳县公安局交通警察大队</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算编码：601002</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报告日期：2021年8月13日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10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8"/>
        <w:gridCol w:w="259"/>
        <w:gridCol w:w="168"/>
        <w:gridCol w:w="912"/>
        <w:gridCol w:w="210"/>
        <w:gridCol w:w="1145"/>
        <w:gridCol w:w="272"/>
        <w:gridCol w:w="808"/>
        <w:gridCol w:w="1479"/>
        <w:gridCol w:w="226"/>
        <w:gridCol w:w="455"/>
        <w:gridCol w:w="1032"/>
        <w:gridCol w:w="48"/>
        <w:gridCol w:w="265"/>
        <w:gridCol w:w="139"/>
        <w:gridCol w:w="398"/>
        <w:gridCol w:w="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刘晓畅</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0730-7666725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1、负责对道路交通管理工作进行指导和规划，对道路交通事故现场进行勘察，认定事故责任，依法进行调处。</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2、负责机动车安全技术检验、注册登记、核发牌证、转籍、过户、转出、转入等；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3、负责机动车驾驶证的核发、补发，并负责机动车驾驶员科目一考试；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4、面向社会，面向群众开展交通法律、法规、交通安全宣传；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5、负责交警部门科技设施的管理、维护工作；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6、负责道路的巡逻，纠正交通违法行为，维护交通秩序，处理突发事件，配合开展警卫工作。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任务1：加大基础设施建设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任务3：加强政治建警</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7956" w:type="dxa"/>
            <w:gridSpan w:val="1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1、全县交通秩序持续稳定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4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3211.54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169.12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3002.42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3211.54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169.12</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3002.42</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4"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69"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02"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7"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02"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567"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3211.54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1140.81</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1421.74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396.92</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252.07</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3211.54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2562.55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1140.81</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1421.74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396.92</w:t>
            </w: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252.07</w:t>
            </w: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02"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567"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44"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136.23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95.2</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38.86</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136.23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95.2</w:t>
            </w: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38.86</w:t>
            </w: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65"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gridSpan w:val="2"/>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65"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r>
              <w:rPr>
                <w:rFonts w:hint="eastAsia" w:ascii="仿宋_GB2312" w:hAnsi="仿宋_GB2312" w:eastAsia="仿宋_GB2312" w:cs="仿宋_GB2312"/>
                <w:color w:val="000000"/>
                <w:sz w:val="24"/>
              </w:rPr>
              <w:t>2317.05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2317.05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tcPr>
          <w:p>
            <w:r>
              <w:rPr>
                <w:rFonts w:hint="eastAsia" w:ascii="仿宋_GB2312" w:hAnsi="仿宋_GB2312" w:eastAsia="仿宋_GB2312" w:cs="仿宋_GB2312"/>
                <w:color w:val="000000"/>
                <w:sz w:val="24"/>
              </w:rPr>
              <w:t>2317.05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2317.05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94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6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688"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6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目标1：全年全县交通秩序整治良好</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目标2：保障道路交通安全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目标3：加强政治建警</w:t>
            </w:r>
          </w:p>
        </w:tc>
        <w:tc>
          <w:tcPr>
            <w:tcW w:w="460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全年全县交通秩序得到良好整治、交通违法行为得到及时纠正，单位整体绩效评分</w:t>
            </w:r>
            <w:r>
              <w:rPr>
                <w:rFonts w:ascii="仿宋_GB2312" w:hAnsi="仿宋_GB2312" w:eastAsia="仿宋_GB2312" w:cs="仿宋_GB2312"/>
                <w:color w:val="000000"/>
                <w:sz w:val="24"/>
              </w:rPr>
              <w:t>98</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8" w:type="dxa"/>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指标1：三公经费控制率达到百分之百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指标2：政府采购执行率百分之百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指标1：固定资产利用率百分之百</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指标1：专项资金到位率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指标1：财政支出绩效目标</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3002.42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指标1：维护交通道路秩序稳定</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指标1：加大破获交通事故案件力度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1688" w:type="dxa"/>
            <w:vMerge w:val="continue"/>
            <w:tcBorders>
              <w:left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指标1：严打酒驾违法犯罪</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8" w:type="dxa"/>
            <w:vMerge w:val="continue"/>
            <w:tcBorders>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00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tc>
        <w:tc>
          <w:tcPr>
            <w:tcW w:w="141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3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34"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赵兵荣</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赵兵荣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余楚高</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副大队长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余楚高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王向忠</w:t>
            </w:r>
          </w:p>
        </w:tc>
        <w:tc>
          <w:tcPr>
            <w:tcW w:w="3347"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行装中队中队长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岳阳县交警大队</w:t>
            </w:r>
          </w:p>
        </w:tc>
        <w:tc>
          <w:tcPr>
            <w:tcW w:w="3130"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王向忠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6"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赵兵荣</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2021年 7月27日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0" w:hRule="atLeast"/>
          <w:jc w:val="center"/>
        </w:trPr>
        <w:tc>
          <w:tcPr>
            <w:tcW w:w="10071"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bl>
    <w:p>
      <w:pPr>
        <w:rPr>
          <w:rFonts w:eastAsia="仿宋_GB2312" w:cs="仿宋_GB2312"/>
          <w:bCs/>
          <w:sz w:val="28"/>
          <w:szCs w:val="28"/>
        </w:rPr>
      </w:pPr>
      <w:r>
        <w:rPr>
          <w:rFonts w:hint="eastAsia" w:eastAsia="仿宋_GB2312" w:cs="仿宋_GB2312"/>
          <w:bCs/>
          <w:sz w:val="28"/>
          <w:szCs w:val="28"/>
        </w:rPr>
        <w:t>填报人（签名）：刘晓畅       联系电话：7666725</w:t>
      </w:r>
    </w:p>
    <w:tbl>
      <w:tblPr>
        <w:tblStyle w:val="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685"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我大队没有所属二级机构，因此</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年度部门决算仅为本级决算，共内设股所队</w:t>
            </w:r>
            <w:r>
              <w:rPr>
                <w:rFonts w:ascii="仿宋_GB2312" w:hAnsi="仿宋_GB2312" w:eastAsia="仿宋_GB2312" w:cs="仿宋_GB2312"/>
                <w:bCs/>
                <w:sz w:val="28"/>
                <w:szCs w:val="28"/>
              </w:rPr>
              <w:t>16</w:t>
            </w:r>
            <w:r>
              <w:rPr>
                <w:rFonts w:hint="eastAsia" w:ascii="仿宋_GB2312" w:hAnsi="仿宋_GB2312" w:eastAsia="仿宋_GB2312" w:cs="仿宋_GB2312"/>
                <w:bCs/>
                <w:sz w:val="28"/>
                <w:szCs w:val="28"/>
              </w:rPr>
              <w:t>个：内务中队、法制中队、行装中队、科技所、处罚中队、农管中队、城关中队、新墙中队、公田中队、新开中队、</w:t>
            </w:r>
            <w:r>
              <w:rPr>
                <w:rFonts w:ascii="仿宋_GB2312" w:hAnsi="仿宋_GB2312" w:eastAsia="仿宋_GB2312" w:cs="仿宋_GB2312"/>
                <w:bCs/>
                <w:sz w:val="28"/>
                <w:szCs w:val="28"/>
              </w:rPr>
              <w:t>122</w:t>
            </w:r>
            <w:r>
              <w:rPr>
                <w:rFonts w:hint="eastAsia" w:ascii="仿宋_GB2312" w:hAnsi="仿宋_GB2312" w:eastAsia="仿宋_GB2312" w:cs="仿宋_GB2312"/>
                <w:bCs/>
                <w:sz w:val="28"/>
                <w:szCs w:val="28"/>
              </w:rPr>
              <w:t>中队、秩序中队、客管中队、快处快赔、车管所、驾管所。现大队在职人员共</w:t>
            </w:r>
            <w:r>
              <w:rPr>
                <w:rFonts w:ascii="仿宋_GB2312" w:hAnsi="仿宋_GB2312" w:eastAsia="仿宋_GB2312" w:cs="仿宋_GB2312"/>
                <w:bCs/>
                <w:sz w:val="28"/>
                <w:szCs w:val="28"/>
              </w:rPr>
              <w:t>182</w:t>
            </w:r>
            <w:r>
              <w:rPr>
                <w:rFonts w:hint="eastAsia" w:ascii="仿宋_GB2312" w:hAnsi="仿宋_GB2312" w:eastAsia="仿宋_GB2312" w:cs="仿宋_GB2312"/>
                <w:bCs/>
                <w:sz w:val="28"/>
                <w:szCs w:val="28"/>
              </w:rPr>
              <w:t>人，其中聘用人员为</w:t>
            </w:r>
            <w:r>
              <w:rPr>
                <w:rFonts w:ascii="仿宋_GB2312" w:hAnsi="仿宋_GB2312" w:eastAsia="仿宋_GB2312" w:cs="仿宋_GB2312"/>
                <w:bCs/>
                <w:sz w:val="28"/>
                <w:szCs w:val="28"/>
              </w:rPr>
              <w:t>108</w:t>
            </w:r>
            <w:r>
              <w:rPr>
                <w:rFonts w:hint="eastAsia" w:ascii="仿宋_GB2312" w:hAnsi="仿宋_GB2312" w:eastAsia="仿宋_GB2312" w:cs="仿宋_GB2312"/>
                <w:bCs/>
                <w:sz w:val="28"/>
                <w:szCs w:val="28"/>
              </w:rPr>
              <w:t>人，离退休人员</w:t>
            </w:r>
            <w:r>
              <w:rPr>
                <w:rFonts w:ascii="仿宋_GB2312" w:hAnsi="仿宋_GB2312" w:eastAsia="仿宋_GB2312" w:cs="仿宋_GB2312"/>
                <w:bCs/>
                <w:sz w:val="28"/>
                <w:szCs w:val="28"/>
              </w:rPr>
              <w:t>11</w:t>
            </w:r>
            <w:r>
              <w:rPr>
                <w:rFonts w:hint="eastAsia" w:ascii="仿宋_GB2312" w:hAnsi="仿宋_GB2312" w:eastAsia="仿宋_GB2312" w:cs="仿宋_GB2312"/>
                <w:bCs/>
                <w:sz w:val="28"/>
                <w:szCs w:val="28"/>
              </w:rPr>
              <w:t>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安机关是国家政权的重要组成部分，是我国人民民主专政政权中具有武装性质的治安行政和刑事司法专门机关，其任务是维护国家安全，维护道路交通秩序，保护公民的人身安全、人身自由和合法财产,保护公共财产，预防、制止和惩治违法犯罪活动、保障改革开放和社会现代化建设的顺利进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年本大队基本支出</w:t>
            </w:r>
            <w:r>
              <w:rPr>
                <w:rFonts w:ascii="仿宋_GB2312" w:hAnsi="仿宋_GB2312" w:eastAsia="仿宋_GB2312" w:cs="仿宋_GB2312"/>
                <w:bCs/>
                <w:sz w:val="28"/>
                <w:szCs w:val="28"/>
              </w:rPr>
              <w:t>2562.55</w:t>
            </w:r>
            <w:r>
              <w:rPr>
                <w:rFonts w:hint="eastAsia" w:ascii="仿宋_GB2312" w:hAnsi="仿宋_GB2312" w:eastAsia="仿宋_GB2312" w:cs="仿宋_GB2312"/>
                <w:bCs/>
                <w:sz w:val="28"/>
                <w:szCs w:val="28"/>
              </w:rPr>
              <w:t>万元。主要用于人员经费、日常运行公用经费。人员经费支出</w:t>
            </w:r>
            <w:r>
              <w:rPr>
                <w:rFonts w:ascii="仿宋_GB2312" w:hAnsi="仿宋_GB2312" w:eastAsia="仿宋_GB2312" w:cs="仿宋_GB2312"/>
                <w:bCs/>
                <w:sz w:val="28"/>
                <w:szCs w:val="28"/>
              </w:rPr>
              <w:t>1,140.81</w:t>
            </w:r>
            <w:r>
              <w:rPr>
                <w:rFonts w:hint="eastAsia" w:ascii="仿宋_GB2312" w:hAnsi="仿宋_GB2312" w:eastAsia="仿宋_GB2312" w:cs="仿宋_GB2312"/>
                <w:bCs/>
                <w:sz w:val="28"/>
                <w:szCs w:val="28"/>
              </w:rPr>
              <w:t>万元，日常运行公用经费</w:t>
            </w:r>
            <w:r>
              <w:rPr>
                <w:rFonts w:ascii="仿宋_GB2312" w:hAnsi="仿宋_GB2312" w:eastAsia="仿宋_GB2312" w:cs="仿宋_GB2312"/>
                <w:bCs/>
                <w:sz w:val="28"/>
                <w:szCs w:val="28"/>
              </w:rPr>
              <w:t xml:space="preserve">1421.74 </w:t>
            </w:r>
            <w:r>
              <w:rPr>
                <w:rFonts w:hint="eastAsia" w:ascii="仿宋_GB2312" w:hAnsi="仿宋_GB2312" w:eastAsia="仿宋_GB2312" w:cs="仿宋_GB2312"/>
                <w:bCs/>
                <w:sz w:val="28"/>
                <w:szCs w:val="28"/>
              </w:rPr>
              <w:t>万元。基本支出中“三公”经费支出</w:t>
            </w:r>
            <w:r>
              <w:rPr>
                <w:rFonts w:ascii="仿宋_GB2312" w:hAnsi="仿宋_GB2312" w:eastAsia="仿宋_GB2312" w:cs="仿宋_GB2312"/>
                <w:bCs/>
                <w:sz w:val="28"/>
                <w:szCs w:val="28"/>
              </w:rPr>
              <w:t>368.46</w:t>
            </w:r>
            <w:r>
              <w:rPr>
                <w:rFonts w:hint="eastAsia" w:ascii="仿宋_GB2312" w:hAnsi="仿宋_GB2312" w:eastAsia="仿宋_GB2312" w:cs="仿宋_GB2312"/>
                <w:bCs/>
                <w:sz w:val="28"/>
                <w:szCs w:val="28"/>
              </w:rPr>
              <w:t>万元，包括（</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）公务接待费</w:t>
            </w:r>
            <w:r>
              <w:rPr>
                <w:rFonts w:ascii="仿宋_GB2312" w:hAnsi="仿宋_GB2312" w:eastAsia="仿宋_GB2312" w:cs="仿宋_GB2312"/>
                <w:bCs/>
                <w:sz w:val="28"/>
                <w:szCs w:val="28"/>
              </w:rPr>
              <w:t>2.17</w:t>
            </w:r>
            <w:r>
              <w:rPr>
                <w:rFonts w:hint="eastAsia" w:ascii="仿宋_GB2312" w:hAnsi="仿宋_GB2312" w:eastAsia="仿宋_GB2312" w:cs="仿宋_GB2312"/>
                <w:bCs/>
                <w:sz w:val="28"/>
                <w:szCs w:val="28"/>
              </w:rPr>
              <w:t>万元，比县财监年初核定基数</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万元减少</w:t>
            </w:r>
            <w:r>
              <w:rPr>
                <w:rFonts w:ascii="仿宋_GB2312" w:hAnsi="仿宋_GB2312" w:eastAsia="仿宋_GB2312" w:cs="仿宋_GB2312"/>
                <w:bCs/>
                <w:sz w:val="28"/>
                <w:szCs w:val="28"/>
              </w:rPr>
              <w:t>0.83</w:t>
            </w:r>
            <w:r>
              <w:rPr>
                <w:rFonts w:hint="eastAsia" w:ascii="仿宋_GB2312" w:hAnsi="仿宋_GB2312" w:eastAsia="仿宋_GB2312" w:cs="仿宋_GB2312"/>
                <w:bCs/>
                <w:sz w:val="28"/>
                <w:szCs w:val="28"/>
              </w:rPr>
              <w:t>万元；（</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）公务用车运维费</w:t>
            </w:r>
            <w:r>
              <w:rPr>
                <w:rFonts w:ascii="仿宋_GB2312" w:hAnsi="仿宋_GB2312" w:eastAsia="仿宋_GB2312" w:cs="仿宋_GB2312"/>
                <w:bCs/>
                <w:sz w:val="28"/>
                <w:szCs w:val="28"/>
              </w:rPr>
              <w:t>95.2</w:t>
            </w:r>
            <w:r>
              <w:rPr>
                <w:rFonts w:hint="eastAsia" w:ascii="仿宋_GB2312" w:hAnsi="仿宋_GB2312" w:eastAsia="仿宋_GB2312" w:cs="仿宋_GB2312"/>
                <w:bCs/>
                <w:sz w:val="28"/>
                <w:szCs w:val="28"/>
              </w:rPr>
              <w:t>万元，按全大队实有公务用车计算，平均每辆车耗费</w:t>
            </w:r>
            <w:r>
              <w:rPr>
                <w:rFonts w:ascii="仿宋_GB2312" w:hAnsi="仿宋_GB2312" w:eastAsia="仿宋_GB2312" w:cs="仿宋_GB2312"/>
                <w:bCs/>
                <w:sz w:val="28"/>
                <w:szCs w:val="28"/>
              </w:rPr>
              <w:t>7.3</w:t>
            </w:r>
            <w:r>
              <w:rPr>
                <w:rFonts w:hint="eastAsia" w:ascii="仿宋_GB2312" w:hAnsi="仿宋_GB2312" w:eastAsia="仿宋_GB2312" w:cs="仿宋_GB2312"/>
                <w:bCs/>
                <w:sz w:val="28"/>
                <w:szCs w:val="28"/>
              </w:rPr>
              <w:t>万元，公务用车经费控制在年初预算以内；</w:t>
            </w:r>
            <w:r>
              <w:rPr>
                <w:rFonts w:ascii="仿宋_GB2312" w:hAnsi="仿宋_GB2312" w:eastAsia="仿宋_GB2312" w:cs="仿宋_GB2312"/>
                <w:bCs/>
                <w:sz w:val="28"/>
                <w:szCs w:val="28"/>
              </w:rPr>
              <w:t>2020</w:t>
            </w:r>
            <w:r>
              <w:rPr>
                <w:rFonts w:hint="eastAsia" w:ascii="仿宋_GB2312" w:hAnsi="仿宋_GB2312" w:eastAsia="仿宋_GB2312" w:cs="仿宋_GB2312"/>
                <w:bCs/>
                <w:sz w:val="28"/>
                <w:szCs w:val="28"/>
              </w:rPr>
              <w:t>年公务用车购置费</w:t>
            </w:r>
            <w:r>
              <w:rPr>
                <w:rFonts w:ascii="仿宋_GB2312" w:hAnsi="仿宋_GB2312" w:eastAsia="仿宋_GB2312" w:cs="仿宋_GB2312"/>
                <w:bCs/>
                <w:sz w:val="28"/>
                <w:szCs w:val="28"/>
              </w:rPr>
              <w:t>38.86</w:t>
            </w:r>
            <w:r>
              <w:rPr>
                <w:rFonts w:hint="eastAsia" w:ascii="仿宋_GB2312" w:hAnsi="仿宋_GB2312" w:eastAsia="仿宋_GB2312" w:cs="仿宋_GB2312"/>
                <w:bCs/>
                <w:sz w:val="28"/>
                <w:szCs w:val="28"/>
              </w:rPr>
              <w:t>万元，主要是购置新车。（</w:t>
            </w: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）全局因公出国（境）经费为“零”。评价年度内全队“三公”经费支出执行情况较好。</w:t>
            </w:r>
          </w:p>
          <w:p>
            <w:pPr>
              <w:spacing w:line="560" w:lineRule="exact"/>
              <w:ind w:firstLine="560" w:firstLineChars="200"/>
              <w:rPr>
                <w:rFonts w:ascii="仿宋_GB2312" w:hAnsi="仿宋_GB2312" w:eastAsia="仿宋_GB2312" w:cs="仿宋_GB2312"/>
                <w:bCs/>
                <w:sz w:val="28"/>
                <w:szCs w:val="28"/>
              </w:rPr>
            </w:pPr>
          </w:p>
          <w:p>
            <w:pPr>
              <w:adjustRightInd w:val="0"/>
              <w:snapToGrid w:val="0"/>
              <w:spacing w:line="62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（二</w:t>
            </w:r>
            <w:r>
              <w:rPr>
                <w:rFonts w:hint="eastAsia" w:ascii="黑体" w:hAnsi="黑体" w:eastAsia="黑体" w:cs="黑体"/>
                <w:bCs/>
                <w:sz w:val="28"/>
                <w:szCs w:val="28"/>
              </w:rPr>
              <w:t>）专项支出</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（1）专项资金2020年度总投入396.92万元</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adjustRightInd w:val="0"/>
              <w:snapToGrid w:val="0"/>
              <w:spacing w:line="620" w:lineRule="exact"/>
              <w:ind w:firstLine="560" w:firstLineChars="200"/>
              <w:rPr>
                <w:rFonts w:ascii="黑体" w:hAnsi="黑体" w:eastAsia="黑体" w:cs="黑体"/>
                <w:bCs/>
                <w:sz w:val="28"/>
                <w:szCs w:val="28"/>
              </w:rPr>
            </w:pPr>
            <w:r>
              <w:rPr>
                <w:rFonts w:hint="eastAsia" w:ascii="黑体" w:hAnsi="黑体" w:eastAsia="黑体" w:cs="黑体"/>
                <w:bCs/>
                <w:sz w:val="28"/>
                <w:szCs w:val="28"/>
              </w:rPr>
              <w:t xml:space="preserve"> </w:t>
            </w:r>
            <w:r>
              <w:rPr>
                <w:rFonts w:hint="eastAsia" w:ascii="仿宋_GB2312" w:hAnsi="仿宋_GB2312" w:eastAsia="仿宋_GB2312" w:cs="仿宋_GB2312"/>
                <w:bCs/>
                <w:sz w:val="28"/>
                <w:szCs w:val="28"/>
              </w:rPr>
              <w:t xml:space="preserve">  主要使用于办案支出、信息化建设等。</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三、部门（单位）整体支出绩效情况</w:t>
            </w:r>
          </w:p>
          <w:p>
            <w:pPr>
              <w:adjustRightInd w:val="0"/>
              <w:snapToGrid w:val="0"/>
              <w:spacing w:line="6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全年全县交通秩序大局平稳，治安交通秩序持续稳定</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大队辅警人数增加，提升了相应的待遇水平；大队旧警车报废，新购入警车一批；红绿灯、电子卡口的维护和改造费；中队建设及信息化建设，而财政预算的公用经费标准一直没有提高，办案经费不足，增加公用经费预算已迫在眉睫。</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ind w:firstLine="560" w:firstLineChars="200"/>
              <w:rPr>
                <w:rFonts w:eastAsia="楷体_GB2312"/>
                <w:bCs/>
                <w:sz w:val="28"/>
                <w:szCs w:val="28"/>
              </w:rPr>
            </w:pPr>
            <w:r>
              <w:rPr>
                <w:rFonts w:hint="eastAsia" w:ascii="仿宋_GB2312" w:hAnsi="仿宋_GB2312" w:eastAsia="仿宋_GB2312" w:cs="仿宋_GB2312"/>
                <w:bCs/>
                <w:sz w:val="28"/>
                <w:szCs w:val="28"/>
              </w:rPr>
              <w:t>建议加大财政资金投入力度。</w:t>
            </w: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9C3E7"/>
    <w:multiLevelType w:val="singleLevel"/>
    <w:tmpl w:val="6309C3E7"/>
    <w:lvl w:ilvl="0" w:tentative="0">
      <w:start w:val="1"/>
      <w:numFmt w:val="decimal"/>
      <w:pStyle w:val="17"/>
      <w:lvlText w:val="%1."/>
      <w:lvlJc w:val="left"/>
      <w:pPr>
        <w:tabs>
          <w:tab w:val="left" w:pos="780"/>
        </w:tabs>
        <w:ind w:left="7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ViZjYwNTEwODU3MGUxZTFjNDdjZGIwYTI1NDliZWEifQ=="/>
  </w:docVars>
  <w:rsids>
    <w:rsidRoot w:val="000E49F1"/>
    <w:rsid w:val="000B4A3E"/>
    <w:rsid w:val="000D4C37"/>
    <w:rsid w:val="000E49F1"/>
    <w:rsid w:val="00115A02"/>
    <w:rsid w:val="00184C86"/>
    <w:rsid w:val="001A338D"/>
    <w:rsid w:val="0020516A"/>
    <w:rsid w:val="00246638"/>
    <w:rsid w:val="002F381A"/>
    <w:rsid w:val="00375B3F"/>
    <w:rsid w:val="00402900"/>
    <w:rsid w:val="004825B8"/>
    <w:rsid w:val="004C7CA3"/>
    <w:rsid w:val="00534355"/>
    <w:rsid w:val="005546C9"/>
    <w:rsid w:val="005C6D38"/>
    <w:rsid w:val="00613F9F"/>
    <w:rsid w:val="00665493"/>
    <w:rsid w:val="006A30D8"/>
    <w:rsid w:val="007556EF"/>
    <w:rsid w:val="00755B46"/>
    <w:rsid w:val="00774DF3"/>
    <w:rsid w:val="00805930"/>
    <w:rsid w:val="008219D5"/>
    <w:rsid w:val="008416E2"/>
    <w:rsid w:val="00890FC0"/>
    <w:rsid w:val="00964233"/>
    <w:rsid w:val="00974A2F"/>
    <w:rsid w:val="009B55D3"/>
    <w:rsid w:val="00AB30C3"/>
    <w:rsid w:val="00B250A2"/>
    <w:rsid w:val="00B60D28"/>
    <w:rsid w:val="00B959AA"/>
    <w:rsid w:val="00BD4CAC"/>
    <w:rsid w:val="00BF07C0"/>
    <w:rsid w:val="00BF290D"/>
    <w:rsid w:val="00C3136F"/>
    <w:rsid w:val="00DB2ACB"/>
    <w:rsid w:val="00F70ADB"/>
    <w:rsid w:val="00FE4F0B"/>
    <w:rsid w:val="3D541AA4"/>
    <w:rsid w:val="5389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ody Text Indent 2"/>
    <w:basedOn w:val="1"/>
    <w:link w:val="14"/>
    <w:unhideWhenUsed/>
    <w:qFormat/>
    <w:uiPriority w:val="0"/>
    <w:pPr>
      <w:ind w:firstLine="588" w:firstLineChars="200"/>
    </w:pPr>
    <w:rPr>
      <w:rFonts w:ascii="仿宋_GB2312" w:hAnsi="Calibri" w:eastAsia="仿宋_GB2312"/>
      <w:sz w:val="32"/>
    </w:rPr>
  </w:style>
  <w:style w:type="paragraph" w:styleId="4">
    <w:name w:val="footer"/>
    <w:basedOn w:val="1"/>
    <w:link w:val="18"/>
    <w:unhideWhenUsed/>
    <w:qFormat/>
    <w:uiPriority w:val="0"/>
    <w:pPr>
      <w:tabs>
        <w:tab w:val="center" w:pos="4153"/>
        <w:tab w:val="right" w:pos="8306"/>
      </w:tabs>
      <w:snapToGrid w:val="0"/>
      <w:jc w:val="left"/>
    </w:pPr>
    <w:rPr>
      <w:kern w:val="0"/>
      <w:sz w:val="18"/>
      <w:szCs w:val="18"/>
    </w:rPr>
  </w:style>
  <w:style w:type="paragraph" w:styleId="5">
    <w:name w:val="header"/>
    <w:basedOn w:val="1"/>
    <w:link w:val="11"/>
    <w:unhideWhenUsed/>
    <w:qFormat/>
    <w:uiPriority w:val="0"/>
    <w:pP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styleId="9">
    <w:name w:val="FollowedHyperlink"/>
    <w:basedOn w:val="8"/>
    <w:unhideWhenUsed/>
    <w:qFormat/>
    <w:uiPriority w:val="99"/>
    <w:rPr>
      <w:color w:val="800080" w:themeColor="followedHyperlink"/>
      <w:u w:val="single"/>
    </w:rPr>
  </w:style>
  <w:style w:type="character" w:styleId="10">
    <w:name w:val="Hyperlink"/>
    <w:basedOn w:val="8"/>
    <w:unhideWhenUsed/>
    <w:qFormat/>
    <w:uiPriority w:val="0"/>
    <w:rPr>
      <w:color w:val="0000FF"/>
      <w:u w:val="single"/>
    </w:rPr>
  </w:style>
  <w:style w:type="character" w:customStyle="1" w:styleId="11">
    <w:name w:val="页眉 Char"/>
    <w:basedOn w:val="8"/>
    <w:link w:val="5"/>
    <w:semiHidden/>
    <w:qFormat/>
    <w:uiPriority w:val="0"/>
    <w:rPr>
      <w:rFonts w:ascii="Times New Roman" w:hAnsi="Times New Roman" w:eastAsia="宋体" w:cs="Times New Roman"/>
      <w:sz w:val="18"/>
      <w:szCs w:val="18"/>
    </w:rPr>
  </w:style>
  <w:style w:type="character" w:customStyle="1" w:styleId="12">
    <w:name w:val="页脚 Char"/>
    <w:basedOn w:val="8"/>
    <w:link w:val="4"/>
    <w:semiHidden/>
    <w:qFormat/>
    <w:uiPriority w:val="0"/>
    <w:rPr>
      <w:rFonts w:ascii="Times New Roman" w:hAnsi="Times New Roman" w:eastAsia="宋体" w:cs="Times New Roman"/>
      <w:sz w:val="18"/>
      <w:szCs w:val="18"/>
    </w:rPr>
  </w:style>
  <w:style w:type="character" w:customStyle="1" w:styleId="13">
    <w:name w:val="日期 Char"/>
    <w:basedOn w:val="8"/>
    <w:link w:val="2"/>
    <w:semiHidden/>
    <w:qFormat/>
    <w:uiPriority w:val="0"/>
    <w:rPr>
      <w:rFonts w:ascii="Times New Roman" w:hAnsi="Times New Roman" w:eastAsia="宋体" w:cs="Times New Roman"/>
      <w:szCs w:val="24"/>
    </w:rPr>
  </w:style>
  <w:style w:type="character" w:customStyle="1" w:styleId="14">
    <w:name w:val="正文文本缩进 2 Char"/>
    <w:basedOn w:val="8"/>
    <w:link w:val="3"/>
    <w:semiHidden/>
    <w:qFormat/>
    <w:uiPriority w:val="0"/>
    <w:rPr>
      <w:rFonts w:ascii="仿宋_GB2312" w:hAnsi="Calibri" w:eastAsia="仿宋_GB2312" w:cs="Times New Roman"/>
      <w:sz w:val="32"/>
      <w:szCs w:val="24"/>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页脚 Char1"/>
    <w:basedOn w:val="8"/>
    <w:link w:val="4"/>
    <w:semiHidden/>
    <w:qFormat/>
    <w:locked/>
    <w:uiPriority w:val="0"/>
    <w:rPr>
      <w:rFonts w:ascii="Times New Roman" w:hAnsi="Times New Roman" w:eastAsia="宋体" w:cs="Times New Roman"/>
      <w:kern w:val="0"/>
      <w:sz w:val="18"/>
      <w:szCs w:val="18"/>
    </w:rPr>
  </w:style>
  <w:style w:type="character" w:customStyle="1" w:styleId="19">
    <w:name w:val="标题 3 Char Char"/>
    <w:qFormat/>
    <w:uiPriority w:val="0"/>
    <w:rPr>
      <w:rFonts w:hint="eastAsia" w:ascii="楷体_GB2312" w:eastAsia="楷体_GB2312"/>
      <w:b/>
      <w:kern w:val="2"/>
      <w:sz w:val="32"/>
      <w:szCs w:val="24"/>
      <w:lang w:val="en-US" w:eastAsia="zh-CN" w:bidi="ar-SA"/>
    </w:rPr>
  </w:style>
  <w:style w:type="character" w:customStyle="1" w:styleId="20">
    <w:name w:val="font11"/>
    <w:basedOn w:val="8"/>
    <w:qFormat/>
    <w:uiPriority w:val="0"/>
    <w:rPr>
      <w:rFonts w:hint="eastAsia" w:ascii="宋体" w:hAnsi="宋体" w:eastAsia="宋体" w:cs="宋体"/>
      <w:b/>
      <w:bCs/>
      <w:color w:val="000000"/>
      <w:sz w:val="36"/>
      <w:szCs w:val="36"/>
      <w:u w:val="none"/>
    </w:rPr>
  </w:style>
  <w:style w:type="character" w:customStyle="1" w:styleId="21">
    <w:name w:val="font51"/>
    <w:basedOn w:val="8"/>
    <w:qFormat/>
    <w:uiPriority w:val="0"/>
    <w:rPr>
      <w:rFonts w:hint="eastAsia" w:ascii="宋体" w:hAnsi="宋体" w:eastAsia="宋体" w:cs="宋体"/>
      <w:color w:val="000000"/>
      <w:sz w:val="20"/>
      <w:szCs w:val="20"/>
      <w:u w:val="none"/>
    </w:rPr>
  </w:style>
  <w:style w:type="character" w:customStyle="1" w:styleId="22">
    <w:name w:val="font9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3525</Words>
  <Characters>3920</Characters>
  <Lines>96</Lines>
  <Paragraphs>27</Paragraphs>
  <TotalTime>77</TotalTime>
  <ScaleCrop>false</ScaleCrop>
  <LinksUpToDate>false</LinksUpToDate>
  <CharactersWithSpaces>4120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2020-05-20T09:02:00Z</dcterms:created>
  <dc:creator>许节来 10.105.116.156</dc:creator>
  <cp:lastModifiedBy>芋圆多多</cp:lastModifiedBy>
  <dcterms:modified xsi:type="dcterms:W3CDTF">2022-08-27T09:46:41Z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3C610EF1D2F09B67E4C30963D8846AB9</vt:lpwstr>
  </property>
</Properties>
</file>