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附件2-2</w:t>
      </w:r>
    </w:p>
    <w:p>
      <w:pPr>
        <w:spacing w:line="348" w:lineRule="auto"/>
        <w:rPr>
          <w:rFonts w:eastAsia="黑体" w:cs="黑体"/>
          <w:bCs/>
          <w:sz w:val="32"/>
          <w:szCs w:val="32"/>
        </w:rPr>
      </w:pPr>
    </w:p>
    <w:p>
      <w:pPr>
        <w:spacing w:beforeLines="50" w:line="348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岳阳县2020年财政项目支出绩效评价自评报告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评价类型：项目实施过程评价□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hint="eastAsia" w:eastAsia="仿宋_GB2312"/>
          <w:sz w:val="32"/>
          <w:szCs w:val="32"/>
        </w:rPr>
        <w:t>项目完成结果评价</w:t>
      </w:r>
      <w:r>
        <w:rPr>
          <w:rFonts w:hint="eastAsia" w:ascii="仿宋_GB2312" w:eastAsia="仿宋_GB2312"/>
          <w:sz w:val="32"/>
          <w:szCs w:val="32"/>
        </w:rPr>
        <w:t>☑</w:t>
      </w:r>
    </w:p>
    <w:p>
      <w:pPr>
        <w:spacing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eastAsia="仿宋_GB2312"/>
          <w:sz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u w:val="single"/>
        </w:rPr>
        <w:t>农村人居环境整治</w:t>
      </w:r>
      <w:r>
        <w:rPr>
          <w:rFonts w:eastAsia="仿宋_GB2312"/>
          <w:sz w:val="32"/>
          <w:u w:val="single"/>
        </w:rPr>
        <w:t xml:space="preserve">                   </w:t>
      </w:r>
    </w:p>
    <w:p>
      <w:pPr>
        <w:spacing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eastAsia="仿宋_GB2312"/>
          <w:sz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u w:val="single"/>
        </w:rPr>
        <w:t>15个乡镇（办事处）、农林场</w:t>
      </w:r>
      <w:r>
        <w:rPr>
          <w:rFonts w:eastAsia="仿宋_GB2312"/>
          <w:sz w:val="32"/>
          <w:u w:val="single"/>
        </w:rPr>
        <w:t xml:space="preserve">                            </w:t>
      </w:r>
    </w:p>
    <w:p>
      <w:pPr>
        <w:spacing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eastAsia="仿宋_GB2312"/>
          <w:sz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u w:val="single"/>
        </w:rPr>
        <w:t>岳阳县农业农村局</w:t>
      </w:r>
      <w:r>
        <w:rPr>
          <w:rFonts w:eastAsia="仿宋_GB2312"/>
          <w:sz w:val="32"/>
          <w:u w:val="single"/>
        </w:rPr>
        <w:t xml:space="preserve">                         </w:t>
      </w:r>
    </w:p>
    <w:p>
      <w:pPr>
        <w:spacing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部门（单位）绩效自评</w:t>
      </w:r>
    </w:p>
    <w:p>
      <w:pPr>
        <w:spacing w:beforeLines="50" w:line="760" w:lineRule="exact"/>
        <w:ind w:firstLine="480" w:firstLineChars="1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>部门（单位）评价组</w:t>
      </w:r>
      <w:r>
        <w:rPr>
          <w:rFonts w:eastAsia="仿宋_GB2312"/>
          <w:sz w:val="28"/>
          <w:szCs w:val="28"/>
        </w:rPr>
        <w:t xml:space="preserve">   </w:t>
      </w:r>
    </w:p>
    <w:p>
      <w:pPr>
        <w:spacing w:beforeLines="50" w:line="76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Lines="50" w:line="120" w:lineRule="exact"/>
        <w:rPr>
          <w:rFonts w:eastAsia="仿宋_GB2312"/>
          <w:sz w:val="28"/>
          <w:szCs w:val="28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报告日期：2020年</w:t>
      </w:r>
      <w:r>
        <w:rPr>
          <w:rFonts w:hint="eastAsia" w:eastAsia="仿宋_GB2312"/>
          <w:sz w:val="32"/>
          <w:lang w:val="en-US" w:eastAsia="zh-CN"/>
        </w:rPr>
        <w:t>8</w:t>
      </w:r>
      <w:r>
        <w:rPr>
          <w:rFonts w:hint="eastAsia" w:eastAsia="仿宋_GB2312"/>
          <w:sz w:val="32"/>
        </w:rPr>
        <w:t>月</w:t>
      </w:r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  <w:lang w:val="en-US" w:eastAsia="zh-CN"/>
        </w:rPr>
        <w:t>27</w:t>
      </w:r>
      <w:bookmarkStart w:id="0" w:name="_GoBack"/>
      <w:bookmarkEnd w:id="0"/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</w:rPr>
        <w:t>日</w:t>
      </w:r>
    </w:p>
    <w:p>
      <w:pPr>
        <w:spacing w:line="348" w:lineRule="auto"/>
        <w:jc w:val="center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岳阳县财政局（制）</w:t>
      </w:r>
    </w:p>
    <w:p>
      <w:pPr>
        <w:spacing w:line="348" w:lineRule="auto"/>
        <w:jc w:val="center"/>
        <w:rPr>
          <w:rFonts w:hint="eastAsia"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tbl>
      <w:tblPr>
        <w:tblStyle w:val="4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89"/>
        <w:gridCol w:w="602"/>
        <w:gridCol w:w="118"/>
        <w:gridCol w:w="1233"/>
        <w:gridCol w:w="567"/>
        <w:gridCol w:w="22"/>
        <w:gridCol w:w="392"/>
        <w:gridCol w:w="306"/>
        <w:gridCol w:w="1347"/>
        <w:gridCol w:w="59"/>
        <w:gridCol w:w="238"/>
        <w:gridCol w:w="720"/>
        <w:gridCol w:w="602"/>
        <w:gridCol w:w="1018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</w:t>
            </w:r>
            <w:r>
              <w:rPr>
                <w:rFonts w:eastAsia="仿宋_GB2312"/>
                <w:b/>
                <w:sz w:val="24"/>
              </w:rPr>
              <w:t xml:space="preserve"> </w:t>
            </w:r>
            <w:r>
              <w:rPr>
                <w:rFonts w:hint="eastAsia" w:eastAsia="仿宋_GB2312"/>
                <w:b/>
                <w:sz w:val="24"/>
              </w:rPr>
              <w:t>目</w:t>
            </w:r>
            <w:r>
              <w:rPr>
                <w:rFonts w:eastAsia="仿宋_GB2312"/>
                <w:b/>
                <w:sz w:val="24"/>
              </w:rPr>
              <w:t xml:space="preserve"> </w:t>
            </w:r>
            <w:r>
              <w:rPr>
                <w:rFonts w:hint="eastAsia" w:eastAsia="仿宋_GB2312"/>
                <w:b/>
                <w:sz w:val="24"/>
              </w:rPr>
              <w:t>基</w:t>
            </w:r>
            <w:r>
              <w:rPr>
                <w:rFonts w:eastAsia="仿宋_GB2312"/>
                <w:b/>
                <w:sz w:val="24"/>
              </w:rPr>
              <w:t xml:space="preserve"> </w:t>
            </w:r>
            <w:r>
              <w:rPr>
                <w:rFonts w:hint="eastAsia" w:eastAsia="仿宋_GB2312"/>
                <w:b/>
                <w:sz w:val="24"/>
              </w:rPr>
              <w:t>本</w:t>
            </w:r>
            <w:r>
              <w:rPr>
                <w:rFonts w:eastAsia="仿宋_GB2312"/>
                <w:b/>
                <w:sz w:val="24"/>
              </w:rPr>
              <w:t xml:space="preserve"> </w:t>
            </w:r>
            <w:r>
              <w:rPr>
                <w:rFonts w:hint="eastAsia" w:eastAsia="仿宋_GB2312"/>
                <w:b/>
                <w:sz w:val="24"/>
              </w:rPr>
              <w:t>概</w:t>
            </w:r>
            <w:r>
              <w:rPr>
                <w:rFonts w:eastAsia="仿宋_GB2312"/>
                <w:b/>
                <w:sz w:val="24"/>
              </w:rPr>
              <w:t xml:space="preserve"> </w:t>
            </w:r>
            <w:r>
              <w:rPr>
                <w:rFonts w:hint="eastAsia" w:eastAsia="仿宋_GB2312"/>
                <w:b/>
                <w:sz w:val="24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易顶盛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15074062028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15个乡镇（办事处）、农林场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编</w:t>
            </w:r>
          </w:p>
        </w:tc>
        <w:tc>
          <w:tcPr>
            <w:tcW w:w="33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414100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190" w:firstLineChars="496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2020 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01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月起至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2020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12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月止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1909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1909</w:t>
            </w:r>
          </w:p>
        </w:tc>
        <w:tc>
          <w:tcPr>
            <w:tcW w:w="1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1909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1909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1909</w:t>
            </w:r>
          </w:p>
        </w:tc>
        <w:tc>
          <w:tcPr>
            <w:tcW w:w="1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1909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县财政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3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3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8" w:hRule="atLeast"/>
          <w:jc w:val="center"/>
        </w:trPr>
        <w:tc>
          <w:tcPr>
            <w:tcW w:w="238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农村环境整治</w:t>
            </w:r>
          </w:p>
        </w:tc>
        <w:tc>
          <w:tcPr>
            <w:tcW w:w="182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1909万元</w:t>
            </w:r>
          </w:p>
        </w:tc>
        <w:tc>
          <w:tcPr>
            <w:tcW w:w="234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3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按各乡镇、农林场及荣家湾部分城镇人口基数按30元/人的标准，由县财政预算股核实后直接下拨到15个乡镇（办事处）、农林场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8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1909万元</w:t>
            </w:r>
          </w:p>
        </w:tc>
        <w:tc>
          <w:tcPr>
            <w:tcW w:w="23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3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958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639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期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目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标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639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通过15个乡镇（办事处）和5个农林场农村人居环境整治，改善群众的生活环境；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建立整域环境卫生保洁和垃圾集中收集清运处理体系；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 w:eastAsia="仿宋_GB2312"/>
                <w:sz w:val="24"/>
              </w:rPr>
              <w:t>到年底在全市的人居环境整治工作排进前三名。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9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26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3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26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全县161个行政村和15个涉农居委会，5个农林场全覆盖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镇村环卫设施覆盖率100%；垃圾集中清运率100%；垃圾无害化处理100%。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26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到年底在全市的人居</w:t>
            </w:r>
          </w:p>
          <w:p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环境整治工作上争先进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市前三名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2020年获得全省先进县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26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2020年度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全年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26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1909万元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1909万元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已到位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26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优化人居环境带动产业发展，促进乡村集体增收。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村平均增收1万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已实现80%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26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引导农村居民改变生活陋习，改善人居环境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建立常治长效的人居环境整治工作机制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26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有效解决了乡村生产、生活废弃物造成的环境污染问题，乡村生产生活环境得到明显改善。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uto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全覆盖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exact"/>
          <w:jc w:val="center"/>
        </w:trPr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26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人民群众对乡村环境卫生满意度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100%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98</w:t>
            </w:r>
            <w:r>
              <w:rPr>
                <w:rFonts w:hint="eastAsia" w:eastAsia="仿宋_GB2312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58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hint="eastAsia" w:eastAsia="仿宋_GB2312"/>
                <w:sz w:val="24"/>
              </w:rPr>
              <w:t>职务</w:t>
            </w:r>
          </w:p>
        </w:tc>
        <w:tc>
          <w:tcPr>
            <w:tcW w:w="1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位</w:t>
            </w:r>
          </w:p>
        </w:tc>
        <w:tc>
          <w:tcPr>
            <w:tcW w:w="3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易顶盛</w:t>
            </w:r>
          </w:p>
        </w:tc>
        <w:tc>
          <w:tcPr>
            <w:tcW w:w="23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分管副局长</w:t>
            </w:r>
          </w:p>
        </w:tc>
        <w:tc>
          <w:tcPr>
            <w:tcW w:w="1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农业农村局</w:t>
            </w:r>
          </w:p>
        </w:tc>
        <w:tc>
          <w:tcPr>
            <w:tcW w:w="3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易岳良</w:t>
            </w:r>
          </w:p>
        </w:tc>
        <w:tc>
          <w:tcPr>
            <w:tcW w:w="23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股长</w:t>
            </w:r>
          </w:p>
        </w:tc>
        <w:tc>
          <w:tcPr>
            <w:tcW w:w="1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农业农村局</w:t>
            </w:r>
          </w:p>
        </w:tc>
        <w:tc>
          <w:tcPr>
            <w:tcW w:w="3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李升波</w:t>
            </w:r>
          </w:p>
        </w:tc>
        <w:tc>
          <w:tcPr>
            <w:tcW w:w="23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工程师</w:t>
            </w:r>
          </w:p>
        </w:tc>
        <w:tc>
          <w:tcPr>
            <w:tcW w:w="1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农业农村局</w:t>
            </w:r>
          </w:p>
        </w:tc>
        <w:tc>
          <w:tcPr>
            <w:tcW w:w="3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958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评价组组长（签字）：</w:t>
            </w:r>
            <w:r>
              <w:rPr>
                <w:rFonts w:eastAsia="仿宋_GB2312"/>
                <w:sz w:val="24"/>
              </w:rPr>
              <w:t xml:space="preserve">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958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项目单位负责人（签章）：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    </w:t>
            </w: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958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主管部门负责人（签章）：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</w:t>
            </w:r>
            <w:r>
              <w:rPr>
                <w:rFonts w:hint="eastAsia" w:eastAsia="仿宋_GB2312"/>
                <w:sz w:val="24"/>
              </w:rPr>
              <w:t xml:space="preserve">     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</w:tbl>
    <w:p>
      <w:pPr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eastAsia="仿宋_GB2312" w:cs="仿宋_GB2312"/>
          <w:bCs/>
          <w:sz w:val="28"/>
          <w:szCs w:val="28"/>
        </w:rPr>
        <w:t xml:space="preserve"> 李升波                </w:t>
      </w:r>
      <w:r>
        <w:rPr>
          <w:rFonts w:hint="eastAsia" w:eastAsia="仿宋_GB2312" w:cs="仿宋_GB2312"/>
          <w:bCs/>
          <w:sz w:val="28"/>
          <w:szCs w:val="28"/>
        </w:rPr>
        <w:t>联系电话：18973000050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</w:rPr>
              <w:t>五、评价报告综述（文字部分）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楷体_GB2312"/>
                <w:bCs/>
                <w:sz w:val="28"/>
                <w:szCs w:val="28"/>
              </w:rPr>
              <w:t>一</w:t>
            </w:r>
            <w:r>
              <w:rPr>
                <w:rFonts w:hint="eastAsia" w:eastAsia="仿宋_GB2312"/>
                <w:sz w:val="28"/>
                <w:szCs w:val="28"/>
              </w:rPr>
              <w:t>、项目基本情况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（一）项目概况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岳阳县2020年度农村人居环境政治项目涉及荣家湾镇、步仙镇、柏祥镇、杨林街镇、张谷英镇、新开镇、公田镇等15个乡镇及5个农林渔茶场的人居环境整治工作。项目建设主要内容是各乡镇（办事处）、农林场对农村生活垃圾进行“户分类、村（居）收集、乡（镇）转运、县处理”的模式对农村垃圾收集清运、压缩转运和集中无害化处理。2020年度岳阳县财政下达15个乡镇（办事处）及5个农林渔茶场农村人居环境整治项目建设资金1909.00万元。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（二）项目实施依据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1、岳阳县人民政府《岳阳县农村人居环境整治实施方案（2018--2020年）》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2、《岳阳县人民政府办公室关于农村垃圾收集、清运处理试点工作的实施意见》（岳县政办函[2017]104号）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3、岳阳县乡村振兴战略指挥部文件《关于建立健全农村人居环境整治常治长效机制工作实施意见》（岳县乡振指[2019]8号）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（三）项目绩效目标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项目建设需完成15个乡镇（办事处）及5个农林渔茶场农村人居环境整治工作，改善百姓的生活环境；建立整域环境卫生保洁和垃圾集中收集清运处理体系；截止2020年年底在全市的人居环境整治工作上进前三名。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二、项目资金使用及管理情况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（一）项目资金到位及使用情况</w:t>
            </w:r>
          </w:p>
          <w:p>
            <w:pPr>
              <w:spacing w:line="560" w:lineRule="exact"/>
              <w:ind w:firstLine="560" w:firstLineChars="200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2020年岳阳县财政下拨1909.00万元到15个乡镇（办事处）及5个农林渔茶场，主要用于15个乡镇（办事处）及5个农林渔茶场的环境卫生保洁和垃圾集中收集清运处理，2020年农村人居环境整治项目共计支出1909.00万元。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（二） 项目资金管理情况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项目单位参照《岳阳县农业农村局机关财务管理制度》资金管理制度，对项目进行专项资金核算，项目资金管理严格按照农业农村局机关财务管理制度执行。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三、项目组织及管理情况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为了更好的推进农村人居环境整治工作，建设美丽乡村，促进乡村振兴，县委县政府成立了“岳阳县乡村振兴战略指挥部”。项目的组织领导是由县委、县政府抓总，县乡村振兴战略部统筹协调，县农业农村局负责牵头，县直相关单位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各司其责</w:t>
            </w:r>
            <w:r>
              <w:rPr>
                <w:rFonts w:hint="eastAsia" w:eastAsia="仿宋_GB2312"/>
                <w:sz w:val="28"/>
                <w:szCs w:val="28"/>
              </w:rPr>
              <w:t>，结合工作职能，制定工作方案，负责业务指导、筹措资金、组织协调和监督检查等工作。一是项目的多元投入是县财政按30元/人/年的奖补标准，纳入财政专项经费预算。二是乡镇要按集中压缩转运要求预算专门经费，村（社区）卫生保洁理事会原则上按1元/人/月的标准收取人居环境整治经费。要通过“取之于地”和整合涉农资金，加大投入，凝聚乡友乡贤力量，引导民间资本参与，组织村民筹资投劳，形成多元投入模式。三是建立农村人居环境整治联系会议制度，统筹协调相关部门各司其职、密切配合、信息互通、资源共享、工作联动。按照职责分工，统筹解决农村人居环境整治重大问题，落实各项政策措施，协同推进各项工作。四是县农业农村牵头，会同有关部门对各乡镇（办事处）农村人居环境整治进行明察暗访，打分排队，按分值兑现奖罚。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四、绩效评价工作情况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（一）前期准备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根据岳阳县《关于开展2020年财政资金绩效运行跟踪监控工作的通知》（岳县财发〔2020〕37号）的要求，成立了绩效评价工作小组，初步制定绩效评价指标体系。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（二）组织实施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根据评价工作要求，对15个乡镇及（办事处）及5个农林渔茶场的资料进行分析，包括资金拨付、支出凭证、合同、招投标文件等的合理性、规范性。并到现场查看农村人居环境整治项目的实施情况。评价组结合项目单位情况介绍、核查项目从立项到验收阶段的资料、财务账表、支出的原始凭证、审计报告等方式对项目实施评价。 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（三）分析评价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评价组对收集的资料进行整理汇总，对前期制定的绩效评价指标体系进行适当修改，对账评价指标体系进行评分，形成评价结论见附件评分表。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五、项目主要绩效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（一）2020年人居环境整治工作共计完成全县161个行政村和15个涉农居委会及5个农林场的垃圾清运工作，镇村环卫设施覆盖率达100%；垃圾集中清运率达100%；垃圾无害化处理达100%。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（二）全面推进农村垃圾集中收集清运处理，实行“公司化运作、网格化管理、标准化作业”，建设垃圾中转站42个，全县垃圾转运至新开垃圾填埋场进行集中无害化处理。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（三）2020年农村人居环境整治工作获得湖南省农村人居环境整治“先进县”称号，市农村人居环境整治全年工作考评第一的好成绩。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（四）农村人居环境整治工作的实施有效的解决了乡村生产、生活废弃物等造成的环境污染问题，乡村生产、生活及人居环境得到明显的改善。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（五）农村人居环境整治工作已全面建立常态长效机制。以村级党组织为核心，划分村组户网格化责任区域，实行村干部包片负责，党员和理事会成员联户负责、农户挂牌负责，明确农户门前三包责任，建立清洁管理负面清单，实行销号管理。针对路段和水域两大公共区域，建立了镇村组三级路长制和河（港）塘坝长制，明确责任人、责任事项，定期开展巡查、建立台帐，针对存在问题明确责任，迅速督办整改。确保农村人居环境整治工作后期的运行与维护。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六、综合评价情况及评价结论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2020年岳阳县财政局下达各乡镇及农林渔场专项资金1,909.00万元，用于15个乡镇（办事处）及5个农林渔茶场人居环境整治工作的实施。我们从项目决策、项目管理、项目绩效等方面进行评价，绩效评价得分100分。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七、存在的问题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乡镇整治水平不平衡，近城区及省、国级公路沿线乡镇治理费用较大。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八、有关建议</w:t>
            </w:r>
          </w:p>
          <w:p>
            <w:pPr>
              <w:spacing w:line="560" w:lineRule="exact"/>
              <w:ind w:firstLine="560" w:firstLineChars="20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建议上级政府部门加大项目资金投入。</w:t>
            </w:r>
          </w:p>
          <w:p>
            <w:pPr>
              <w:spacing w:line="560" w:lineRule="exact"/>
              <w:ind w:firstLine="560" w:firstLineChars="200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560" w:firstLineChars="200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560" w:firstLineChars="200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560" w:firstLineChars="200"/>
              <w:jc w:val="righ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          岳阳县农业农村局</w:t>
            </w:r>
          </w:p>
          <w:p>
            <w:pPr>
              <w:spacing w:line="560" w:lineRule="exact"/>
              <w:ind w:firstLine="560" w:firstLineChars="200"/>
              <w:jc w:val="righ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560" w:firstLineChars="200"/>
              <w:jc w:val="right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         二〇二一年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七</w:t>
            </w:r>
            <w:r>
              <w:rPr>
                <w:rFonts w:hint="eastAsia" w:eastAsia="仿宋_GB2312"/>
                <w:sz w:val="28"/>
                <w:szCs w:val="28"/>
              </w:rPr>
              <w:t>月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一十八</w:t>
            </w:r>
            <w:r>
              <w:rPr>
                <w:rFonts w:hint="eastAsia" w:eastAsia="仿宋_GB2312"/>
                <w:sz w:val="28"/>
                <w:szCs w:val="28"/>
              </w:rPr>
              <w:t>日</w:t>
            </w:r>
          </w:p>
        </w:tc>
      </w:tr>
    </w:tbl>
    <w:p>
      <w:pPr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singleLevel"/>
    <w:tmpl w:val="00000002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IwOTgxYmNlOTg4NDA4ZTk4YjUyZTRjMWY2M2UyYmEifQ=="/>
  </w:docVars>
  <w:rsids>
    <w:rsidRoot w:val="00EE1108"/>
    <w:rsid w:val="00243419"/>
    <w:rsid w:val="0052606E"/>
    <w:rsid w:val="0057195D"/>
    <w:rsid w:val="005D3BEE"/>
    <w:rsid w:val="00607D94"/>
    <w:rsid w:val="00925542"/>
    <w:rsid w:val="00C52EFB"/>
    <w:rsid w:val="00D15E32"/>
    <w:rsid w:val="00D46836"/>
    <w:rsid w:val="00DB7943"/>
    <w:rsid w:val="00E6223B"/>
    <w:rsid w:val="00E730DF"/>
    <w:rsid w:val="00EE1108"/>
    <w:rsid w:val="00F2487C"/>
    <w:rsid w:val="0D0C547A"/>
    <w:rsid w:val="25E17A36"/>
    <w:rsid w:val="356E151F"/>
    <w:rsid w:val="4C552D48"/>
    <w:rsid w:val="4F8A3B1C"/>
    <w:rsid w:val="741B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3101</Words>
  <Characters>3305</Characters>
  <Lines>30</Lines>
  <Paragraphs>8</Paragraphs>
  <TotalTime>72</TotalTime>
  <ScaleCrop>false</ScaleCrop>
  <LinksUpToDate>false</LinksUpToDate>
  <CharactersWithSpaces>3964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2021-07-14T09:06:00Z</dcterms:created>
  <dc:creator>lenovo</dc:creator>
  <cp:lastModifiedBy>三一.</cp:lastModifiedBy>
  <cp:lastPrinted>2021-07-21T09:02:00Z</cp:lastPrinted>
  <dcterms:modified xsi:type="dcterms:W3CDTF">2022-08-28T12:53:34Z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C2134CDF415549F995B4354E3285E13A</vt:lpwstr>
  </property>
</Properties>
</file>