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2020年度</w:t>
      </w:r>
    </w:p>
    <w:p>
      <w:pPr>
        <w:pStyle w:val="9"/>
        <w:jc w:val="center"/>
        <w:rPr>
          <w:sz w:val="84"/>
          <w:szCs w:val="84"/>
        </w:rPr>
      </w:pPr>
      <w:r>
        <w:rPr>
          <w:rFonts w:hint="eastAsia"/>
          <w:sz w:val="84"/>
          <w:szCs w:val="84"/>
        </w:rPr>
        <w:t>岳阳县农村经营服务站</w:t>
      </w:r>
    </w:p>
    <w:p>
      <w:pPr>
        <w:pStyle w:val="9"/>
        <w:jc w:val="center"/>
        <w:rPr>
          <w:sz w:val="84"/>
          <w:szCs w:val="84"/>
        </w:rPr>
      </w:pPr>
      <w:r>
        <w:rPr>
          <w:rFonts w:hint="eastAsia"/>
          <w:sz w:val="84"/>
          <w:szCs w:val="84"/>
        </w:rPr>
        <w:t>部门决算</w:t>
      </w:r>
    </w:p>
    <w:p>
      <w:pPr>
        <w:pStyle w:val="9"/>
        <w:jc w:val="center"/>
        <w:rPr>
          <w:sz w:val="56"/>
          <w:szCs w:val="56"/>
        </w:rPr>
      </w:pPr>
    </w:p>
    <w:p>
      <w:pPr>
        <w:pStyle w:val="9"/>
        <w:jc w:val="center"/>
        <w:rPr>
          <w:sz w:val="56"/>
          <w:szCs w:val="56"/>
        </w:rPr>
      </w:pPr>
    </w:p>
    <w:p>
      <w:pPr>
        <w:pStyle w:val="9"/>
        <w:jc w:val="center"/>
        <w:rPr>
          <w:sz w:val="56"/>
          <w:szCs w:val="56"/>
        </w:rPr>
      </w:pPr>
    </w:p>
    <w:p>
      <w:pPr>
        <w:widowControl/>
        <w:jc w:val="left"/>
        <w:rPr>
          <w:rFonts w:ascii="黑体" w:eastAsia="黑体" w:cs="黑体"/>
          <w:b/>
          <w:color w:val="000000"/>
          <w:kern w:val="0"/>
          <w:sz w:val="36"/>
          <w:szCs w:val="28"/>
        </w:rPr>
      </w:pPr>
      <w:r>
        <w:rPr>
          <w:b/>
          <w:sz w:val="36"/>
          <w:szCs w:val="28"/>
        </w:rPr>
        <w:br w:type="page"/>
      </w:r>
    </w:p>
    <w:p>
      <w:pPr>
        <w:pStyle w:val="9"/>
        <w:spacing w:line="500" w:lineRule="exact"/>
        <w:jc w:val="center"/>
        <w:rPr>
          <w:b/>
          <w:sz w:val="36"/>
          <w:szCs w:val="28"/>
        </w:rPr>
      </w:pPr>
      <w:r>
        <w:rPr>
          <w:rFonts w:hint="eastAsia"/>
          <w:b/>
          <w:sz w:val="36"/>
          <w:szCs w:val="28"/>
        </w:rPr>
        <w:t>目录</w:t>
      </w:r>
    </w:p>
    <w:p>
      <w:pPr>
        <w:pStyle w:val="9"/>
        <w:spacing w:line="500" w:lineRule="exact"/>
        <w:rPr>
          <w:rFonts w:ascii="仿宋_GB2312" w:hAnsi="仿宋_GB2312" w:cs="仿宋_GB2312"/>
          <w:b/>
          <w:sz w:val="28"/>
          <w:szCs w:val="28"/>
        </w:rPr>
      </w:pPr>
      <w:r>
        <w:rPr>
          <w:rFonts w:hint="eastAsia"/>
          <w:b/>
          <w:sz w:val="28"/>
          <w:szCs w:val="28"/>
        </w:rPr>
        <w:t>第一部分岳阳县农村经营服务站概况</w:t>
      </w:r>
    </w:p>
    <w:p>
      <w:pPr>
        <w:pStyle w:val="9"/>
        <w:spacing w:line="500" w:lineRule="exact"/>
        <w:ind w:firstLine="700" w:firstLineChars="250"/>
        <w:rPr>
          <w:rFonts w:ascii="仿宋_GB2312" w:eastAsia="仿宋_GB2312" w:cs="仿宋_GB2312" w:hAnsiTheme="minorEastAsia"/>
          <w:sz w:val="28"/>
          <w:szCs w:val="28"/>
        </w:rPr>
      </w:pPr>
      <w:r>
        <w:rPr>
          <w:rFonts w:ascii="仿宋_GB2312" w:eastAsia="仿宋_GB2312" w:cs="仿宋_GB2312" w:hAnsiTheme="minorEastAsia"/>
          <w:sz w:val="28"/>
          <w:szCs w:val="28"/>
        </w:rPr>
        <w:t>一、部门职责</w:t>
      </w:r>
    </w:p>
    <w:p>
      <w:pPr>
        <w:pStyle w:val="9"/>
        <w:spacing w:line="500" w:lineRule="exact"/>
        <w:ind w:firstLine="700" w:firstLineChars="250"/>
        <w:rPr>
          <w:rFonts w:ascii="仿宋_GB2312" w:eastAsia="仿宋_GB2312" w:cs="仿宋_GB2312" w:hAnsiTheme="minorEastAsia"/>
          <w:sz w:val="28"/>
          <w:szCs w:val="28"/>
        </w:rPr>
      </w:pPr>
      <w:r>
        <w:rPr>
          <w:rFonts w:ascii="仿宋_GB2312" w:eastAsia="仿宋_GB2312" w:cs="仿宋_GB2312" w:hAnsiTheme="minorEastAsia"/>
          <w:sz w:val="28"/>
          <w:szCs w:val="28"/>
        </w:rPr>
        <w:t>二、机构设置</w:t>
      </w:r>
    </w:p>
    <w:p>
      <w:pPr>
        <w:pStyle w:val="9"/>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9"/>
        <w:spacing w:line="500" w:lineRule="exact"/>
        <w:ind w:firstLine="700" w:firstLineChars="250"/>
        <w:rPr>
          <w:rFonts w:ascii="仿宋_GB2312" w:eastAsia="仿宋_GB2312" w:cs="仿宋_GB2312" w:hAnsiTheme="minorEastAsia"/>
          <w:sz w:val="28"/>
          <w:szCs w:val="28"/>
        </w:rPr>
      </w:pPr>
      <w:r>
        <w:rPr>
          <w:rFonts w:hint="eastAsia" w:ascii="仿宋_GB2312" w:eastAsia="仿宋_GB2312" w:cs="仿宋_GB2312" w:hAnsiTheme="minorEastAsia"/>
          <w:sz w:val="28"/>
          <w:szCs w:val="28"/>
        </w:rPr>
        <w:t>一、收入支出决算总表</w:t>
      </w:r>
    </w:p>
    <w:p>
      <w:pPr>
        <w:pStyle w:val="9"/>
        <w:spacing w:line="500" w:lineRule="exact"/>
        <w:ind w:firstLine="700" w:firstLineChars="250"/>
        <w:rPr>
          <w:rFonts w:ascii="仿宋_GB2312" w:eastAsia="仿宋_GB2312" w:cs="仿宋_GB2312" w:hAnsiTheme="minorEastAsia"/>
          <w:sz w:val="28"/>
          <w:szCs w:val="28"/>
        </w:rPr>
      </w:pPr>
      <w:r>
        <w:rPr>
          <w:rFonts w:hint="eastAsia" w:ascii="仿宋_GB2312" w:eastAsia="仿宋_GB2312" w:cs="仿宋_GB2312" w:hAnsiTheme="minorEastAsia"/>
          <w:sz w:val="28"/>
          <w:szCs w:val="28"/>
        </w:rPr>
        <w:t>二、收入决算表</w:t>
      </w:r>
    </w:p>
    <w:p>
      <w:pPr>
        <w:pStyle w:val="9"/>
        <w:spacing w:line="500" w:lineRule="exact"/>
        <w:ind w:firstLine="700" w:firstLineChars="250"/>
        <w:rPr>
          <w:rFonts w:ascii="仿宋_GB2312" w:eastAsia="仿宋_GB2312" w:cs="仿宋_GB2312" w:hAnsiTheme="minorEastAsia"/>
          <w:sz w:val="28"/>
          <w:szCs w:val="28"/>
        </w:rPr>
      </w:pPr>
      <w:r>
        <w:rPr>
          <w:rFonts w:hint="eastAsia" w:ascii="仿宋_GB2312" w:eastAsia="仿宋_GB2312" w:cs="仿宋_GB2312" w:hAnsiTheme="minorEastAsia"/>
          <w:sz w:val="28"/>
          <w:szCs w:val="28"/>
        </w:rPr>
        <w:t>三、支出决算表</w:t>
      </w:r>
    </w:p>
    <w:p>
      <w:pPr>
        <w:pStyle w:val="9"/>
        <w:spacing w:line="500" w:lineRule="exact"/>
        <w:ind w:firstLine="700" w:firstLineChars="250"/>
        <w:rPr>
          <w:rFonts w:ascii="仿宋_GB2312" w:eastAsia="仿宋_GB2312" w:cs="仿宋_GB2312" w:hAnsiTheme="minorEastAsia"/>
          <w:sz w:val="28"/>
          <w:szCs w:val="28"/>
        </w:rPr>
      </w:pPr>
      <w:r>
        <w:rPr>
          <w:rFonts w:hint="eastAsia" w:ascii="仿宋_GB2312" w:eastAsia="仿宋_GB2312" w:cs="仿宋_GB2312" w:hAnsiTheme="minorEastAsia"/>
          <w:sz w:val="28"/>
          <w:szCs w:val="28"/>
        </w:rPr>
        <w:t>四、财政拨款收入支出决算总表</w:t>
      </w:r>
    </w:p>
    <w:p>
      <w:pPr>
        <w:pStyle w:val="9"/>
        <w:spacing w:line="500" w:lineRule="exact"/>
        <w:ind w:firstLine="700" w:firstLineChars="250"/>
        <w:rPr>
          <w:rFonts w:ascii="仿宋_GB2312" w:eastAsia="仿宋_GB2312" w:cs="仿宋_GB2312" w:hAnsiTheme="minorEastAsia"/>
          <w:sz w:val="28"/>
          <w:szCs w:val="28"/>
        </w:rPr>
      </w:pPr>
      <w:r>
        <w:rPr>
          <w:rFonts w:hint="eastAsia" w:ascii="仿宋_GB2312" w:eastAsia="仿宋_GB2312" w:cs="仿宋_GB2312" w:hAnsiTheme="minorEastAsia"/>
          <w:sz w:val="28"/>
          <w:szCs w:val="28"/>
        </w:rPr>
        <w:t>五、一般公共预算财政拨款支出决算表</w:t>
      </w:r>
    </w:p>
    <w:p>
      <w:pPr>
        <w:pStyle w:val="9"/>
        <w:spacing w:line="500" w:lineRule="exact"/>
        <w:ind w:firstLine="700" w:firstLineChars="250"/>
        <w:rPr>
          <w:rFonts w:ascii="仿宋_GB2312" w:eastAsia="仿宋_GB2312" w:cs="仿宋_GB2312" w:hAnsiTheme="minorEastAsia"/>
          <w:sz w:val="28"/>
          <w:szCs w:val="28"/>
        </w:rPr>
      </w:pPr>
      <w:r>
        <w:rPr>
          <w:rFonts w:hint="eastAsia" w:ascii="仿宋_GB2312" w:eastAsia="仿宋_GB2312" w:cs="仿宋_GB2312" w:hAnsiTheme="minorEastAsia"/>
          <w:sz w:val="28"/>
          <w:szCs w:val="28"/>
        </w:rPr>
        <w:t>六、一般公共预算财政拨款基本支出决算表</w:t>
      </w:r>
    </w:p>
    <w:p>
      <w:pPr>
        <w:pStyle w:val="9"/>
        <w:spacing w:line="500" w:lineRule="exact"/>
        <w:ind w:firstLine="700" w:firstLineChars="250"/>
        <w:rPr>
          <w:rFonts w:ascii="仿宋_GB2312" w:eastAsia="仿宋_GB2312" w:cs="仿宋_GB2312" w:hAnsiTheme="minorEastAsia"/>
          <w:sz w:val="28"/>
          <w:szCs w:val="28"/>
        </w:rPr>
      </w:pPr>
      <w:r>
        <w:rPr>
          <w:rFonts w:hint="eastAsia" w:ascii="仿宋_GB2312" w:eastAsia="仿宋_GB2312" w:cs="仿宋_GB2312" w:hAnsiTheme="minorEastAsia"/>
          <w:sz w:val="28"/>
          <w:szCs w:val="28"/>
        </w:rPr>
        <w:t>七、一般公共预算财政拨款“三公”经费支出决算表</w:t>
      </w:r>
    </w:p>
    <w:p>
      <w:pPr>
        <w:pStyle w:val="9"/>
        <w:spacing w:line="500" w:lineRule="exact"/>
        <w:ind w:firstLine="700" w:firstLineChars="250"/>
        <w:rPr>
          <w:rFonts w:ascii="仿宋_GB2312" w:eastAsia="仿宋_GB2312" w:cs="仿宋_GB2312" w:hAnsiTheme="minorEastAsia"/>
          <w:sz w:val="28"/>
          <w:szCs w:val="28"/>
        </w:rPr>
      </w:pPr>
      <w:r>
        <w:rPr>
          <w:rFonts w:hint="eastAsia" w:ascii="仿宋_GB2312" w:eastAsia="仿宋_GB2312" w:cs="仿宋_GB2312" w:hAnsiTheme="minorEastAsia"/>
          <w:sz w:val="28"/>
          <w:szCs w:val="28"/>
        </w:rPr>
        <w:t>八、政府性基金预算财政拨款收入支出决算表</w:t>
      </w:r>
    </w:p>
    <w:p>
      <w:pPr>
        <w:pStyle w:val="9"/>
        <w:spacing w:line="500" w:lineRule="exact"/>
        <w:ind w:firstLine="700" w:firstLineChars="250"/>
        <w:rPr>
          <w:rFonts w:ascii="仿宋_GB2312" w:eastAsia="仿宋_GB2312" w:cs="仿宋_GB2312" w:hAnsiTheme="minorEastAsia"/>
          <w:sz w:val="28"/>
          <w:szCs w:val="28"/>
        </w:rPr>
      </w:pPr>
      <w:r>
        <w:rPr>
          <w:rFonts w:hint="eastAsia" w:ascii="仿宋_GB2312" w:eastAsia="仿宋_GB2312" w:cs="仿宋_GB2312" w:hAnsiTheme="minorEastAsia"/>
          <w:sz w:val="28"/>
          <w:szCs w:val="28"/>
        </w:rPr>
        <w:t>九、国有资本经营预算财政拨款支出决算表</w:t>
      </w:r>
    </w:p>
    <w:p>
      <w:pPr>
        <w:pStyle w:val="9"/>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9"/>
        <w:spacing w:line="500" w:lineRule="exact"/>
        <w:ind w:firstLine="700" w:firstLineChars="250"/>
        <w:rPr>
          <w:rFonts w:ascii="仿宋_GB2312" w:eastAsia="仿宋_GB2312" w:cs="仿宋_GB2312" w:hAnsiTheme="minorEastAsia"/>
          <w:sz w:val="28"/>
          <w:szCs w:val="28"/>
        </w:rPr>
      </w:pPr>
      <w:r>
        <w:rPr>
          <w:rFonts w:hint="eastAsia" w:ascii="仿宋_GB2312" w:eastAsia="仿宋_GB2312" w:cs="仿宋_GB2312" w:hAnsiTheme="minorEastAsia"/>
          <w:sz w:val="28"/>
          <w:szCs w:val="28"/>
        </w:rPr>
        <w:t>一、收入支出决算总体情况说明</w:t>
      </w:r>
    </w:p>
    <w:p>
      <w:pPr>
        <w:spacing w:line="500" w:lineRule="exact"/>
        <w:ind w:firstLine="700" w:firstLineChars="25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9"/>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9"/>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十三、关</w:t>
      </w:r>
      <w:r>
        <w:rPr>
          <w:rFonts w:hint="eastAsia" w:ascii="仿宋_GB2312" w:eastAsia="仿宋_GB2312" w:cs="仿宋_GB2312" w:hAnsiTheme="minorEastAsia"/>
          <w:sz w:val="28"/>
          <w:szCs w:val="28"/>
        </w:rPr>
        <w:t>于2020年</w:t>
      </w:r>
      <w:r>
        <w:rPr>
          <w:rFonts w:hint="eastAsia" w:ascii="仿宋_GB2312" w:hAnsi="仿宋_GB2312" w:eastAsia="仿宋_GB2312" w:cs="仿宋_GB2312"/>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第一部分</w:t>
      </w:r>
    </w:p>
    <w:p>
      <w:pPr>
        <w:pStyle w:val="9"/>
        <w:jc w:val="center"/>
        <w:rPr>
          <w:sz w:val="72"/>
          <w:szCs w:val="72"/>
        </w:rPr>
      </w:pPr>
    </w:p>
    <w:p>
      <w:pPr>
        <w:pStyle w:val="9"/>
        <w:jc w:val="center"/>
        <w:rPr>
          <w:sz w:val="84"/>
          <w:szCs w:val="84"/>
        </w:rPr>
      </w:pPr>
      <w:r>
        <w:rPr>
          <w:rFonts w:hint="eastAsia"/>
          <w:sz w:val="72"/>
          <w:szCs w:val="72"/>
        </w:rPr>
        <w:t>岳阳县农村经营服务站概况</w:t>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rPr>
          <w:sz w:val="72"/>
          <w:szCs w:val="72"/>
        </w:rPr>
      </w:pPr>
    </w:p>
    <w:p>
      <w:pPr>
        <w:widowControl/>
        <w:jc w:val="left"/>
        <w:rPr>
          <w:rFonts w:ascii="黑体" w:hAnsi="黑体" w:eastAsia="黑体"/>
          <w:bCs/>
          <w:kern w:val="0"/>
          <w:sz w:val="32"/>
          <w:szCs w:val="32"/>
        </w:rPr>
      </w:pPr>
      <w:r>
        <w:rPr>
          <w:rFonts w:ascii="黑体" w:hAnsi="黑体" w:eastAsia="黑体"/>
          <w:bCs/>
          <w:kern w:val="0"/>
          <w:sz w:val="32"/>
          <w:szCs w:val="32"/>
        </w:rPr>
        <w:br w:type="page"/>
      </w:r>
    </w:p>
    <w:p>
      <w:pPr>
        <w:pStyle w:val="10"/>
        <w:ind w:firstLine="0" w:firstLineChars="0"/>
        <w:jc w:val="left"/>
        <w:rPr>
          <w:rFonts w:ascii="黑体" w:hAnsi="黑体" w:eastAsia="黑体"/>
          <w:sz w:val="32"/>
          <w:szCs w:val="32"/>
        </w:rPr>
      </w:pPr>
      <w:r>
        <w:rPr>
          <w:rFonts w:hint="eastAsia" w:ascii="黑体" w:hAnsi="黑体" w:eastAsia="黑体"/>
          <w:bCs/>
          <w:kern w:val="0"/>
          <w:sz w:val="32"/>
          <w:szCs w:val="32"/>
        </w:rPr>
        <w:t>一、</w:t>
      </w:r>
      <w:r>
        <w:rPr>
          <w:rFonts w:ascii="黑体" w:hAnsi="黑体" w:eastAsia="黑体"/>
          <w:sz w:val="32"/>
          <w:szCs w:val="32"/>
        </w:rPr>
        <w:t>部门职责</w:t>
      </w:r>
    </w:p>
    <w:p>
      <w:pPr>
        <w:widowControl/>
        <w:spacing w:line="600" w:lineRule="exact"/>
        <w:rPr>
          <w:rFonts w:ascii="仿宋_GB2312" w:hAnsi="Times New Roman" w:eastAsia="仿宋_GB2312" w:cs="仿宋"/>
          <w:sz w:val="28"/>
          <w:szCs w:val="28"/>
        </w:rPr>
      </w:pPr>
      <w:r>
        <w:rPr>
          <w:rFonts w:hint="eastAsia" w:ascii="仿宋_GB2312" w:hAnsi="Times New Roman" w:eastAsia="仿宋_GB2312" w:cs="仿宋"/>
          <w:sz w:val="28"/>
          <w:szCs w:val="28"/>
        </w:rPr>
        <w:t>（一）承担县农村集体产权制度改革、农村集体“三资”监管等方面的事务性工作；承担指导农村集体经济组织建设与发展、协调乡村治理体系建设方面的事务性工作。</w:t>
      </w:r>
    </w:p>
    <w:p>
      <w:pPr>
        <w:widowControl/>
        <w:spacing w:line="600" w:lineRule="exact"/>
        <w:rPr>
          <w:rFonts w:ascii="仿宋_GB2312" w:hAnsi="Times New Roman" w:eastAsia="仿宋_GB2312" w:cs="仿宋"/>
          <w:sz w:val="28"/>
          <w:szCs w:val="28"/>
        </w:rPr>
      </w:pPr>
      <w:r>
        <w:rPr>
          <w:rFonts w:hint="eastAsia" w:ascii="仿宋_GB2312" w:hAnsi="Times New Roman" w:eastAsia="仿宋_GB2312" w:cs="仿宋"/>
          <w:sz w:val="28"/>
          <w:szCs w:val="28"/>
        </w:rPr>
        <w:t>（二）承担指导农村合作经济组织、农业产业社会化服务体系建设与发展、小农户扶持、新型农业经营主体培育与壮大等方面的事务性工作。</w:t>
      </w:r>
    </w:p>
    <w:p>
      <w:pPr>
        <w:widowControl/>
        <w:spacing w:line="600" w:lineRule="exact"/>
        <w:rPr>
          <w:rFonts w:ascii="仿宋_GB2312" w:hAnsi="Times New Roman" w:eastAsia="仿宋_GB2312" w:cs="仿宋"/>
          <w:sz w:val="28"/>
          <w:szCs w:val="28"/>
        </w:rPr>
      </w:pPr>
      <w:r>
        <w:rPr>
          <w:rFonts w:hint="eastAsia" w:ascii="仿宋_GB2312" w:hAnsi="Times New Roman" w:eastAsia="仿宋_GB2312" w:cs="仿宋"/>
          <w:sz w:val="28"/>
          <w:szCs w:val="28"/>
        </w:rPr>
        <w:t>（三）承担对本县农村集体经济组织财务监管、审计监督农村财务账目、全面推行和完善村账乡（镇）代管、互联网+监督等方面的事务性工作。承担农村财会人员业务培训、指导农村财会队伍建设等方面的相关事务性工作。</w:t>
      </w:r>
    </w:p>
    <w:p>
      <w:pPr>
        <w:widowControl/>
        <w:spacing w:line="600" w:lineRule="exact"/>
        <w:rPr>
          <w:rFonts w:ascii="仿宋_GB2312" w:hAnsi="Times New Roman" w:eastAsia="仿宋_GB2312" w:cs="仿宋"/>
          <w:sz w:val="28"/>
          <w:szCs w:val="28"/>
        </w:rPr>
      </w:pPr>
      <w:r>
        <w:rPr>
          <w:rFonts w:hint="eastAsia" w:ascii="仿宋_GB2312" w:hAnsi="Times New Roman" w:eastAsia="仿宋_GB2312" w:cs="仿宋"/>
          <w:sz w:val="28"/>
          <w:szCs w:val="28"/>
        </w:rPr>
        <w:t>（四）承担农村土地承包管理和改革、参与农村土地承包经营权确权、落实农村土地“三权分置”政策、搞好土地流转合同鉴证、发布农村土地流转供求信息、指导农村土地有序流转、承担调处和仲裁农村土地承包经营纠纷、农村宅基地改革和指导等方面的相关事务性工作。</w:t>
      </w:r>
    </w:p>
    <w:p>
      <w:pPr>
        <w:widowControl/>
        <w:spacing w:line="600" w:lineRule="exact"/>
        <w:rPr>
          <w:rFonts w:ascii="仿宋_GB2312" w:hAnsi="Times New Roman" w:eastAsia="仿宋_GB2312" w:cs="仿宋"/>
          <w:sz w:val="28"/>
          <w:szCs w:val="28"/>
        </w:rPr>
      </w:pPr>
      <w:r>
        <w:rPr>
          <w:rFonts w:hint="eastAsia" w:ascii="仿宋_GB2312" w:hAnsi="Times New Roman" w:eastAsia="仿宋_GB2312" w:cs="仿宋"/>
          <w:sz w:val="28"/>
          <w:szCs w:val="28"/>
        </w:rPr>
        <w:t>（五）承担宣传贯彻落实国家维护农民权益和减轻农民负担的法律法规和政策、维护农民权益、监督减轻农民负担、规范指导村级公益事业建设“一事一议”筹资筹劳、“一事一议”项目专项审核与审计等方面的相关事务性工作。</w:t>
      </w:r>
    </w:p>
    <w:p>
      <w:pPr>
        <w:widowControl/>
        <w:spacing w:line="600" w:lineRule="exact"/>
        <w:rPr>
          <w:rFonts w:ascii="仿宋_GB2312" w:hAnsi="Times New Roman" w:eastAsia="仿宋_GB2312" w:cs="仿宋"/>
          <w:sz w:val="28"/>
          <w:szCs w:val="28"/>
        </w:rPr>
      </w:pPr>
      <w:r>
        <w:rPr>
          <w:rFonts w:hint="eastAsia" w:ascii="仿宋_GB2312" w:hAnsi="Times New Roman" w:eastAsia="仿宋_GB2312" w:cs="仿宋"/>
          <w:sz w:val="28"/>
          <w:szCs w:val="28"/>
        </w:rPr>
        <w:t>（六）承担农村经济统计、分析农村经济情况等方面的相关事务性工作。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仿宋_GB2312" w:eastAsia="仿宋_GB2312" w:hAnsiTheme="minorEastAsia"/>
          <w:bCs/>
          <w:kern w:val="0"/>
          <w:sz w:val="28"/>
          <w:szCs w:val="28"/>
        </w:rPr>
      </w:pPr>
      <w:r>
        <w:rPr>
          <w:rFonts w:hint="eastAsia" w:ascii="仿宋_GB2312" w:hAnsi="Times New Roman" w:eastAsia="仿宋_GB2312" w:cs="仿宋"/>
          <w:sz w:val="28"/>
          <w:szCs w:val="28"/>
        </w:rPr>
        <w:t>（一）内设机构设置。岳阳县农村经营服务站</w:t>
      </w:r>
      <w:bookmarkStart w:id="0" w:name="_GoBack"/>
      <w:bookmarkEnd w:id="0"/>
      <w:r>
        <w:rPr>
          <w:rFonts w:hint="eastAsia" w:ascii="仿宋_GB2312" w:hAnsi="Times New Roman" w:eastAsia="仿宋_GB2312" w:cs="仿宋"/>
          <w:sz w:val="28"/>
          <w:szCs w:val="28"/>
        </w:rPr>
        <w:t>内设5个股室，分别为：办公室、农业经营主体指导服务股、农村财务指导与审计服务股、农村土地承包与流转服务股（岳阳县农村土地承包经营权流转服务中心）、农民负担监督服务股。2020年本单位年末实有人数14人，比上年</w:t>
      </w:r>
      <w:r>
        <w:rPr>
          <w:rFonts w:hint="eastAsia" w:ascii="仿宋_GB2312" w:hAnsi="Times New Roman" w:eastAsia="仿宋_GB2312" w:cs="仿宋"/>
          <w:sz w:val="28"/>
          <w:szCs w:val="28"/>
          <w:lang w:val="zh-CN"/>
        </w:rPr>
        <w:t>变动了减少</w:t>
      </w:r>
      <w:r>
        <w:rPr>
          <w:rFonts w:hint="eastAsia" w:ascii="仿宋_GB2312" w:hAnsi="Times New Roman" w:eastAsia="仿宋_GB2312" w:cs="仿宋"/>
          <w:sz w:val="28"/>
          <w:szCs w:val="28"/>
        </w:rPr>
        <w:t>4人。人员变化的主要原因是：机构改革,人员转隶导致减少。</w:t>
      </w:r>
    </w:p>
    <w:p>
      <w:pPr>
        <w:widowControl/>
        <w:spacing w:line="600" w:lineRule="exact"/>
        <w:rPr>
          <w:rFonts w:ascii="仿宋_GB2312" w:eastAsia="仿宋_GB2312"/>
          <w:sz w:val="28"/>
          <w:szCs w:val="28"/>
        </w:rPr>
      </w:pPr>
      <w:r>
        <w:rPr>
          <w:rFonts w:hint="eastAsia" w:ascii="仿宋_GB2312" w:eastAsia="仿宋_GB2312" w:hAnsiTheme="minorEastAsia"/>
          <w:bCs/>
          <w:kern w:val="0"/>
          <w:sz w:val="28"/>
          <w:szCs w:val="28"/>
        </w:rPr>
        <w:t>（二）决算单位构成。</w:t>
      </w:r>
      <w:r>
        <w:rPr>
          <w:rFonts w:hint="eastAsia" w:ascii="仿宋_GB2312" w:hAnsi="仿宋" w:eastAsia="仿宋_GB2312" w:cs="仿宋"/>
          <w:color w:val="000000"/>
          <w:kern w:val="0"/>
          <w:sz w:val="28"/>
          <w:szCs w:val="28"/>
        </w:rPr>
        <w:t>本单位为县农业农村局所属副科级公益一类全额拨款事业单位，2021年度部门决算仅为本单位决算。</w:t>
      </w:r>
      <w:r>
        <w:rPr>
          <w:rFonts w:hint="eastAsia" w:ascii="仿宋_GB2312" w:eastAsia="仿宋_GB2312"/>
          <w:sz w:val="28"/>
          <w:szCs w:val="28"/>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第二部分</w:t>
      </w:r>
    </w:p>
    <w:p>
      <w:pPr>
        <w:pStyle w:val="9"/>
        <w:jc w:val="center"/>
        <w:rPr>
          <w:sz w:val="72"/>
          <w:szCs w:val="72"/>
        </w:rPr>
      </w:pPr>
    </w:p>
    <w:p>
      <w:pPr>
        <w:pStyle w:val="9"/>
        <w:jc w:val="center"/>
        <w:rPr>
          <w:sz w:val="72"/>
          <w:szCs w:val="72"/>
        </w:rPr>
      </w:pPr>
      <w:r>
        <w:rPr>
          <w:rFonts w:hint="eastAsia"/>
          <w:sz w:val="72"/>
          <w:szCs w:val="72"/>
        </w:rPr>
        <w:t>部门决算表</w:t>
      </w:r>
    </w:p>
    <w:p>
      <w:pPr>
        <w:pStyle w:val="9"/>
        <w:jc w:val="center"/>
        <w:rPr>
          <w:sz w:val="72"/>
          <w:szCs w:val="72"/>
        </w:rPr>
      </w:pPr>
    </w:p>
    <w:p>
      <w:pPr>
        <w:pStyle w:val="9"/>
        <w:jc w:val="center"/>
        <w:rPr>
          <w:sz w:val="72"/>
          <w:szCs w:val="72"/>
        </w:rPr>
      </w:pPr>
      <w:r>
        <w:rPr>
          <w:rFonts w:hint="eastAsia"/>
          <w:sz w:val="72"/>
          <w:szCs w:val="72"/>
        </w:rPr>
        <w:t>（见附表）</w:t>
      </w:r>
    </w:p>
    <w:p>
      <w:pPr>
        <w:pStyle w:val="9"/>
        <w:jc w:val="center"/>
        <w:rPr>
          <w:sz w:val="72"/>
          <w:szCs w:val="72"/>
        </w:rPr>
      </w:pPr>
    </w:p>
    <w:p>
      <w:pPr>
        <w:jc w:val="left"/>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2"/>
          <w:szCs w:val="72"/>
        </w:rPr>
      </w:pPr>
    </w:p>
    <w:p>
      <w:pPr>
        <w:pStyle w:val="9"/>
        <w:jc w:val="center"/>
        <w:rPr>
          <w:sz w:val="72"/>
          <w:szCs w:val="72"/>
        </w:rPr>
      </w:pPr>
      <w:r>
        <w:rPr>
          <w:sz w:val="72"/>
          <w:szCs w:val="72"/>
        </w:rPr>
        <w:t>20</w:t>
      </w:r>
      <w:r>
        <w:rPr>
          <w:rFonts w:hint="eastAsia"/>
          <w:sz w:val="72"/>
          <w:szCs w:val="72"/>
        </w:rPr>
        <w:t>20年度部门决算情况说明</w:t>
      </w:r>
    </w:p>
    <w:p>
      <w:pPr>
        <w:pStyle w:val="9"/>
        <w:jc w:val="center"/>
        <w:rPr>
          <w:sz w:val="72"/>
          <w:szCs w:val="72"/>
        </w:rPr>
      </w:pPr>
    </w:p>
    <w:p>
      <w:pPr>
        <w:pStyle w:val="9"/>
        <w:rPr>
          <w:sz w:val="72"/>
          <w:szCs w:val="72"/>
        </w:rPr>
      </w:pPr>
      <w:r>
        <w:rPr>
          <w:sz w:val="72"/>
          <w:szCs w:val="72"/>
        </w:rPr>
        <w:br w:type="page"/>
      </w:r>
    </w:p>
    <w:p>
      <w:pPr>
        <w:pStyle w:val="9"/>
        <w:rPr>
          <w:rFonts w:hAnsi="黑体"/>
          <w:b/>
          <w:sz w:val="28"/>
          <w:szCs w:val="28"/>
        </w:rPr>
      </w:pPr>
      <w:r>
        <w:rPr>
          <w:rFonts w:hint="eastAsia" w:hAnsi="黑体"/>
          <w:b/>
          <w:sz w:val="28"/>
          <w:szCs w:val="28"/>
        </w:rPr>
        <w:t>一、收入支出决算总体情况说明</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2020年度收入总计1755.85万元（含年初结转和结余资金393.53万元），与上年相比，增长263.3万元，增长17.6%，主要是因为新增农业生产社会化服务项目和宅基地改革和管理工作拨款收入。</w:t>
      </w:r>
    </w:p>
    <w:p>
      <w:pPr>
        <w:pStyle w:val="9"/>
        <w:ind w:firstLine="560" w:firstLineChars="200"/>
        <w:rPr>
          <w:rFonts w:ascii="仿宋_GB2312" w:eastAsia="仿宋_GB2312" w:hAnsiTheme="minorEastAsia"/>
          <w:sz w:val="28"/>
          <w:szCs w:val="28"/>
        </w:rPr>
      </w:pPr>
      <w:r>
        <w:rPr>
          <w:rFonts w:hint="eastAsia" w:ascii="仿宋_GB2312" w:hAnsi="Times New Roman" w:eastAsia="仿宋_GB2312" w:cs="仿宋"/>
          <w:sz w:val="28"/>
          <w:szCs w:val="28"/>
        </w:rPr>
        <w:t>2020年度支出总计1755.85万元（含年末结转和结余资金147.9万元），与上年相比，增长263.3万元，增长17.6%，主要是因为主要是因为新增农业生产社会化服务项目和宅基地改革和管理工作支出。</w:t>
      </w:r>
    </w:p>
    <w:p>
      <w:pPr>
        <w:pStyle w:val="9"/>
        <w:rPr>
          <w:rFonts w:hAnsi="黑体"/>
          <w:b/>
          <w:sz w:val="28"/>
          <w:szCs w:val="28"/>
        </w:rPr>
      </w:pPr>
      <w:r>
        <w:rPr>
          <w:rFonts w:hint="eastAsia" w:hAnsi="黑体"/>
          <w:b/>
          <w:sz w:val="28"/>
          <w:szCs w:val="28"/>
        </w:rPr>
        <w:t>二、收入决算情况说明</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本年收入合计1362.32万元，其中：财政拨款收入1362.32万元，占100%；上级补助收入0万元，占0%；事业收入0万元，占0%；经营收入0万元，占0%；附属单位上缴收入0万元，占0%；其他收入0万元，占0%。</w:t>
      </w:r>
    </w:p>
    <w:p>
      <w:pPr>
        <w:pStyle w:val="9"/>
        <w:rPr>
          <w:rFonts w:hAnsi="黑体"/>
          <w:b/>
          <w:sz w:val="28"/>
          <w:szCs w:val="28"/>
        </w:rPr>
      </w:pPr>
      <w:r>
        <w:rPr>
          <w:rFonts w:hint="eastAsia" w:hAnsi="黑体"/>
          <w:b/>
          <w:sz w:val="28"/>
          <w:szCs w:val="28"/>
        </w:rPr>
        <w:t>三、支出决算情况说明</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本年支出合计1607.95万元，其中：基本支出207.5万元，占12.9%；项目支出1400.45万元，占87.1%；上缴上级支出0万元，占0%；经营支出0万元，占0%；对附属单位补助支出0万元，占0%。</w:t>
      </w:r>
    </w:p>
    <w:p>
      <w:pPr>
        <w:pStyle w:val="9"/>
        <w:rPr>
          <w:rFonts w:hAnsi="黑体"/>
          <w:b/>
          <w:sz w:val="28"/>
          <w:szCs w:val="28"/>
        </w:rPr>
      </w:pPr>
      <w:r>
        <w:rPr>
          <w:rFonts w:hint="eastAsia" w:hAnsi="黑体"/>
          <w:b/>
          <w:sz w:val="28"/>
          <w:szCs w:val="28"/>
        </w:rPr>
        <w:t>四、财政拨款收入支出决算总体情况说明</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2020年度财政拨款收入合计1362.32万元（不含年初财政拨款结转和结余资金），与上年相比，减少22.16万元,减少1.6%，主要是因专项工作重心转移，农村土地确权工作结束和新增农业社会化服务和宅基地管理工作导致资金安排变动。</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2020年度财政拨款支出合计1607.95万元（不含年末财政拨款结转和结余资金），与上年相比，增加508.92万元,增长46.31%，主要是因为新增农业生产社会化服务项目和宅基地改革和管理工作支出。</w:t>
      </w:r>
    </w:p>
    <w:p>
      <w:pPr>
        <w:pStyle w:val="9"/>
        <w:rPr>
          <w:rFonts w:hAnsi="黑体"/>
          <w:b/>
          <w:sz w:val="28"/>
          <w:szCs w:val="28"/>
        </w:rPr>
      </w:pPr>
      <w:r>
        <w:rPr>
          <w:rFonts w:hint="eastAsia" w:hAnsi="黑体"/>
          <w:b/>
          <w:sz w:val="28"/>
          <w:szCs w:val="28"/>
        </w:rPr>
        <w:t>五、一般公共预算财政拨款支出决算情况说明</w:t>
      </w:r>
    </w:p>
    <w:p>
      <w:pPr>
        <w:pStyle w:val="9"/>
        <w:ind w:firstLine="560" w:firstLineChars="200"/>
        <w:rPr>
          <w:rFonts w:ascii="仿宋_GB2312" w:hAnsi="Times New Roman" w:eastAsia="仿宋_GB2312" w:cs="仿宋"/>
          <w:b/>
          <w:sz w:val="28"/>
          <w:szCs w:val="28"/>
        </w:rPr>
      </w:pPr>
      <w:r>
        <w:rPr>
          <w:rFonts w:hint="eastAsia" w:ascii="仿宋_GB2312" w:hAnsi="Times New Roman" w:eastAsia="仿宋_GB2312" w:cs="仿宋"/>
          <w:b/>
          <w:sz w:val="28"/>
          <w:szCs w:val="28"/>
        </w:rPr>
        <w:t>（一）财政拨款支出决算总体情况</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2020年度财政拨款支出1607.95万元，占本年支出合计的100%，与上年相比，财政拨款支出增加508.92万元，增长46.31%，主要是因为新增农业生产社会化服务项目和宅基地改革和管理工作支出。</w:t>
      </w:r>
    </w:p>
    <w:p>
      <w:pPr>
        <w:pStyle w:val="9"/>
        <w:ind w:firstLine="560" w:firstLineChars="200"/>
        <w:rPr>
          <w:rFonts w:ascii="仿宋_GB2312" w:hAnsi="Times New Roman" w:eastAsia="仿宋_GB2312" w:cs="仿宋"/>
          <w:b/>
          <w:sz w:val="28"/>
          <w:szCs w:val="28"/>
        </w:rPr>
      </w:pPr>
      <w:r>
        <w:rPr>
          <w:rFonts w:hint="eastAsia" w:ascii="仿宋_GB2312" w:hAnsi="Times New Roman" w:eastAsia="仿宋_GB2312" w:cs="仿宋"/>
          <w:b/>
          <w:sz w:val="28"/>
          <w:szCs w:val="28"/>
        </w:rPr>
        <w:t>（二）财政拨款支出决算结构情况</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2020年度财政拨款支出1607.95万元，主要用于以下方面：农林水支出1607.95万元，占100%。</w:t>
      </w:r>
    </w:p>
    <w:p>
      <w:pPr>
        <w:pStyle w:val="9"/>
        <w:ind w:firstLine="560" w:firstLineChars="200"/>
        <w:rPr>
          <w:rFonts w:ascii="仿宋_GB2312" w:hAnsi="Times New Roman" w:eastAsia="仿宋_GB2312" w:cs="仿宋"/>
          <w:b/>
          <w:sz w:val="28"/>
          <w:szCs w:val="28"/>
        </w:rPr>
      </w:pPr>
      <w:r>
        <w:rPr>
          <w:rFonts w:hint="eastAsia" w:ascii="仿宋_GB2312" w:hAnsi="Times New Roman" w:eastAsia="仿宋_GB2312" w:cs="仿宋"/>
          <w:b/>
          <w:sz w:val="28"/>
          <w:szCs w:val="28"/>
        </w:rPr>
        <w:t>（三）财政拨款支出决算具体情况</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2020年度财政拨款支出年初预算数为1755.85万元，支出决算数为1607.95万元，完成年初预算的91.6%，其中：</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1、农林水支出（类）其他农林水支出（款）其他农林水支出（项）。</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年初预算为1755.85万元，支出决算为1607.95万元，完成年初预算的91.6%，决算数小于年初预算数的主要原因是：受农业生产社会化服务和宅基地管理专项工作按进度支付资金影响，</w:t>
      </w:r>
      <w:r>
        <w:rPr>
          <w:rFonts w:ascii="仿宋_GB2312" w:hAnsi="Times New Roman" w:eastAsia="仿宋_GB2312" w:cs="仿宋"/>
          <w:sz w:val="28"/>
          <w:szCs w:val="28"/>
        </w:rPr>
        <w:t>结转</w:t>
      </w:r>
      <w:r>
        <w:rPr>
          <w:rFonts w:hint="eastAsia" w:ascii="仿宋_GB2312" w:hAnsi="Times New Roman" w:eastAsia="仿宋_GB2312" w:cs="仿宋"/>
          <w:sz w:val="28"/>
          <w:szCs w:val="28"/>
        </w:rPr>
        <w:t>147.9</w:t>
      </w:r>
      <w:r>
        <w:rPr>
          <w:rFonts w:ascii="仿宋_GB2312" w:hAnsi="Times New Roman" w:eastAsia="仿宋_GB2312" w:cs="仿宋"/>
          <w:sz w:val="28"/>
          <w:szCs w:val="28"/>
        </w:rPr>
        <w:t>万元</w:t>
      </w:r>
      <w:r>
        <w:rPr>
          <w:rFonts w:hint="eastAsia" w:ascii="仿宋_GB2312" w:hAnsi="Times New Roman" w:eastAsia="仿宋_GB2312" w:cs="仿宋"/>
          <w:sz w:val="28"/>
          <w:szCs w:val="28"/>
        </w:rPr>
        <w:t>延期至2021年结算支付。</w:t>
      </w:r>
    </w:p>
    <w:p>
      <w:pPr>
        <w:pStyle w:val="9"/>
        <w:rPr>
          <w:rFonts w:hAnsi="黑体"/>
          <w:b/>
          <w:sz w:val="28"/>
          <w:szCs w:val="28"/>
        </w:rPr>
      </w:pPr>
      <w:r>
        <w:rPr>
          <w:rFonts w:hint="eastAsia" w:hAnsi="黑体"/>
          <w:b/>
          <w:sz w:val="28"/>
          <w:szCs w:val="28"/>
        </w:rPr>
        <w:t>六、一般公共预算财政拨款基本支出决算情况说明</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2020年度财政拨款基本支出207.5万元，其中：人员经费167.01万元，占基本支出的80.5%,主要包括基本工资、津贴补贴、绩效工资、住房公积金、职工社会保障、抚恤金、退休生活补贴等；公用经费40.49万元，占基本支出的19.5%，主要包括办公费、水电费、邮电费、维护费、差旅费、公务接待费、其他交通费、工会费、其他商品服务费。</w:t>
      </w:r>
    </w:p>
    <w:p>
      <w:pPr>
        <w:pStyle w:val="9"/>
        <w:rPr>
          <w:rFonts w:hAnsi="黑体"/>
          <w:b/>
          <w:sz w:val="28"/>
          <w:szCs w:val="28"/>
        </w:rPr>
      </w:pPr>
      <w:r>
        <w:rPr>
          <w:rFonts w:hint="eastAsia" w:hAnsi="黑体"/>
          <w:b/>
          <w:sz w:val="28"/>
          <w:szCs w:val="28"/>
        </w:rPr>
        <w:t>七、一般公共预算财政拨款三公经费支出决算情况说明</w:t>
      </w:r>
    </w:p>
    <w:p>
      <w:pPr>
        <w:pStyle w:val="9"/>
        <w:ind w:firstLine="560" w:firstLineChars="200"/>
        <w:rPr>
          <w:rFonts w:ascii="仿宋_GB2312" w:hAnsi="Times New Roman" w:eastAsia="仿宋_GB2312" w:cs="仿宋"/>
          <w:b/>
          <w:sz w:val="28"/>
          <w:szCs w:val="28"/>
        </w:rPr>
      </w:pPr>
      <w:r>
        <w:rPr>
          <w:rFonts w:hint="eastAsia" w:ascii="仿宋_GB2312" w:hAnsi="Times New Roman" w:eastAsia="仿宋_GB2312" w:cs="仿宋"/>
          <w:b/>
          <w:sz w:val="28"/>
          <w:szCs w:val="28"/>
        </w:rPr>
        <w:t>（一）“三公”经费财政拨款支出决算总体情况说明</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“三公”经费财政拨款支出预算为9.8万元，支出决算为5.41万元，完成预算的55.2%，其中：</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因公出国（境）费支出预算为0万元，支出决算为0万元，完成预算的0%。</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公务接待费支出预算为9.8万元，支出决算为5.41万元，完成预算的55.2%，决算数小于预算数的主要原因是严格</w:t>
      </w:r>
      <w:r>
        <w:rPr>
          <w:rFonts w:ascii="仿宋_GB2312" w:hAnsi="Times New Roman" w:eastAsia="仿宋_GB2312" w:cs="仿宋"/>
          <w:sz w:val="28"/>
          <w:szCs w:val="28"/>
        </w:rPr>
        <w:t>厉行节约</w:t>
      </w:r>
      <w:r>
        <w:rPr>
          <w:rFonts w:hint="eastAsia" w:ascii="仿宋_GB2312" w:hAnsi="Times New Roman" w:eastAsia="仿宋_GB2312" w:cs="仿宋"/>
          <w:sz w:val="28"/>
          <w:szCs w:val="28"/>
        </w:rPr>
        <w:t>，严控公务接待，</w:t>
      </w:r>
      <w:r>
        <w:rPr>
          <w:rFonts w:ascii="仿宋_GB2312" w:hAnsi="Times New Roman" w:eastAsia="仿宋_GB2312" w:cs="仿宋"/>
          <w:sz w:val="28"/>
          <w:szCs w:val="28"/>
        </w:rPr>
        <w:t>严控“三公”经费开支</w:t>
      </w:r>
      <w:r>
        <w:rPr>
          <w:rFonts w:hint="eastAsia" w:ascii="仿宋_GB2312" w:hAnsi="Times New Roman" w:eastAsia="仿宋_GB2312" w:cs="仿宋"/>
          <w:sz w:val="28"/>
          <w:szCs w:val="28"/>
        </w:rPr>
        <w:t>，与上年相比减少0.2万元，减少3.5%,减少的主要原因是严控公务接待。</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公务用车购置费及运行维护费支出预算为0万元，支出决算为0万元，完成预算的0%。</w:t>
      </w:r>
    </w:p>
    <w:p>
      <w:pPr>
        <w:pStyle w:val="9"/>
        <w:ind w:firstLine="560" w:firstLineChars="200"/>
        <w:rPr>
          <w:rFonts w:ascii="仿宋_GB2312" w:hAnsi="Times New Roman" w:eastAsia="仿宋_GB2312" w:cs="仿宋"/>
          <w:b/>
          <w:sz w:val="28"/>
          <w:szCs w:val="28"/>
        </w:rPr>
      </w:pPr>
      <w:r>
        <w:rPr>
          <w:rFonts w:hint="eastAsia" w:ascii="仿宋_GB2312" w:hAnsi="Times New Roman" w:eastAsia="仿宋_GB2312" w:cs="仿宋"/>
          <w:b/>
          <w:sz w:val="28"/>
          <w:szCs w:val="28"/>
        </w:rPr>
        <w:t>（二）“三公”经费财政拨款支出决算具体情况说明</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2020年度“三公”经费财政拨款支出决算中，公务接待费支出决算5.41万元，占100%,因公出国（境）费支出决算0万元，占0%,公务用车购置费及运行维护费支出决算0万元，占0%。其中：</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1、因公出国（境）费支出决算为0万元，全年安排因公出国（境）团组0个，累计0人次,开支内容包括：无。</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2、公务接待费支出决算为5.41万元，全年共接待批次135次、接待人数1082人次，主要是与省市、乡镇之间工作联系发生的接待支出。</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3、公务用车购置费及运行维护费支出决算为0万元，其中：公务用车购置费0万元，更新公务用车0辆0。公务用车运行维护费0万元，</w:t>
      </w:r>
      <w:r>
        <w:rPr>
          <w:rFonts w:hint="eastAsia" w:ascii="仿宋_GB2312" w:hAnsi="Times New Roman" w:eastAsia="仿宋_GB2312" w:cs="仿宋"/>
          <w:sz w:val="28"/>
          <w:szCs w:val="28"/>
          <w:lang w:eastAsia="zh-CN"/>
        </w:rPr>
        <w:t>无</w:t>
      </w:r>
      <w:r>
        <w:rPr>
          <w:rFonts w:hint="eastAsia" w:ascii="仿宋_GB2312" w:hAnsi="Times New Roman" w:eastAsia="仿宋_GB2312" w:cs="仿宋"/>
          <w:sz w:val="28"/>
          <w:szCs w:val="28"/>
        </w:rPr>
        <w:t>支出，截止2020年12月31日，我单位开支财政拨款的公务用车保有量为0辆。</w:t>
      </w:r>
    </w:p>
    <w:p>
      <w:pPr>
        <w:pStyle w:val="9"/>
        <w:rPr>
          <w:rFonts w:hAnsi="黑体"/>
          <w:b/>
          <w:sz w:val="32"/>
          <w:szCs w:val="32"/>
        </w:rPr>
      </w:pPr>
      <w:r>
        <w:rPr>
          <w:rFonts w:hint="eastAsia" w:hAnsi="黑体"/>
          <w:b/>
          <w:sz w:val="28"/>
          <w:szCs w:val="28"/>
        </w:rPr>
        <w:t>八、政府性基金预算收入支出决算情况</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2020年度本单位无政府性基金收支。</w:t>
      </w:r>
    </w:p>
    <w:p>
      <w:pPr>
        <w:pStyle w:val="9"/>
        <w:rPr>
          <w:rFonts w:hAnsi="黑体"/>
          <w:b/>
          <w:sz w:val="28"/>
          <w:szCs w:val="28"/>
        </w:rPr>
      </w:pPr>
      <w:r>
        <w:rPr>
          <w:rFonts w:hint="eastAsia" w:hAnsi="黑体"/>
          <w:b/>
          <w:sz w:val="28"/>
          <w:szCs w:val="28"/>
        </w:rPr>
        <w:t>九、关于机关运行经费支出说明</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本部门2020年度机关运行经费支出40.49万元，比上年决算数减少4.8 万元，降低10.6%。主要原因是：机构改革,人员转隶减少，导致公用经费支出降低。</w:t>
      </w:r>
    </w:p>
    <w:p>
      <w:pPr>
        <w:pStyle w:val="9"/>
        <w:rPr>
          <w:rFonts w:hAnsi="黑体"/>
          <w:b/>
          <w:sz w:val="28"/>
          <w:szCs w:val="28"/>
        </w:rPr>
      </w:pPr>
      <w:r>
        <w:rPr>
          <w:rFonts w:hint="eastAsia" w:hAnsi="黑体"/>
          <w:b/>
          <w:sz w:val="28"/>
          <w:szCs w:val="28"/>
        </w:rPr>
        <w:t>十、一般性支出情况</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2020年本部门开支会议费3.96万元，用于召开农业生产社会化服务项目和宅基地改革和管理工作会议，人数260人，内容为工作部署、业务指导、工作推进等；开支培训费10万元，用于开展财政支农政策及村级财务管理业务培训，人数700人，内容为惠农政策学习、村级财务业务学习和村居廉政教育等</w:t>
      </w:r>
      <w:r>
        <w:rPr>
          <w:rFonts w:hint="eastAsia" w:ascii="仿宋_GB2312" w:hAnsi="Times New Roman" w:eastAsia="仿宋_GB2312" w:cs="仿宋"/>
          <w:sz w:val="28"/>
          <w:szCs w:val="28"/>
          <w:lang w:eastAsia="zh-CN"/>
        </w:rPr>
        <w:t>；</w:t>
      </w:r>
      <w:r>
        <w:rPr>
          <w:rFonts w:hint="eastAsia" w:ascii="仿宋_GB2312" w:hAnsi="Times New Roman" w:eastAsia="仿宋_GB2312" w:cs="仿宋"/>
          <w:sz w:val="28"/>
          <w:szCs w:val="28"/>
        </w:rPr>
        <w:t>无节庆、晚会、论坛、赛事活动，开支。</w:t>
      </w:r>
    </w:p>
    <w:p>
      <w:pPr>
        <w:pStyle w:val="9"/>
        <w:rPr>
          <w:rFonts w:hAnsi="黑体"/>
          <w:b/>
          <w:sz w:val="28"/>
          <w:szCs w:val="28"/>
        </w:rPr>
      </w:pPr>
      <w:r>
        <w:rPr>
          <w:rFonts w:hint="eastAsia" w:hAnsi="黑体"/>
          <w:b/>
          <w:sz w:val="28"/>
          <w:szCs w:val="28"/>
        </w:rPr>
        <w:t>十一、关于政府采购支出说明</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本部门2020年度政府采购支出总额0万元，其中：政府采购货物支出0 万元、政府采购工程支出0万元、政府采购服务支出0万元。授予中小企业合同金额0万元，占政府采购支出总额的0%，其中：授予小微企业合同金额0万元，占政府采购支出总额的0%。</w:t>
      </w:r>
    </w:p>
    <w:p>
      <w:pPr>
        <w:pStyle w:val="9"/>
        <w:rPr>
          <w:rFonts w:hAnsi="黑体"/>
          <w:b/>
          <w:sz w:val="28"/>
          <w:szCs w:val="28"/>
        </w:rPr>
      </w:pPr>
      <w:r>
        <w:rPr>
          <w:rFonts w:hint="eastAsia" w:hAnsi="黑体"/>
          <w:b/>
          <w:sz w:val="28"/>
          <w:szCs w:val="28"/>
        </w:rPr>
        <w:t>十二、关于国有资产占用情况说明</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截至2020年12月31日，本单位共有车辆0辆，其中，主要领导干部用车0辆，机要通信用车0辆、应急保障用车0辆、执法执勤用车0辆、特种专业技术用车0辆、其他用车0辆；单位价值50万元以上通用设备0台（套）；单位价值100万元以上专用设备1台（套）。</w:t>
      </w:r>
    </w:p>
    <w:p>
      <w:pPr>
        <w:pStyle w:val="9"/>
        <w:rPr>
          <w:rFonts w:hAnsi="黑体"/>
          <w:b/>
          <w:sz w:val="28"/>
          <w:szCs w:val="28"/>
        </w:rPr>
      </w:pPr>
      <w:r>
        <w:rPr>
          <w:rFonts w:hint="eastAsia" w:hAnsi="黑体"/>
          <w:b/>
          <w:sz w:val="28"/>
          <w:szCs w:val="28"/>
        </w:rPr>
        <w:t>十三、关于2020年度预算绩效情况的说明</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根据《预算法》、《中共中央国务院关于全面实施预算绩效管理的意见》（中发[2018]34号）、《中共湖南省委办公厅湖南省人民政府办公厅关于全面实施预算绩效管理的意见》（湘办发[2019]10号）、《财政部关于印发&lt;财政支出绩效评价管理暂行办法&gt;的通知》（财预[2011]285号）等文件的要求，为进一步规范财政资金管理，强化绩效和责任意识，切实提高财政资金使用效益，我单位对2020年度部门整体支出、单位项目支出、重点（专项）项目支出进行了绩效自评，本部门所有支出实行绩效目标管理，全部纳入2021年部门整体支出绩效目标，金额为1607.95万元，其中，基本支出207.5万元、单位项目支出1400.45万元，无重点（专项）项目支出，具体详见本单位整体支出绩效评价自评报告。</w:t>
      </w:r>
    </w:p>
    <w:p>
      <w:pPr>
        <w:pStyle w:val="9"/>
        <w:ind w:firstLine="560" w:firstLineChars="200"/>
        <w:rPr>
          <w:rFonts w:ascii="仿宋_GB2312" w:hAnsi="Times New Roman" w:eastAsia="仿宋_GB2312" w:cs="仿宋"/>
          <w:sz w:val="28"/>
          <w:szCs w:val="28"/>
        </w:rPr>
      </w:pPr>
      <w:r>
        <w:rPr>
          <w:rFonts w:hint="eastAsia" w:ascii="仿宋_GB2312" w:hAnsi="Times New Roman" w:eastAsia="仿宋_GB2312" w:cs="仿宋"/>
          <w:sz w:val="28"/>
          <w:szCs w:val="28"/>
        </w:rPr>
        <w:t>部门整体支出绩效自评得分97分，评价等级为“优”；</w:t>
      </w:r>
    </w:p>
    <w:p>
      <w:pPr>
        <w:pStyle w:val="9"/>
        <w:ind w:firstLine="560" w:firstLineChars="200"/>
        <w:rPr>
          <w:sz w:val="72"/>
          <w:szCs w:val="72"/>
        </w:rPr>
      </w:pPr>
      <w:r>
        <w:rPr>
          <w:rFonts w:hint="eastAsia" w:ascii="仿宋_GB2312" w:hAnsi="Times New Roman" w:eastAsia="仿宋_GB2312" w:cs="仿宋"/>
          <w:sz w:val="28"/>
          <w:szCs w:val="28"/>
        </w:rPr>
        <w:t>已按县财政局统一要求随同部门决算作为附件公开。</w:t>
      </w:r>
    </w:p>
    <w:p>
      <w:pPr>
        <w:widowControl/>
        <w:jc w:val="left"/>
        <w:rPr>
          <w:rFonts w:ascii="黑体" w:eastAsia="黑体" w:cs="黑体"/>
          <w:color w:val="000000"/>
          <w:kern w:val="0"/>
          <w:sz w:val="72"/>
          <w:szCs w:val="72"/>
        </w:rPr>
      </w:pPr>
      <w:r>
        <w:rPr>
          <w:sz w:val="72"/>
          <w:szCs w:val="7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2"/>
          <w:szCs w:val="72"/>
        </w:rPr>
      </w:pPr>
    </w:p>
    <w:p>
      <w:pPr>
        <w:jc w:val="center"/>
        <w:rPr>
          <w:rFonts w:ascii="黑体" w:eastAsia="黑体" w:cs="黑体"/>
          <w:color w:val="000000"/>
          <w:kern w:val="0"/>
          <w:sz w:val="72"/>
          <w:szCs w:val="72"/>
        </w:rPr>
      </w:pPr>
      <w:r>
        <w:rPr>
          <w:rFonts w:hint="eastAsia" w:ascii="黑体" w:eastAsia="黑体" w:cs="黑体"/>
          <w:color w:val="000000"/>
          <w:kern w:val="0"/>
          <w:sz w:val="72"/>
          <w:szCs w:val="72"/>
        </w:rPr>
        <w:t>名词解释</w:t>
      </w:r>
    </w:p>
    <w:p>
      <w:pPr>
        <w:widowControl/>
        <w:jc w:val="left"/>
        <w:rPr>
          <w:rFonts w:ascii="黑体" w:eastAsia="黑体" w:cs="黑体"/>
          <w:color w:val="000000"/>
          <w:kern w:val="0"/>
          <w:sz w:val="72"/>
          <w:szCs w:val="72"/>
        </w:rPr>
      </w:pPr>
      <w:r>
        <w:rPr>
          <w:rFonts w:ascii="黑体" w:eastAsia="黑体" w:cs="黑体"/>
          <w:color w:val="000000"/>
          <w:kern w:val="0"/>
          <w:sz w:val="72"/>
          <w:szCs w:val="72"/>
        </w:rPr>
        <w:br w:type="page"/>
      </w:r>
    </w:p>
    <w:p>
      <w:pPr>
        <w:ind w:firstLine="560" w:firstLineChars="200"/>
        <w:jc w:val="left"/>
        <w:rPr>
          <w:rFonts w:cs="黑体" w:asciiTheme="minorEastAsia" w:hAnsiTheme="minorEastAsia"/>
          <w:color w:val="000000"/>
          <w:kern w:val="0"/>
          <w:sz w:val="28"/>
          <w:szCs w:val="28"/>
        </w:rPr>
      </w:pPr>
    </w:p>
    <w:p>
      <w:pPr>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一、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ind w:firstLine="560" w:firstLineChars="200"/>
        <w:jc w:val="left"/>
        <w:rPr>
          <w:rFonts w:cs="黑体" w:asciiTheme="minorEastAsia" w:hAnsiTheme="minorEastAsia"/>
          <w:color w:val="000000"/>
          <w:kern w:val="0"/>
          <w:sz w:val="28"/>
          <w:szCs w:val="28"/>
        </w:rPr>
      </w:pPr>
      <w:r>
        <w:rPr>
          <w:rFonts w:hint="eastAsia" w:ascii="仿宋" w:hAnsi="仿宋" w:eastAsia="仿宋" w:cs="仿宋"/>
          <w:color w:val="000000"/>
          <w:kern w:val="0"/>
          <w:sz w:val="28"/>
          <w:szCs w:val="28"/>
        </w:rPr>
        <w:t>二、“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jc w:val="left"/>
        <w:rPr>
          <w:rFonts w:eastAsia="黑体" w:cs="黑体" w:asciiTheme="minorEastAsia" w:hAnsiTheme="minorEastAsia"/>
          <w:color w:val="000000"/>
          <w:kern w:val="0"/>
          <w:sz w:val="28"/>
          <w:szCs w:val="28"/>
        </w:rPr>
      </w:pPr>
    </w:p>
    <w:p>
      <w:pPr>
        <w:widowControl/>
        <w:jc w:val="left"/>
        <w:rPr>
          <w:rFonts w:ascii="黑体" w:eastAsia="黑体" w:cs="黑体"/>
          <w:color w:val="000000"/>
          <w:kern w:val="0"/>
          <w:sz w:val="28"/>
          <w:szCs w:val="28"/>
        </w:rPr>
      </w:pPr>
      <w:r>
        <w:rPr>
          <w:sz w:val="28"/>
          <w:szCs w:val="28"/>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2"/>
          <w:szCs w:val="72"/>
        </w:rPr>
      </w:pPr>
    </w:p>
    <w:p>
      <w:pPr>
        <w:jc w:val="center"/>
        <w:rPr>
          <w:rFonts w:ascii="黑体" w:eastAsia="黑体" w:cs="黑体"/>
          <w:color w:val="000000"/>
          <w:kern w:val="0"/>
          <w:sz w:val="72"/>
          <w:szCs w:val="72"/>
        </w:rPr>
      </w:pPr>
      <w:r>
        <w:rPr>
          <w:rFonts w:hint="eastAsia" w:ascii="黑体" w:eastAsia="黑体" w:cs="黑体"/>
          <w:color w:val="000000"/>
          <w:kern w:val="0"/>
          <w:sz w:val="72"/>
          <w:szCs w:val="72"/>
        </w:rPr>
        <w:t>附件</w:t>
      </w:r>
    </w:p>
    <w:p>
      <w:pPr>
        <w:jc w:val="center"/>
        <w:rPr>
          <w:rFonts w:ascii="黑体" w:eastAsia="黑体" w:cs="黑体"/>
          <w:color w:val="000000"/>
          <w:kern w:val="0"/>
          <w:sz w:val="72"/>
          <w:szCs w:val="72"/>
        </w:rPr>
      </w:pPr>
    </w:p>
    <w:p>
      <w:pPr>
        <w:jc w:val="center"/>
        <w:rPr>
          <w:rFonts w:ascii="黑体" w:eastAsia="黑体" w:cs="黑体"/>
          <w:color w:val="000000"/>
          <w:kern w:val="0"/>
          <w:sz w:val="52"/>
          <w:szCs w:val="52"/>
        </w:rPr>
      </w:pPr>
    </w:p>
    <w:p>
      <w:pPr>
        <w:widowControl/>
        <w:jc w:val="left"/>
        <w:rPr>
          <w:rFonts w:ascii="黑体" w:eastAsia="黑体" w:cs="黑体"/>
          <w:color w:val="000000"/>
          <w:kern w:val="0"/>
          <w:sz w:val="72"/>
          <w:szCs w:val="7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2YTkyNWMwZGE1ZDRmMDI5NzE1YTA3ZTcxNTU1NGMifQ=="/>
  </w:docVars>
  <w:rsids>
    <w:rsidRoot w:val="004506F9"/>
    <w:rsid w:val="0002229B"/>
    <w:rsid w:val="000273BD"/>
    <w:rsid w:val="000415B7"/>
    <w:rsid w:val="00041E3F"/>
    <w:rsid w:val="00055DAA"/>
    <w:rsid w:val="00061F7B"/>
    <w:rsid w:val="000658A3"/>
    <w:rsid w:val="00074155"/>
    <w:rsid w:val="00096DCC"/>
    <w:rsid w:val="000A3F69"/>
    <w:rsid w:val="000B46BC"/>
    <w:rsid w:val="00103957"/>
    <w:rsid w:val="00152C6D"/>
    <w:rsid w:val="00162D39"/>
    <w:rsid w:val="001678BD"/>
    <w:rsid w:val="001A67DB"/>
    <w:rsid w:val="001C3C29"/>
    <w:rsid w:val="001D51E5"/>
    <w:rsid w:val="001E080D"/>
    <w:rsid w:val="001E249D"/>
    <w:rsid w:val="001E53D0"/>
    <w:rsid w:val="001F0C3B"/>
    <w:rsid w:val="00202C82"/>
    <w:rsid w:val="00214427"/>
    <w:rsid w:val="00226CB7"/>
    <w:rsid w:val="00264552"/>
    <w:rsid w:val="00264EF9"/>
    <w:rsid w:val="002654EB"/>
    <w:rsid w:val="00265724"/>
    <w:rsid w:val="00273F7D"/>
    <w:rsid w:val="0027426B"/>
    <w:rsid w:val="002E0A30"/>
    <w:rsid w:val="002E6776"/>
    <w:rsid w:val="003130C4"/>
    <w:rsid w:val="00316C4B"/>
    <w:rsid w:val="0032192B"/>
    <w:rsid w:val="003479BD"/>
    <w:rsid w:val="0037197D"/>
    <w:rsid w:val="0037665B"/>
    <w:rsid w:val="003768D5"/>
    <w:rsid w:val="003C47E6"/>
    <w:rsid w:val="003C4FC2"/>
    <w:rsid w:val="003E48DE"/>
    <w:rsid w:val="003F550C"/>
    <w:rsid w:val="00416E61"/>
    <w:rsid w:val="0042790C"/>
    <w:rsid w:val="004506F9"/>
    <w:rsid w:val="004717A2"/>
    <w:rsid w:val="00473DF3"/>
    <w:rsid w:val="00487911"/>
    <w:rsid w:val="00491741"/>
    <w:rsid w:val="004D7199"/>
    <w:rsid w:val="00500E5F"/>
    <w:rsid w:val="005102AE"/>
    <w:rsid w:val="005122EF"/>
    <w:rsid w:val="0051441A"/>
    <w:rsid w:val="00517C33"/>
    <w:rsid w:val="00523644"/>
    <w:rsid w:val="0054069E"/>
    <w:rsid w:val="00544866"/>
    <w:rsid w:val="00564EDE"/>
    <w:rsid w:val="005767CC"/>
    <w:rsid w:val="00580BBD"/>
    <w:rsid w:val="00590D9F"/>
    <w:rsid w:val="00595D26"/>
    <w:rsid w:val="005A7348"/>
    <w:rsid w:val="005A74E6"/>
    <w:rsid w:val="005B404E"/>
    <w:rsid w:val="005D4D55"/>
    <w:rsid w:val="005E1CCA"/>
    <w:rsid w:val="005E2CFB"/>
    <w:rsid w:val="005E72FD"/>
    <w:rsid w:val="005F3D1C"/>
    <w:rsid w:val="0062378F"/>
    <w:rsid w:val="006307D1"/>
    <w:rsid w:val="00641842"/>
    <w:rsid w:val="00651EEC"/>
    <w:rsid w:val="00690FF9"/>
    <w:rsid w:val="00691E8C"/>
    <w:rsid w:val="006A22C4"/>
    <w:rsid w:val="006A351B"/>
    <w:rsid w:val="006B0422"/>
    <w:rsid w:val="006C1B53"/>
    <w:rsid w:val="006D7730"/>
    <w:rsid w:val="006E5284"/>
    <w:rsid w:val="006F3EB5"/>
    <w:rsid w:val="00702E34"/>
    <w:rsid w:val="00704395"/>
    <w:rsid w:val="00712C91"/>
    <w:rsid w:val="007138A0"/>
    <w:rsid w:val="00717621"/>
    <w:rsid w:val="00720FF1"/>
    <w:rsid w:val="00727A53"/>
    <w:rsid w:val="00730B61"/>
    <w:rsid w:val="00761EF4"/>
    <w:rsid w:val="00787B42"/>
    <w:rsid w:val="007C4539"/>
    <w:rsid w:val="007F3657"/>
    <w:rsid w:val="00812ED5"/>
    <w:rsid w:val="00813968"/>
    <w:rsid w:val="008277D9"/>
    <w:rsid w:val="00843C2D"/>
    <w:rsid w:val="0084478C"/>
    <w:rsid w:val="0086638C"/>
    <w:rsid w:val="008A002A"/>
    <w:rsid w:val="008A3E8D"/>
    <w:rsid w:val="00900237"/>
    <w:rsid w:val="009237C4"/>
    <w:rsid w:val="00935899"/>
    <w:rsid w:val="00944C48"/>
    <w:rsid w:val="00950252"/>
    <w:rsid w:val="00967F5D"/>
    <w:rsid w:val="009A0F95"/>
    <w:rsid w:val="009B3ADF"/>
    <w:rsid w:val="009C3B52"/>
    <w:rsid w:val="009C7D83"/>
    <w:rsid w:val="009E6817"/>
    <w:rsid w:val="009E6E9A"/>
    <w:rsid w:val="009F3C45"/>
    <w:rsid w:val="00A01D2B"/>
    <w:rsid w:val="00A42218"/>
    <w:rsid w:val="00A70249"/>
    <w:rsid w:val="00A70B02"/>
    <w:rsid w:val="00A71D9F"/>
    <w:rsid w:val="00A759F2"/>
    <w:rsid w:val="00A92E9F"/>
    <w:rsid w:val="00A95C93"/>
    <w:rsid w:val="00AB0986"/>
    <w:rsid w:val="00AC1D6F"/>
    <w:rsid w:val="00AF2642"/>
    <w:rsid w:val="00B33BEA"/>
    <w:rsid w:val="00B5437B"/>
    <w:rsid w:val="00B57C9F"/>
    <w:rsid w:val="00B60778"/>
    <w:rsid w:val="00B63572"/>
    <w:rsid w:val="00B845B3"/>
    <w:rsid w:val="00B85D8B"/>
    <w:rsid w:val="00BB4A40"/>
    <w:rsid w:val="00BD6C3E"/>
    <w:rsid w:val="00BE3674"/>
    <w:rsid w:val="00C10681"/>
    <w:rsid w:val="00C25F6E"/>
    <w:rsid w:val="00C3049A"/>
    <w:rsid w:val="00C31B1E"/>
    <w:rsid w:val="00C657FD"/>
    <w:rsid w:val="00C67C90"/>
    <w:rsid w:val="00C70382"/>
    <w:rsid w:val="00C77645"/>
    <w:rsid w:val="00C94996"/>
    <w:rsid w:val="00CC5D5E"/>
    <w:rsid w:val="00CE04C3"/>
    <w:rsid w:val="00CE76A0"/>
    <w:rsid w:val="00D148C6"/>
    <w:rsid w:val="00D17A8A"/>
    <w:rsid w:val="00D415BA"/>
    <w:rsid w:val="00D644EE"/>
    <w:rsid w:val="00DA2E08"/>
    <w:rsid w:val="00DD06FF"/>
    <w:rsid w:val="00DD4594"/>
    <w:rsid w:val="00DD5FE9"/>
    <w:rsid w:val="00E00C7A"/>
    <w:rsid w:val="00E156BA"/>
    <w:rsid w:val="00E37D6C"/>
    <w:rsid w:val="00E55B68"/>
    <w:rsid w:val="00E67BE6"/>
    <w:rsid w:val="00E8683C"/>
    <w:rsid w:val="00EA2B72"/>
    <w:rsid w:val="00EC3D76"/>
    <w:rsid w:val="00EF4D4C"/>
    <w:rsid w:val="00F05E51"/>
    <w:rsid w:val="00F74360"/>
    <w:rsid w:val="00F84A2C"/>
    <w:rsid w:val="00FB3E93"/>
    <w:rsid w:val="00FB462F"/>
    <w:rsid w:val="00FE16FA"/>
    <w:rsid w:val="00FE328A"/>
    <w:rsid w:val="00FE4B99"/>
    <w:rsid w:val="00FE6269"/>
    <w:rsid w:val="1BE44F8B"/>
    <w:rsid w:val="2ECC5F2E"/>
    <w:rsid w:val="315C21EA"/>
    <w:rsid w:val="35A661A1"/>
    <w:rsid w:val="65754F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10">
    <w:name w:val="列出段落1"/>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3968</Words>
  <Characters>4362</Characters>
  <Lines>31</Lines>
  <Paragraphs>9</Paragraphs>
  <TotalTime>1</TotalTime>
  <ScaleCrop>false</ScaleCrop>
  <LinksUpToDate>false</LinksUpToDate>
  <CharactersWithSpaces>4364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2022-08-25T08:30:00Z</dcterms:created>
  <dc:creator>李航 null</dc:creator>
  <cp:lastModifiedBy>Administrator</cp:lastModifiedBy>
  <cp:lastPrinted>2021-07-28T08:12:00Z</cp:lastPrinted>
  <dcterms:modified xsi:type="dcterms:W3CDTF">2022-08-27T08:16:38Z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431B874DA57B4667B130529894EA6D94</vt:lpwstr>
  </property>
</Properties>
</file>