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2020年度</w:t>
      </w:r>
    </w:p>
    <w:p>
      <w:pPr>
        <w:pStyle w:val="9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岳阳县农业电视广播学校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决算</w:t>
      </w: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spacing w:line="500" w:lineRule="exact"/>
        <w:jc w:val="both"/>
        <w:rPr>
          <w:b/>
          <w:sz w:val="36"/>
          <w:szCs w:val="28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9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</w:t>
      </w:r>
      <w:r>
        <w:rPr>
          <w:rFonts w:hint="eastAsia"/>
          <w:b/>
          <w:sz w:val="28"/>
          <w:szCs w:val="28"/>
          <w:lang w:eastAsia="zh-CN"/>
        </w:rPr>
        <w:t>农广校</w:t>
      </w:r>
      <w:r>
        <w:rPr>
          <w:rFonts w:hint="eastAsia"/>
          <w:b/>
          <w:sz w:val="28"/>
          <w:szCs w:val="28"/>
        </w:rPr>
        <w:t>单位概况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</w:p>
    <w:p>
      <w:pPr>
        <w:pStyle w:val="9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20年度部门决算表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9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20年度部门决算情况说明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七、一般公共预算财政拨款三公经费支出决算情况说明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关于机关运行经费支出说明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十、一般性支出情况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十一、关于政府采购支出说明</w:t>
      </w:r>
    </w:p>
    <w:p>
      <w:pPr>
        <w:pStyle w:val="9"/>
        <w:spacing w:line="50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十二、关于国有资产占用情况说明</w:t>
      </w:r>
    </w:p>
    <w:p>
      <w:pPr>
        <w:pStyle w:val="9"/>
        <w:spacing w:line="50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十三、关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于2020年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度预算绩效情况的说明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第四部分名词解释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第五部分附件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农广校</w:t>
      </w:r>
      <w:r>
        <w:rPr>
          <w:rFonts w:hint="eastAsia"/>
          <w:sz w:val="84"/>
          <w:szCs w:val="84"/>
        </w:rPr>
        <w:t>单位概况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960" w:firstLineChars="3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岳阳县农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业广播电视学校贯彻落实中央农业广播电视学校、湖南省农业广播电视学校办学政策和农民教育培训理念。</w:t>
      </w:r>
      <w:r>
        <w:rPr>
          <w:rFonts w:hint="eastAsia" w:ascii="仿宋" w:hAnsi="仿宋" w:eastAsia="仿宋" w:cs="仿宋"/>
          <w:sz w:val="32"/>
          <w:szCs w:val="32"/>
        </w:rPr>
        <w:t>主要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职能</w:t>
      </w:r>
      <w:r>
        <w:rPr>
          <w:rFonts w:hint="eastAsia" w:ascii="仿宋" w:hAnsi="仿宋" w:eastAsia="仿宋" w:cs="仿宋"/>
          <w:sz w:val="32"/>
          <w:szCs w:val="32"/>
        </w:rPr>
        <w:t>职责是</w:t>
      </w:r>
      <w:r>
        <w:rPr>
          <w:rFonts w:ascii="仿宋" w:hAnsi="仿宋" w:eastAsia="仿宋" w:cs="仿宋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 承担农村实用技术培训，农民素质教育，农村劳动力就业技能培训，农科教结合组织实施，农民教育培训等工作。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 承担远距离农业成人高等教育和中等职业教育工作。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 承担组织实施农民体育健身活动，承担农民体育协会工作。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 承担县农业农村局交办的其他工作。</w:t>
      </w: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widowControl/>
        <w:spacing w:before="100" w:beforeAutospacing="1" w:after="100" w:afterAutospacing="1" w:line="390" w:lineRule="atLeast"/>
        <w:ind w:firstLine="645"/>
        <w:jc w:val="left"/>
        <w:rPr>
          <w:rFonts w:hint="eastAsia"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（一）内设机构设置。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岳阳县农业广播电视学校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为岳阳县农业农村局</w:t>
      </w:r>
      <w:r>
        <w:rPr>
          <w:rFonts w:hint="eastAsia" w:ascii="仿宋" w:hAnsi="仿宋" w:eastAsia="仿宋" w:cs="仿宋"/>
          <w:sz w:val="32"/>
          <w:szCs w:val="32"/>
        </w:rPr>
        <w:t>所属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公益一</w:t>
      </w:r>
      <w:r>
        <w:rPr>
          <w:rFonts w:hint="eastAsia" w:ascii="仿宋" w:hAnsi="仿宋" w:eastAsia="仿宋" w:cs="仿宋"/>
          <w:sz w:val="32"/>
          <w:szCs w:val="32"/>
        </w:rPr>
        <w:t>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财政全额拨款</w:t>
      </w:r>
      <w:r>
        <w:rPr>
          <w:rFonts w:hint="eastAsia" w:ascii="仿宋" w:hAnsi="仿宋" w:eastAsia="仿宋" w:cs="仿宋"/>
          <w:sz w:val="32"/>
          <w:szCs w:val="32"/>
        </w:rPr>
        <w:t>副科级事业单位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，财务独立核算。编制数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人，本部门在编在岗职工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人，退休3人。内设有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个股室：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eastAsia="zh-CN"/>
        </w:rPr>
        <w:t>教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务股、财务股、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eastAsia="zh-CN"/>
        </w:rPr>
        <w:t>综合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股。</w:t>
      </w:r>
    </w:p>
    <w:p>
      <w:pPr>
        <w:widowControl/>
        <w:spacing w:line="600" w:lineRule="exact"/>
        <w:rPr>
          <w:rFonts w:hint="eastAsia" w:asciiTheme="minorEastAsia" w:hAnsiTheme="minorEastAsia" w:eastAsiaTheme="minorEastAsia"/>
          <w:bCs/>
          <w:kern w:val="0"/>
          <w:sz w:val="32"/>
          <w:szCs w:val="32"/>
          <w:lang w:eastAsia="zh-CN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（二）决算单位构成。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农广校</w:t>
      </w:r>
      <w:r>
        <w:rPr>
          <w:rFonts w:asciiTheme="minorEastAsia" w:hAnsiTheme="minorEastAsia"/>
          <w:bCs/>
          <w:kern w:val="0"/>
          <w:sz w:val="32"/>
          <w:szCs w:val="32"/>
        </w:rPr>
        <w:t>20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20年部门决算汇总公开单位构成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为本级</w:t>
      </w: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（详见附表）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sz w:val="32"/>
          <w:szCs w:val="32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9"/>
        <w:jc w:val="center"/>
        <w:rPr>
          <w:sz w:val="70"/>
          <w:szCs w:val="70"/>
        </w:rPr>
      </w:pPr>
    </w:p>
    <w:p>
      <w:pPr>
        <w:pStyle w:val="9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20年度部门决算情况说明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9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9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2020年度收入总计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152.09</w:t>
      </w:r>
      <w:r>
        <w:rPr>
          <w:rFonts w:hint="eastAsia" w:ascii="宋体" w:hAnsi="宋体" w:eastAsia="宋体"/>
          <w:sz w:val="32"/>
          <w:szCs w:val="32"/>
        </w:rPr>
        <w:t>万元</w:t>
      </w:r>
      <w:r>
        <w:rPr>
          <w:rFonts w:hint="eastAsia" w:ascii="宋体" w:hAnsi="宋体" w:eastAsia="宋体"/>
          <w:sz w:val="32"/>
          <w:szCs w:val="32"/>
          <w:highlight w:val="none"/>
        </w:rPr>
        <w:t>（含年初结转和结余资金</w:t>
      </w:r>
      <w:r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  <w:t>11.39</w:t>
      </w:r>
      <w:r>
        <w:rPr>
          <w:rFonts w:hint="eastAsia" w:ascii="宋体" w:hAnsi="宋体" w:eastAsia="宋体"/>
          <w:sz w:val="32"/>
          <w:szCs w:val="32"/>
          <w:highlight w:val="none"/>
        </w:rPr>
        <w:t>万元），与上年相比，增长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0.29</w:t>
      </w:r>
      <w:r>
        <w:rPr>
          <w:rFonts w:hint="eastAsia" w:ascii="宋体" w:hAnsi="宋体" w:eastAsia="宋体"/>
          <w:sz w:val="32"/>
          <w:szCs w:val="32"/>
          <w:highlight w:val="none"/>
        </w:rPr>
        <w:t>万元，增长</w:t>
      </w:r>
      <w:r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  <w:t>0.2</w:t>
      </w:r>
      <w:r>
        <w:rPr>
          <w:rFonts w:hint="eastAsia" w:ascii="宋体" w:hAnsi="宋体" w:eastAsia="宋体"/>
          <w:sz w:val="32"/>
          <w:szCs w:val="32"/>
          <w:highlight w:val="none"/>
        </w:rPr>
        <w:t>%，主要是因为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基本工资略有上调和培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训业务加大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pStyle w:val="9"/>
        <w:ind w:firstLine="640" w:firstLineChars="200"/>
        <w:rPr>
          <w:rFonts w:hint="eastAsia" w:eastAsia="宋体" w:asciiTheme="minorEastAsia" w:hAnsiTheme="minorEastAsia"/>
          <w:sz w:val="32"/>
          <w:szCs w:val="32"/>
          <w:lang w:eastAsia="zh-CN"/>
        </w:rPr>
      </w:pPr>
      <w:r>
        <w:rPr>
          <w:rFonts w:hint="eastAsia" w:ascii="宋体" w:hAnsi="宋体" w:eastAsia="宋体"/>
          <w:sz w:val="32"/>
          <w:szCs w:val="32"/>
        </w:rPr>
        <w:t>2020年度支出总计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152.09</w:t>
      </w:r>
      <w:r>
        <w:rPr>
          <w:rFonts w:hint="eastAsia" w:ascii="宋体" w:hAnsi="宋体" w:eastAsia="宋体"/>
          <w:sz w:val="32"/>
          <w:szCs w:val="32"/>
        </w:rPr>
        <w:t>万元</w:t>
      </w:r>
      <w:r>
        <w:rPr>
          <w:rFonts w:hint="eastAsia" w:ascii="宋体" w:hAnsi="宋体" w:eastAsia="宋体"/>
          <w:sz w:val="32"/>
          <w:szCs w:val="32"/>
          <w:highlight w:val="none"/>
        </w:rPr>
        <w:t>（含年末结转和结余资金</w:t>
      </w:r>
      <w:r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  <w:t>5.38</w:t>
      </w:r>
      <w:r>
        <w:rPr>
          <w:rFonts w:hint="eastAsia" w:ascii="宋体" w:hAnsi="宋体" w:eastAsia="宋体"/>
          <w:sz w:val="32"/>
          <w:szCs w:val="32"/>
          <w:highlight w:val="none"/>
        </w:rPr>
        <w:t>万元），与上年相比，增长</w:t>
      </w:r>
      <w:r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  <w:t>0.29</w:t>
      </w:r>
      <w:r>
        <w:rPr>
          <w:rFonts w:hint="eastAsia" w:ascii="宋体" w:hAnsi="宋体" w:eastAsia="宋体"/>
          <w:sz w:val="32"/>
          <w:szCs w:val="32"/>
          <w:highlight w:val="none"/>
        </w:rPr>
        <w:t>万元，增长</w:t>
      </w:r>
      <w:r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  <w:t>0.22</w:t>
      </w:r>
      <w:r>
        <w:rPr>
          <w:rFonts w:hint="eastAsia" w:ascii="宋体" w:hAnsi="宋体" w:eastAsia="宋体"/>
          <w:sz w:val="32"/>
          <w:szCs w:val="32"/>
          <w:highlight w:val="none"/>
        </w:rPr>
        <w:t>%，主要是因为</w:t>
      </w:r>
      <w:r>
        <w:rPr>
          <w:rFonts w:hint="eastAsia" w:ascii="宋体" w:hAnsi="宋体" w:eastAsia="宋体"/>
          <w:sz w:val="32"/>
          <w:szCs w:val="32"/>
          <w:highlight w:val="none"/>
          <w:lang w:eastAsia="zh-CN"/>
        </w:rPr>
        <w:t>培训费用的增加。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本年收入合计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140.7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90.7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64</w:t>
      </w:r>
      <w:r>
        <w:rPr>
          <w:rFonts w:hint="eastAsia" w:asciiTheme="minorEastAsia" w:hAnsiTheme="minorEastAsia" w:eastAsiaTheme="minorEastAsia"/>
          <w:sz w:val="32"/>
          <w:szCs w:val="32"/>
        </w:rPr>
        <w:t>%；上级补助收入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万元；事业收入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万元，；经营收入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万元；附属单位上缴收入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万元；其他收入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36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本年支出合计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146.71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146.71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%；上缴上级支出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%；对附属单位补助支出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9"/>
        <w:ind w:firstLine="64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2020年度财政拨款收入合计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90.7</w:t>
      </w:r>
      <w:r>
        <w:rPr>
          <w:rFonts w:hint="eastAsia" w:ascii="宋体" w:hAnsi="宋体" w:eastAsia="宋体"/>
          <w:sz w:val="32"/>
          <w:szCs w:val="32"/>
        </w:rPr>
        <w:t>万元（不含年初财政拨款结转和结余资金），与上年相比，增加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1.1</w:t>
      </w:r>
      <w:r>
        <w:rPr>
          <w:rFonts w:hint="eastAsia" w:ascii="宋体" w:hAnsi="宋体" w:eastAsia="宋体"/>
          <w:sz w:val="32"/>
          <w:szCs w:val="32"/>
        </w:rPr>
        <w:t>万元,增长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eastAsia="zh-CN"/>
        </w:rPr>
        <w:t>人员工资微调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eastAsia="仿宋_GB2312"/>
          <w:kern w:val="0"/>
          <w:sz w:val="32"/>
          <w:szCs w:val="32"/>
          <w:lang w:val="en-US"/>
        </w:rPr>
      </w:pPr>
      <w:r>
        <w:rPr>
          <w:rFonts w:hint="eastAsia" w:ascii="宋体" w:hAnsi="宋体" w:eastAsia="宋体"/>
          <w:sz w:val="32"/>
          <w:szCs w:val="32"/>
        </w:rPr>
        <w:t>2020年度财政拨款支出合计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102.09</w:t>
      </w:r>
      <w:r>
        <w:rPr>
          <w:rFonts w:hint="eastAsia" w:ascii="宋体" w:hAnsi="宋体" w:eastAsia="宋体"/>
          <w:sz w:val="32"/>
          <w:szCs w:val="32"/>
        </w:rPr>
        <w:t>万元（不含年末财政拨款结转和结余资金），与上年相比，减少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8.2</w:t>
      </w:r>
      <w:r>
        <w:rPr>
          <w:rFonts w:hint="eastAsia" w:ascii="宋体" w:hAnsi="宋体" w:eastAsia="宋体"/>
          <w:sz w:val="32"/>
          <w:szCs w:val="32"/>
        </w:rPr>
        <w:t>万元,减少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2018的培训经费放在2019年年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初结算，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加大了2019年的决算数，而2020年没有结转上年的培育费用开支。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widowControl/>
        <w:spacing w:line="600" w:lineRule="exact"/>
        <w:rPr>
          <w:rFonts w:hint="default" w:eastAsia="仿宋_GB2312"/>
          <w:kern w:val="0"/>
          <w:sz w:val="32"/>
          <w:szCs w:val="32"/>
          <w:lang w:val="en-US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2020年度财政拨款支出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102.09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67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8.2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2018的培训经费放在2019年年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初结算，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加大了2019年的决算数，而2020年没有结转上年的培育费用开支。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9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102.09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万元，主要用于以下方面：一般公共服务（类）支出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102.09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%；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94.10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102.09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108.49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农林水支出-农业-行业业务管理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64.10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73.80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115.13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功能科目调整，培训项目的增多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农林水支出-农业-科技转换与推广服务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28.29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94.3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小</w:t>
      </w:r>
      <w:r>
        <w:rPr>
          <w:rFonts w:hint="eastAsia" w:asciiTheme="minorEastAsia" w:hAnsiTheme="minorEastAsia" w:eastAsiaTheme="minorEastAsia"/>
          <w:sz w:val="32"/>
          <w:szCs w:val="32"/>
        </w:rPr>
        <w:t>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功能科目调整。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102.09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61.51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60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%,主要包括基本工资、津贴补贴、奖金、伙食补助费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等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40.58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40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邮电</w:t>
      </w:r>
      <w:r>
        <w:rPr>
          <w:rFonts w:hint="eastAsia" w:asciiTheme="minorEastAsia" w:hAnsiTheme="minorEastAsia" w:eastAsiaTheme="minorEastAsia"/>
          <w:sz w:val="32"/>
          <w:szCs w:val="32"/>
        </w:rPr>
        <w:t>费、咨询费、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工会经</w:t>
      </w:r>
      <w:r>
        <w:rPr>
          <w:rFonts w:hint="eastAsia" w:asciiTheme="minorEastAsia" w:hAnsiTheme="minorEastAsia" w:eastAsiaTheme="minorEastAsia"/>
          <w:sz w:val="32"/>
          <w:szCs w:val="32"/>
        </w:rPr>
        <w:t>费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、培训费等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七、一般公共预算财政拨款三公经费支出决算情况说明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1.3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2.09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83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1.3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0.89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68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%，决算数小于预算数的主要原因是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厉行节约公务接待开支减少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0.5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35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公务用车购置费及运行维护费支出预算为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1.2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因规范取数口径，年度决算将公务平台调车费计入</w:t>
      </w:r>
      <w:r>
        <w:rPr>
          <w:rFonts w:hint="eastAsia" w:asciiTheme="minorEastAsia" w:hAnsiTheme="minorEastAsia" w:eastAsiaTheme="minorEastAsia"/>
          <w:sz w:val="32"/>
          <w:szCs w:val="32"/>
        </w:rPr>
        <w:t>公务用车购置费及运行维护费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  <w:r>
        <w:rPr>
          <w:rFonts w:hint="eastAsia" w:asciiTheme="minorEastAsia" w:hAnsiTheme="minorEastAsia" w:eastAsiaTheme="minorEastAsia"/>
          <w:sz w:val="32"/>
          <w:szCs w:val="32"/>
        </w:rPr>
        <w:t>与上年相比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1.2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规范取数口径，年度决算将公务平台调车费计入</w:t>
      </w:r>
      <w:r>
        <w:rPr>
          <w:rFonts w:hint="eastAsia" w:asciiTheme="minorEastAsia" w:hAnsiTheme="minorEastAsia" w:eastAsiaTheme="minorEastAsia"/>
          <w:sz w:val="32"/>
          <w:szCs w:val="32"/>
        </w:rPr>
        <w:t>公务用车购置费及运行维护费。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0.89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0.08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1.2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万元，全年安排因公出国（境）团组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个，累计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0.89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26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160</w:t>
      </w:r>
      <w:r>
        <w:rPr>
          <w:rFonts w:hint="eastAsia" w:asciiTheme="minorEastAsia" w:hAnsiTheme="minorEastAsia" w:eastAsiaTheme="minorEastAsia"/>
          <w:sz w:val="32"/>
          <w:szCs w:val="32"/>
        </w:rPr>
        <w:t>人次，主要是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联系培训业务</w:t>
      </w:r>
      <w:r>
        <w:rPr>
          <w:rFonts w:hint="eastAsia" w:asciiTheme="minorEastAsia" w:hAnsiTheme="minorEastAsia" w:eastAsiaTheme="minorEastAsia"/>
          <w:sz w:val="32"/>
          <w:szCs w:val="32"/>
        </w:rPr>
        <w:t>发生的接待支出。</w:t>
      </w:r>
    </w:p>
    <w:p>
      <w:pPr>
        <w:ind w:firstLine="800" w:firstLineChars="25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1.2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万元，单位本级更新公务用车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辆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1.2</w:t>
      </w:r>
      <w:r>
        <w:rPr>
          <w:rFonts w:hint="eastAsia" w:asciiTheme="minorEastAsia" w:hAnsiTheme="minorEastAsia"/>
          <w:sz w:val="32"/>
          <w:szCs w:val="32"/>
        </w:rPr>
        <w:t>万元，主要是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全年下乡招生培训，省、市级业务联系</w:t>
      </w:r>
      <w:r>
        <w:rPr>
          <w:rFonts w:hint="eastAsia" w:asciiTheme="minorEastAsia" w:hAnsiTheme="minorEastAsia"/>
          <w:sz w:val="32"/>
          <w:szCs w:val="32"/>
        </w:rPr>
        <w:t>支出，截止2020年12月31日，我单位开支财政拨款的公务用车保有量为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9"/>
        <w:rPr>
          <w:rFonts w:asciiTheme="minorEastAsia" w:hAnsiTheme="minorEastAsia" w:eastAsiaTheme="minorEastAsia"/>
          <w:iCs/>
          <w:color w:val="FF0000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本单位无政府性基金预算收入支出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九、关于机关运行经费支出说明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本部门2020年度机关运行经费支出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40.58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万元，比年初预算数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33.7</w:t>
      </w:r>
      <w:r>
        <w:rPr>
          <w:rFonts w:hint="eastAsia" w:asciiTheme="minorEastAsia" w:hAnsiTheme="minorEastAsia" w:eastAsiaTheme="minorEastAsia"/>
          <w:sz w:val="32"/>
          <w:szCs w:val="32"/>
        </w:rPr>
        <w:t>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6.87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培训项目的增多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十、一般性支出情况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2020年本部门开支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办公</w:t>
      </w:r>
      <w:r>
        <w:rPr>
          <w:rFonts w:hint="eastAsia" w:asciiTheme="minorEastAsia" w:hAnsiTheme="minorEastAsia" w:eastAsiaTheme="minorEastAsia"/>
          <w:sz w:val="32"/>
          <w:szCs w:val="32"/>
        </w:rPr>
        <w:t>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1.2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购买日常所需的办公用品</w:t>
      </w:r>
      <w:r>
        <w:rPr>
          <w:rFonts w:hint="eastAsia" w:asciiTheme="minorEastAsia" w:hAnsiTheme="minorEastAsia" w:eastAsiaTheme="minorEastAsia"/>
          <w:sz w:val="32"/>
          <w:szCs w:val="32"/>
        </w:rPr>
        <w:t>；开支培训费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万元，用于开展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各类</w:t>
      </w:r>
      <w:r>
        <w:rPr>
          <w:rFonts w:hint="eastAsia" w:asciiTheme="minorEastAsia" w:hAnsiTheme="minorEastAsia" w:eastAsiaTheme="minorEastAsia"/>
          <w:sz w:val="32"/>
          <w:szCs w:val="32"/>
        </w:rPr>
        <w:t>培训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班</w:t>
      </w:r>
      <w:r>
        <w:rPr>
          <w:rFonts w:hint="eastAsia" w:asciiTheme="minorEastAsia" w:hAnsiTheme="minorEastAsia" w:eastAsiaTheme="minorEastAsia"/>
          <w:sz w:val="32"/>
          <w:szCs w:val="32"/>
        </w:rPr>
        <w:t>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700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高素质农民培训、劳动技能培训、农民短期培训、农广助农培训等</w:t>
      </w:r>
      <w:r>
        <w:rPr>
          <w:rFonts w:hint="eastAsia" w:asciiTheme="minorEastAsia" w:hAnsiTheme="minorEastAsia" w:eastAsiaTheme="minorEastAsia"/>
          <w:sz w:val="32"/>
          <w:szCs w:val="32"/>
        </w:rPr>
        <w:t>；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差旅费0.18万元，主要用于本单位干部去省农广校参加培训；邮电费2.07万元，主要用于单位全年的宽带业务和财务内网费；工会经2.13万元主要用于发放单位职工工会福利，劳务费0.5万元用于支付老师授课费用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其他商品和服务支出0.41万元用于单位其他零星支出。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十一、关于政府采购支出说明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color w:val="FF0000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本部门2020年度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无</w:t>
      </w:r>
      <w:r>
        <w:rPr>
          <w:rFonts w:hint="eastAsia" w:asciiTheme="minorEastAsia" w:hAnsiTheme="minorEastAsia" w:eastAsiaTheme="minorEastAsia"/>
          <w:sz w:val="32"/>
          <w:szCs w:val="32"/>
        </w:rPr>
        <w:t>政府采购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，政府采购</w:t>
      </w:r>
      <w:r>
        <w:rPr>
          <w:rFonts w:hint="eastAsia" w:asciiTheme="minorEastAsia" w:hAnsiTheme="minorEastAsia" w:eastAsiaTheme="minorEastAsia"/>
          <w:sz w:val="32"/>
          <w:szCs w:val="32"/>
        </w:rPr>
        <w:t>支出总额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万元、政府采购工程支出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万元、政府采购服务支出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%，其中：授予小微企业合同金额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十二、关于国有资产占用情况说明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截至2020年12月31日，本单位共有车辆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辆，其中，主要领导干部用车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辆，机要通信用车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辆、应急保障用车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辆、执法执勤用车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辆、特种专业技术用车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辆、其他用车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辆，其他用车主要是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十三、关于2020年度预算绩效情况的说明</w:t>
      </w:r>
    </w:p>
    <w:p>
      <w:pPr>
        <w:pStyle w:val="9"/>
        <w:ind w:firstLine="640" w:firstLineChars="200"/>
        <w:rPr>
          <w:rFonts w:ascii="宋体" w:hAnsi="宋体" w:eastAsia="宋体"/>
          <w:sz w:val="32"/>
          <w:szCs w:val="32"/>
          <w:highlight w:val="none"/>
        </w:rPr>
      </w:pPr>
      <w:r>
        <w:rPr>
          <w:rFonts w:hint="eastAsia" w:ascii="宋体" w:hAnsi="宋体" w:eastAsia="宋体"/>
          <w:sz w:val="32"/>
          <w:szCs w:val="32"/>
        </w:rPr>
        <w:t>根据</w:t>
      </w:r>
      <w:r>
        <w:rPr>
          <w:rFonts w:hint="eastAsia" w:ascii="宋体" w:hAnsi="宋体" w:eastAsia="宋体"/>
          <w:sz w:val="32"/>
          <w:szCs w:val="32"/>
          <w:lang w:eastAsia="zh-CN"/>
        </w:rPr>
        <w:t>上级</w:t>
      </w:r>
      <w:r>
        <w:rPr>
          <w:rFonts w:hint="eastAsia" w:ascii="宋体" w:hAnsi="宋体" w:eastAsia="宋体"/>
          <w:sz w:val="32"/>
          <w:szCs w:val="32"/>
        </w:rPr>
        <w:t>文件的要求，为进一步规范财政资金管理，强化绩效和责任意识，切实提高财政资金使用效益，我单位对</w:t>
      </w:r>
      <w:r>
        <w:rPr>
          <w:rFonts w:hint="eastAsia" w:ascii="宋体" w:hAnsi="宋体" w:eastAsia="宋体"/>
          <w:sz w:val="32"/>
          <w:szCs w:val="32"/>
          <w:highlight w:val="none"/>
        </w:rPr>
        <w:t>2020年度部门整体支出、单位项目支出、重点（专项）项目支出进行了绩效自评。</w:t>
      </w:r>
    </w:p>
    <w:p>
      <w:pPr>
        <w:pStyle w:val="9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highlight w:val="none"/>
        </w:rPr>
        <w:t>部门整体支出绩效自评得分</w:t>
      </w:r>
      <w:r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  <w:t>95分</w:t>
      </w:r>
      <w:r>
        <w:rPr>
          <w:rFonts w:hint="eastAsia" w:ascii="宋体" w:hAnsi="宋体" w:eastAsia="宋体"/>
          <w:sz w:val="32"/>
          <w:szCs w:val="32"/>
          <w:highlight w:val="none"/>
        </w:rPr>
        <w:t>，评价等级为</w:t>
      </w:r>
      <w:r>
        <w:rPr>
          <w:rFonts w:hint="eastAsia" w:ascii="宋体" w:hAnsi="宋体" w:eastAsia="宋体"/>
          <w:sz w:val="32"/>
          <w:szCs w:val="32"/>
        </w:rPr>
        <w:t>“</w:t>
      </w:r>
      <w:r>
        <w:rPr>
          <w:rFonts w:hint="eastAsia" w:ascii="宋体" w:hAnsi="宋体" w:eastAsia="宋体"/>
          <w:sz w:val="32"/>
          <w:szCs w:val="32"/>
          <w:lang w:eastAsia="zh-CN"/>
        </w:rPr>
        <w:t>优秀</w:t>
      </w:r>
      <w:r>
        <w:rPr>
          <w:rFonts w:hint="eastAsia" w:ascii="宋体" w:hAnsi="宋体" w:eastAsia="宋体"/>
          <w:sz w:val="32"/>
          <w:szCs w:val="32"/>
        </w:rPr>
        <w:t>”；</w:t>
      </w:r>
    </w:p>
    <w:p>
      <w:pPr>
        <w:pStyle w:val="9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eastAsia="zh-CN"/>
        </w:rPr>
        <w:t>无</w:t>
      </w:r>
      <w:r>
        <w:rPr>
          <w:rFonts w:hint="eastAsia" w:ascii="宋体" w:hAnsi="宋体" w:eastAsia="宋体"/>
          <w:sz w:val="32"/>
          <w:szCs w:val="32"/>
        </w:rPr>
        <w:t>项目支出绩效自评；</w:t>
      </w:r>
    </w:p>
    <w:p>
      <w:pPr>
        <w:pStyle w:val="9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eastAsia="zh-CN"/>
        </w:rPr>
        <w:t>无</w:t>
      </w:r>
      <w:r>
        <w:rPr>
          <w:rFonts w:hint="eastAsia" w:ascii="宋体" w:hAnsi="宋体" w:eastAsia="宋体"/>
          <w:sz w:val="32"/>
          <w:szCs w:val="32"/>
        </w:rPr>
        <w:t>重点（专项）项目支出绩效自评。</w:t>
      </w:r>
    </w:p>
    <w:p>
      <w:pPr>
        <w:pStyle w:val="9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已按</w:t>
      </w:r>
      <w:bookmarkStart w:id="0" w:name="_GoBack"/>
      <w:r>
        <w:rPr>
          <w:rFonts w:hint="eastAsia" w:ascii="宋体" w:hAnsi="宋体" w:eastAsia="宋体"/>
          <w:sz w:val="32"/>
          <w:szCs w:val="32"/>
          <w:highlight w:val="none"/>
        </w:rPr>
        <w:t>县财政局</w:t>
      </w:r>
      <w:bookmarkEnd w:id="0"/>
      <w:r>
        <w:rPr>
          <w:rFonts w:hint="eastAsia" w:ascii="宋体" w:hAnsi="宋体" w:eastAsia="宋体"/>
          <w:sz w:val="32"/>
          <w:szCs w:val="32"/>
        </w:rPr>
        <w:t>统一要求</w:t>
      </w:r>
      <w:r>
        <w:rPr>
          <w:rFonts w:hint="eastAsia" w:asciiTheme="minorEastAsia" w:hAnsiTheme="minorEastAsia" w:eastAsiaTheme="minorEastAsia"/>
          <w:sz w:val="32"/>
          <w:szCs w:val="32"/>
        </w:rPr>
        <w:t>随同部门决算作为附件</w:t>
      </w:r>
      <w:r>
        <w:rPr>
          <w:rFonts w:hint="eastAsia" w:ascii="宋体" w:hAnsi="宋体" w:eastAsia="宋体"/>
          <w:sz w:val="32"/>
          <w:szCs w:val="32"/>
        </w:rPr>
        <w:t>公开。</w:t>
      </w:r>
    </w:p>
    <w:p>
      <w:pPr>
        <w:pStyle w:val="9"/>
        <w:ind w:firstLine="640" w:firstLineChars="200"/>
        <w:rPr>
          <w:rFonts w:ascii="宋体" w:hAnsi="宋体" w:eastAsia="宋体"/>
          <w:sz w:val="32"/>
          <w:szCs w:val="32"/>
        </w:rPr>
      </w:pPr>
    </w:p>
    <w:p>
      <w:pPr>
        <w:pStyle w:val="9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9"/>
        <w:rPr>
          <w:rFonts w:hAnsi="黑体"/>
          <w:b/>
          <w:sz w:val="32"/>
          <w:szCs w:val="3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三、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</w:t>
      </w:r>
    </w:p>
    <w:p>
      <w:pPr>
        <w:pStyle w:val="9"/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………</w:t>
      </w:r>
    </w:p>
    <w:p>
      <w:pPr>
        <w:widowControl/>
        <w:jc w:val="left"/>
        <w:rPr>
          <w:rFonts w:eastAsia="黑体" w:cs="黑体" w:asciiTheme="minorEastAsia" w:hAnsiTheme="minorEastAsia"/>
          <w:color w:val="000000"/>
          <w:kern w:val="0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（名词解释应包含本部门专有名词，如省财政厅应有对“财政事务”科目的解释）</w:t>
      </w: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ind w:firstLine="640" w:firstLineChars="200"/>
        <w:jc w:val="center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2020年度部门整体支出绩效评价报告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………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OTgxYmNlOTg4NDA4ZTk4YjUyZTRjMWY2M2UyYmEifQ=="/>
  </w:docVars>
  <w:rsids>
    <w:rsidRoot w:val="004506F9"/>
    <w:rsid w:val="0002229B"/>
    <w:rsid w:val="000273BD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500E5F"/>
    <w:rsid w:val="005122EF"/>
    <w:rsid w:val="0051441A"/>
    <w:rsid w:val="00517C33"/>
    <w:rsid w:val="00523644"/>
    <w:rsid w:val="0054069E"/>
    <w:rsid w:val="00544866"/>
    <w:rsid w:val="00564EDE"/>
    <w:rsid w:val="005767CC"/>
    <w:rsid w:val="00590D9F"/>
    <w:rsid w:val="00595D26"/>
    <w:rsid w:val="005A74E6"/>
    <w:rsid w:val="005B404E"/>
    <w:rsid w:val="005D4D55"/>
    <w:rsid w:val="005E2CFB"/>
    <w:rsid w:val="005F3D1C"/>
    <w:rsid w:val="0062378F"/>
    <w:rsid w:val="00641842"/>
    <w:rsid w:val="00651EEC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67C90"/>
    <w:rsid w:val="00C77645"/>
    <w:rsid w:val="00CC5D5E"/>
    <w:rsid w:val="00CE04C3"/>
    <w:rsid w:val="00CE76A0"/>
    <w:rsid w:val="00D148C6"/>
    <w:rsid w:val="00D17A8A"/>
    <w:rsid w:val="00D415BA"/>
    <w:rsid w:val="00D644EE"/>
    <w:rsid w:val="00DD06FF"/>
    <w:rsid w:val="00DD5FE9"/>
    <w:rsid w:val="00E00C7A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13D50C28"/>
    <w:rsid w:val="1BD6442F"/>
    <w:rsid w:val="20031865"/>
    <w:rsid w:val="40942D79"/>
    <w:rsid w:val="65754FEF"/>
    <w:rsid w:val="77A92C7B"/>
    <w:rsid w:val="78BB29D5"/>
    <w:rsid w:val="79FF19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3207</Words>
  <Characters>3546</Characters>
  <Lines>64</Lines>
  <Paragraphs>18</Paragraphs>
  <TotalTime>1</TotalTime>
  <ScaleCrop>false</ScaleCrop>
  <LinksUpToDate>false</LinksUpToDate>
  <CharactersWithSpaces>3561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2022-08-25T08:30:00Z</dcterms:created>
  <dc:creator>李航 null</dc:creator>
  <cp:lastModifiedBy>三一.</cp:lastModifiedBy>
  <cp:lastPrinted>2021-07-28T08:12:00Z</cp:lastPrinted>
  <dcterms:modified xsi:type="dcterms:W3CDTF">2022-08-27T13:59:48Z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C8CAAF53A0D847E3988EADF90C82FA64</vt:lpwstr>
  </property>
</Properties>
</file>