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jc w:val="center"/>
        <w:rPr>
          <w:rFonts w:eastAsia="方正小标宋简体"/>
          <w:bCs/>
          <w:sz w:val="42"/>
          <w:szCs w:val="42"/>
        </w:rPr>
      </w:pP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岳阳县</w:t>
      </w:r>
      <w:r>
        <w:rPr>
          <w:rFonts w:eastAsia="方正小标宋简体"/>
          <w:bCs/>
          <w:sz w:val="46"/>
          <w:szCs w:val="46"/>
        </w:rPr>
        <w:t>20</w:t>
      </w:r>
      <w:r>
        <w:rPr>
          <w:rFonts w:hint="eastAsia" w:eastAsia="方正小标宋简体"/>
          <w:bCs/>
          <w:sz w:val="46"/>
          <w:szCs w:val="46"/>
          <w:u w:val="single"/>
        </w:rPr>
        <w:t>20</w:t>
      </w:r>
      <w:r>
        <w:rPr>
          <w:rFonts w:hint="eastAsia" w:eastAsia="方正小标宋简体"/>
          <w:bCs/>
          <w:sz w:val="46"/>
          <w:szCs w:val="46"/>
        </w:rPr>
        <w:t>年度部门整体支出</w:t>
      </w: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</w:t>
      </w:r>
      <w:r>
        <w:rPr>
          <w:rFonts w:eastAsia="仿宋_GB2312"/>
          <w:sz w:val="32"/>
          <w:szCs w:val="32"/>
        </w:rPr>
        <w:t>(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)</w:t>
      </w:r>
      <w:r>
        <w:rPr>
          <w:rFonts w:hint="eastAsia" w:eastAsia="仿宋_GB2312"/>
          <w:sz w:val="32"/>
          <w:szCs w:val="32"/>
        </w:rPr>
        <w:t>名称：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eastAsia="zh-CN"/>
        </w:rPr>
        <w:t>岳阳县农业广播电视学校</w:t>
      </w:r>
      <w:r>
        <w:rPr>
          <w:rFonts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beforeLines="50" w:line="348" w:lineRule="auto"/>
        <w:ind w:firstLine="476" w:firstLineChars="150"/>
        <w:rPr>
          <w:rFonts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eastAsia="仿宋_GB2312"/>
          <w:spacing w:val="30"/>
          <w:sz w:val="32"/>
          <w:szCs w:val="32"/>
        </w:rPr>
        <w:t xml:space="preserve"> </w:t>
      </w:r>
      <w:r>
        <w:rPr>
          <w:rFonts w:hint="eastAsia" w:eastAsia="仿宋_GB2312"/>
          <w:spacing w:val="30"/>
          <w:sz w:val="32"/>
          <w:szCs w:val="32"/>
        </w:rPr>
        <w:t>算</w:t>
      </w:r>
      <w:r>
        <w:rPr>
          <w:rFonts w:eastAsia="仿宋_GB2312"/>
          <w:spacing w:val="30"/>
          <w:sz w:val="32"/>
          <w:szCs w:val="32"/>
        </w:rPr>
        <w:t xml:space="preserve"> </w:t>
      </w:r>
      <w:r>
        <w:rPr>
          <w:rFonts w:hint="eastAsia" w:eastAsia="仿宋_GB2312"/>
          <w:spacing w:val="30"/>
          <w:sz w:val="32"/>
          <w:szCs w:val="32"/>
        </w:rPr>
        <w:t>编</w:t>
      </w:r>
      <w:r>
        <w:rPr>
          <w:rFonts w:eastAsia="仿宋_GB2312"/>
          <w:spacing w:val="30"/>
          <w:sz w:val="32"/>
          <w:szCs w:val="32"/>
        </w:rPr>
        <w:t xml:space="preserve"> </w:t>
      </w:r>
      <w:r>
        <w:rPr>
          <w:rFonts w:hint="eastAsia" w:eastAsia="仿宋_GB2312"/>
          <w:spacing w:val="30"/>
          <w:sz w:val="32"/>
          <w:szCs w:val="32"/>
        </w:rPr>
        <w:t>码：</w:t>
      </w:r>
      <w:r>
        <w:rPr>
          <w:rFonts w:eastAsia="仿宋_GB2312"/>
          <w:spacing w:val="20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419004</w:t>
      </w:r>
      <w:r>
        <w:rPr>
          <w:rFonts w:eastAsia="仿宋_GB2312"/>
          <w:spacing w:val="20"/>
          <w:sz w:val="32"/>
          <w:szCs w:val="32"/>
          <w:u w:val="single"/>
        </w:rPr>
        <w:t xml:space="preserve">                        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>
      <w:pPr>
        <w:spacing w:beforeLines="50" w:line="348" w:lineRule="auto"/>
        <w:ind w:firstLine="476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评价机构：部门（单位）评价组</w:t>
      </w:r>
      <w:r>
        <w:rPr>
          <w:rFonts w:eastAsia="仿宋_GB2312"/>
          <w:sz w:val="32"/>
          <w:szCs w:val="32"/>
        </w:rPr>
        <w:t xml:space="preserve">   </w:t>
      </w: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720" w:lineRule="exact"/>
        <w:ind w:firstLine="2188" w:firstLineChars="690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  <w:lang w:val="en-US" w:eastAsia="zh-CN"/>
        </w:rPr>
        <w:t>2021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年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  <w:lang w:val="en-US" w:eastAsia="zh-CN"/>
        </w:rPr>
        <w:t>08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月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  <w:lang w:val="en-US" w:eastAsia="zh-CN"/>
        </w:rPr>
        <w:t>27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日</w:t>
      </w:r>
    </w:p>
    <w:p>
      <w:pPr>
        <w:autoSpaceDN w:val="0"/>
        <w:jc w:val="center"/>
        <w:textAlignment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</w:rPr>
        <w:t>岳阳县财政</w:t>
      </w:r>
      <w:r>
        <w:rPr>
          <w:rFonts w:hint="eastAsia" w:eastAsia="仿宋_GB2312"/>
          <w:sz w:val="32"/>
          <w:szCs w:val="32"/>
        </w:rPr>
        <w:t>局（制）</w:t>
      </w:r>
    </w:p>
    <w:p>
      <w:pPr>
        <w:widowControl/>
        <w:jc w:val="left"/>
        <w:rPr>
          <w:rFonts w:eastAsia="仿宋_GB2312"/>
          <w:sz w:val="32"/>
          <w:szCs w:val="32"/>
        </w:rPr>
        <w:sectPr>
          <w:pgSz w:w="11906" w:h="16838"/>
          <w:pgMar w:top="1588" w:right="1588" w:bottom="1588" w:left="1588" w:header="851" w:footer="992" w:gutter="0"/>
          <w:pgNumType w:start="1"/>
          <w:cols w:space="720" w:num="1"/>
          <w:docGrid w:type="linesAndChars" w:linePitch="602" w:charSpace="-782"/>
        </w:sectPr>
      </w:pPr>
    </w:p>
    <w:tbl>
      <w:tblPr>
        <w:tblStyle w:val="7"/>
        <w:tblW w:w="9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808"/>
        <w:gridCol w:w="1479"/>
        <w:gridCol w:w="226"/>
        <w:gridCol w:w="196"/>
        <w:gridCol w:w="259"/>
        <w:gridCol w:w="1080"/>
        <w:gridCol w:w="265"/>
        <w:gridCol w:w="139"/>
        <w:gridCol w:w="316"/>
        <w:gridCol w:w="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一、部门（单位）基本概况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35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付文和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联络电话</w:t>
            </w:r>
          </w:p>
        </w:tc>
        <w:tc>
          <w:tcPr>
            <w:tcW w:w="3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13807402998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人员编制</w:t>
            </w:r>
          </w:p>
        </w:tc>
        <w:tc>
          <w:tcPr>
            <w:tcW w:w="35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实有人数</w:t>
            </w:r>
          </w:p>
        </w:tc>
        <w:tc>
          <w:tcPr>
            <w:tcW w:w="3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职能职责概述</w:t>
            </w:r>
          </w:p>
        </w:tc>
        <w:tc>
          <w:tcPr>
            <w:tcW w:w="81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负责远距离农业成人大专教育，农村实用技术培训，绿色证书培训，组织实施移民培训，劳动培训，扶贫培训，新型职业农民培育工作，组织开展全县农民体育健身活动。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年度主要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工作内容</w:t>
            </w:r>
          </w:p>
        </w:tc>
        <w:tc>
          <w:tcPr>
            <w:tcW w:w="81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任务1：全年预算申请到位和下达数量在95%以上，三公经费变动率≤0；</w:t>
            </w:r>
          </w:p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任务2：大力开展各种农民实用技术培训和新型职业农民的培育工作；</w:t>
            </w:r>
          </w:p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任务3：为我县的新农村建设和现代农业发展提供强有力的人才支撑。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1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36"/>
                <w:sz w:val="24"/>
                <w:szCs w:val="24"/>
              </w:rPr>
              <w:t>我们对整个财政资金支出情况和工作成果进行了认真分析，部门整体支出达到了预期工作成果，实现了预期工作目标，通过部门整体评价，特别是</w:t>
            </w:r>
            <w:r>
              <w:rPr>
                <w:rFonts w:hint="eastAsia" w:ascii="仿宋" w:hAnsi="仿宋" w:eastAsia="仿宋" w:cs="仿宋"/>
                <w:color w:val="000000"/>
                <w:kern w:val="36"/>
                <w:sz w:val="24"/>
                <w:szCs w:val="24"/>
                <w:lang w:eastAsia="zh-CN"/>
              </w:rPr>
              <w:t>培训</w:t>
            </w:r>
            <w:r>
              <w:rPr>
                <w:rFonts w:hint="eastAsia" w:ascii="仿宋" w:hAnsi="仿宋" w:eastAsia="仿宋" w:cs="仿宋"/>
                <w:color w:val="000000"/>
                <w:kern w:val="36"/>
                <w:sz w:val="24"/>
                <w:szCs w:val="24"/>
              </w:rPr>
              <w:t>项目的实施，既提高了</w:t>
            </w:r>
            <w:r>
              <w:rPr>
                <w:rFonts w:hint="eastAsia" w:ascii="仿宋" w:hAnsi="仿宋" w:eastAsia="仿宋" w:cs="仿宋"/>
                <w:color w:val="000000"/>
                <w:kern w:val="36"/>
                <w:sz w:val="24"/>
                <w:szCs w:val="24"/>
                <w:lang w:eastAsia="zh-CN"/>
              </w:rPr>
              <w:t>农民职业技能，又提高了农民的素质教育</w:t>
            </w:r>
            <w:r>
              <w:rPr>
                <w:rFonts w:hint="eastAsia" w:ascii="仿宋" w:hAnsi="仿宋" w:eastAsia="仿宋" w:cs="仿宋"/>
                <w:color w:val="000000"/>
                <w:kern w:val="36"/>
                <w:sz w:val="24"/>
                <w:szCs w:val="24"/>
              </w:rPr>
              <w:t>，为我县的新农村建设和现代农业发展提供强有力的人才支撑。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二、部门（单位）收支情况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收入合计</w:t>
            </w:r>
          </w:p>
        </w:tc>
        <w:tc>
          <w:tcPr>
            <w:tcW w:w="702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上年结转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公共财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政拨款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152.09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11.39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90.7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农广校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152.09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11.39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90.7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支出合计</w:t>
            </w:r>
          </w:p>
        </w:tc>
        <w:tc>
          <w:tcPr>
            <w:tcW w:w="5675" w:type="dxa"/>
            <w:gridSpan w:val="9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345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项目支出</w:t>
            </w: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累计结余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人员支出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公用支出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152.09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146.72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71.99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74.72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农广校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152.09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146.72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71.99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74.72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三公经费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702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公务接待费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公务用车运维费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公务用车购置费</w:t>
            </w:r>
          </w:p>
        </w:tc>
        <w:tc>
          <w:tcPr>
            <w:tcW w:w="2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因公出国费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2.09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0.89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1.2</w:t>
            </w:r>
          </w:p>
        </w:tc>
        <w:tc>
          <w:tcPr>
            <w:tcW w:w="2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农广校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2.09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0.89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1.2</w:t>
            </w:r>
          </w:p>
        </w:tc>
        <w:tc>
          <w:tcPr>
            <w:tcW w:w="2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固定资产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4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在用固定资产</w:t>
            </w:r>
          </w:p>
        </w:tc>
        <w:tc>
          <w:tcPr>
            <w:tcW w:w="364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出租固定资产</w:t>
            </w:r>
          </w:p>
        </w:tc>
        <w:tc>
          <w:tcPr>
            <w:tcW w:w="941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41470</w:t>
            </w:r>
          </w:p>
        </w:tc>
        <w:tc>
          <w:tcPr>
            <w:tcW w:w="243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41470</w:t>
            </w:r>
          </w:p>
        </w:tc>
        <w:tc>
          <w:tcPr>
            <w:tcW w:w="364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农广校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41470</w:t>
            </w:r>
          </w:p>
        </w:tc>
        <w:tc>
          <w:tcPr>
            <w:tcW w:w="243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41470</w:t>
            </w:r>
          </w:p>
        </w:tc>
        <w:tc>
          <w:tcPr>
            <w:tcW w:w="364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三、部门（单位）整体支出绩效自评情况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预期目标</w:t>
            </w:r>
          </w:p>
        </w:tc>
        <w:tc>
          <w:tcPr>
            <w:tcW w:w="45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7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：劳动技能培训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100人</w:t>
            </w:r>
          </w:p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：农民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培育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80人</w:t>
            </w:r>
          </w:p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目标3：农广助农培训60人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目标4：短期技能培训400人</w:t>
            </w:r>
          </w:p>
        </w:tc>
        <w:tc>
          <w:tcPr>
            <w:tcW w:w="45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：劳动技能培训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100人</w:t>
            </w:r>
          </w:p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：农民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培育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80人</w:t>
            </w:r>
          </w:p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目标3：农广助农培训60人</w:t>
            </w:r>
          </w:p>
          <w:p>
            <w:pPr>
              <w:autoSpaceDN w:val="0"/>
              <w:spacing w:line="320" w:lineRule="exact"/>
              <w:jc w:val="both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目标4：短期技能培训400人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产出目标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（部门工作实绩，包含上级部门和市委市政府布置的重点工作、实事任务等，根据部门实际进行调整细化）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指标1：三公经费控制率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指标2：政府采购执行率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指标3：公务卡刷卡率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60%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指标4：固定资产利用率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指标1：财政供养人员控制率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指标2：三公经费变动率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  <w:t>≤0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3：各项培训任务完成率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各项培训资金使用率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各项培训任务完成情况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按时完成培训任务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保障全年机关正常运转和各项培训任务顺利完成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效益目标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为农业现代化提供有利支撑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效果明显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促进农民增产增收，农民素质逐步提高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效益显著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指标1：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指标2：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……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学员满意率</w:t>
            </w:r>
          </w:p>
        </w:tc>
        <w:tc>
          <w:tcPr>
            <w:tcW w:w="26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绩效自评综合得分</w:t>
            </w:r>
          </w:p>
        </w:tc>
        <w:tc>
          <w:tcPr>
            <w:tcW w:w="68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评价等次</w:t>
            </w:r>
          </w:p>
        </w:tc>
        <w:tc>
          <w:tcPr>
            <w:tcW w:w="68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3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付文和</w:t>
            </w:r>
          </w:p>
        </w:tc>
        <w:tc>
          <w:tcPr>
            <w:tcW w:w="35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校长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农广校</w:t>
            </w:r>
          </w:p>
        </w:tc>
        <w:tc>
          <w:tcPr>
            <w:tcW w:w="3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侯玲玲</w:t>
            </w:r>
          </w:p>
        </w:tc>
        <w:tc>
          <w:tcPr>
            <w:tcW w:w="35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副校长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农广校</w:t>
            </w:r>
          </w:p>
        </w:tc>
        <w:tc>
          <w:tcPr>
            <w:tcW w:w="3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方永红</w:t>
            </w:r>
          </w:p>
        </w:tc>
        <w:tc>
          <w:tcPr>
            <w:tcW w:w="35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副校长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农广校</w:t>
            </w:r>
          </w:p>
        </w:tc>
        <w:tc>
          <w:tcPr>
            <w:tcW w:w="3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部门（单位）负责人（签章）：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年    月 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eastAsia="仿宋_GB2312" w:cs="仿宋_GB2312"/>
          <w:bCs/>
          <w:sz w:val="28"/>
          <w:szCs w:val="28"/>
        </w:rPr>
        <w:t xml:space="preserve">                          </w:t>
      </w:r>
      <w:r>
        <w:rPr>
          <w:rFonts w:hint="eastAsia" w:eastAsia="仿宋_GB2312" w:cs="仿宋_GB2312"/>
          <w:bCs/>
          <w:sz w:val="28"/>
          <w:szCs w:val="28"/>
        </w:rPr>
        <w:t>联系电话：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一、部门（单位）概况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（一）部门（单位）基本情况</w:t>
            </w:r>
          </w:p>
          <w:p>
            <w:pPr>
              <w:widowControl/>
              <w:spacing w:before="100" w:beforeAutospacing="1" w:after="100" w:afterAutospacing="1" w:line="390" w:lineRule="atLeast"/>
              <w:ind w:firstLine="645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岳阳县农业广播电视学校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为岳阳县农业农村局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所属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公益一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类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财政全额拨款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副科级事业单位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，财务独立核算。编制数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人，本部门在编在岗职工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人，退休3人。内设有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个股室：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eastAsia="zh-CN"/>
              </w:rPr>
              <w:t>教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务股、财务股、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  <w:lang w:eastAsia="zh-CN"/>
              </w:rPr>
              <w:t>综合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股。</w:t>
            </w:r>
          </w:p>
          <w:p>
            <w:pPr>
              <w:numPr>
                <w:ilvl w:val="0"/>
                <w:numId w:val="2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部门（单位）整体支出规模、使用方向和主要内容、涉及范围等</w:t>
            </w:r>
          </w:p>
          <w:p>
            <w:pPr>
              <w:numPr>
                <w:ilvl w:val="0"/>
                <w:numId w:val="0"/>
              </w:numPr>
              <w:spacing w:line="560" w:lineRule="exac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2020年农业广播电视学校整体支出共计152.09万元，其中基本支出146.72万元，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5.38万元。</w:t>
            </w:r>
          </w:p>
          <w:p>
            <w:pPr>
              <w:spacing w:line="560" w:lineRule="exact"/>
              <w:ind w:firstLine="560" w:firstLineChars="200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二、部门（单位）整体支出管理及使用情况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（一）基本支出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2020年农业广播电视学校基本支出146.72万元，其中人员经费71.99万元，主要用于人员的基本工资福利支出、五险一金的缴纳；公用经费74.72万元，主要包括机关运行经费和各项培训费用的开支。公用经费中的“三公”经费合计2.09万元，其中公务接待费0.89万元，公务用车维护1.2万元，公务用车购置费0万元,因公出国0万元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（二）专项支出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无</w:t>
            </w:r>
          </w:p>
          <w:p>
            <w:pPr>
              <w:numPr>
                <w:ilvl w:val="0"/>
                <w:numId w:val="3"/>
              </w:num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部门（单位）专项组织实施情况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无</w:t>
            </w:r>
          </w:p>
          <w:p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四、部门（单位）整体支出绩效情况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（一）扎实抓好培训工作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2020年，我校圆满完成高素质农民培训80人的培训任务。我校与县局业务股室、二级机构，县畜牧水产发展服务中心、县人社局、县职业中专、县新科职校、专业合作社、农业龙头企业等联办了多个实用技术培训班共32期，共培训3600多人次；覆盖粮食、黄茶、鸽业、生猪、葡萄、金盆柚、蔬菜等特色农业产业，一定程度上促进了农民增收，农业增效。为了抓好省级田间学校示范县创建，建好培训基地，完善田间学校设施，扩大基地培训规模，已争取省级2021年农民教育专项补助计划。今年湖南“农广助农”工程岳阳县“生猪养殖”产业发展领军人才培训班9月25日-28日成功在岳阳县举办，参训66人，省农业农村厅畜牧业高级专家研究员傅胜才，湖南农大畜牧业专家教授刘敬辉为培训班授课。省市级新闻媒体作了专题报道。此外，省级农民田间学校新墙优质葡萄专业合作社农民田间学校、民心蔬菜专业合作社农民田间学校、枫树湾畜牧有限公司农民田间学校、洞庭春纯天然茶叶有限公司农民田间学校、清渠农业发展有限公司农民田间学校，这5所省级示范性农民田间学校今年共举办优质葡萄种植、生猪养殖、茶叶种植、黄茶制作、蔬菜种植、特种水产养殖等培训班13期，培训种养专业大户和农民700多人次。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（二）抓农民体协工作，开民农民健身活动。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一是岳阳县农民体育协会在农广校设立了专门办公室，并配备了体协专干；二是按照湖南省农业农村厅和湖南省体育局〔2018〕66号文件精神，进一步加强了农民体育工作，扎实抓好了农民群众的各项健身活动；三是开展了我县农民传统体育项目（如广场舞、花古戏、民间武术、篮球、乒乓球等）和新创项目的挖掘整理工作，把全县农民体育健身活动普及化、常态化、规范化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积极配合局党组工作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今年按照局党组扶贫工作统一部署，我校在筻口镇大塘村联系帮扶工作，除参加局里统一走访外，我们单独专访慰问三次，在产业扶贫上给予了一定的技术指导，在健康扶贫上给予贫困户对象适当的经济资助，并安排了贫困户房屋维修费用，解决了一定困难，得到了扶贫户的认可和好评。同时对另一户脱贫对象进行了走访和交流。</w:t>
            </w:r>
          </w:p>
          <w:p>
            <w:pPr>
              <w:numPr>
                <w:ilvl w:val="0"/>
                <w:numId w:val="3"/>
              </w:numPr>
              <w:spacing w:line="560" w:lineRule="exact"/>
              <w:ind w:left="0" w:leftChars="0"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存在的主要问题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一是招生形势严峻，办学难度加大。近年来，专本科函授教育多，由于办学单位众多，生源越来越少，招生竞争激烈，我校的优势不多、特色不明，面临着招生越来越难，生源越来越少的困境。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二是专项投入很少，办学经费紧缺。省市县每年用于改善农广校办学条件专项投入少，存在办学经费紧张、事业经费不足问题。加之农民教育培训工作量大、产业需求突出、任务艰巨、各项支出相应增大，农民教育培训工作经费短缺尤为突出，严重制约了我校的发展和农民教育培训工作的顺利开展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三是办学条件较差，教学资源不足。由于没有独立的办学场地，没有学教、食宿一体化的硬件，所以导致办学条件较差。另外聘请的专、兼职教师和土专家、田秀才覆盖面窄，目前的电教设备难以适应现代教学要求，导致电教化水平滞后，媒体资源利用率低，专业书籍存量不足，教学手段单一，在一定程度上制约了教学工作的顺利开展。</w:t>
            </w:r>
          </w:p>
          <w:bookmarkEnd w:id="0"/>
          <w:p>
            <w:pPr>
              <w:spacing w:line="560" w:lineRule="exact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</w:p>
        </w:tc>
      </w:tr>
    </w:tbl>
    <w:p>
      <w:pPr>
        <w:spacing w:line="348" w:lineRule="auto"/>
        <w:rPr>
          <w:rFonts w:eastAsia="楷体_GB2312"/>
          <w:bCs/>
          <w:sz w:val="28"/>
          <w:szCs w:val="28"/>
        </w:rPr>
      </w:pPr>
    </w:p>
    <w:p>
      <w:pPr>
        <w:spacing w:line="348" w:lineRule="auto"/>
        <w:rPr>
          <w:rFonts w:ascii="黑体" w:hAnsi="黑体" w:eastAsia="黑体" w:cs="黑体"/>
          <w:bCs/>
          <w:sz w:val="32"/>
          <w:szCs w:val="32"/>
        </w:rPr>
      </w:pPr>
      <w:r>
        <w:rPr>
          <w:rFonts w:eastAsia="楷体_GB2312"/>
          <w:bCs/>
          <w:sz w:val="28"/>
          <w:szCs w:val="28"/>
        </w:rP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附件2-2</w:t>
      </w:r>
    </w:p>
    <w:p>
      <w:pPr>
        <w:spacing w:line="348" w:lineRule="auto"/>
        <w:rPr>
          <w:rFonts w:eastAsia="黑体" w:cs="黑体"/>
          <w:bCs/>
          <w:sz w:val="32"/>
          <w:szCs w:val="32"/>
        </w:rPr>
      </w:pPr>
    </w:p>
    <w:p>
      <w:pPr>
        <w:spacing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岳阳县2020年财政项目支出绩效评价自评报告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项目完成结果评价□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eastAsia="仿宋_GB2312"/>
          <w:sz w:val="32"/>
          <w:u w:val="single"/>
        </w:rPr>
        <w:t xml:space="preserve">              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eastAsia="仿宋_GB2312"/>
          <w:sz w:val="32"/>
          <w:u w:val="single"/>
        </w:rPr>
        <w:t xml:space="preserve">              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eastAsia="仿宋_GB2312"/>
          <w:sz w:val="32"/>
          <w:u w:val="single"/>
        </w:rPr>
        <w:t xml:space="preserve">              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>部门（单位）评价组</w:t>
      </w:r>
      <w:r>
        <w:rPr>
          <w:rFonts w:eastAsia="仿宋_GB2312"/>
          <w:sz w:val="28"/>
          <w:szCs w:val="28"/>
        </w:rPr>
        <w:t xml:space="preserve">   </w:t>
      </w:r>
    </w:p>
    <w:p>
      <w:pPr>
        <w:spacing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eastAsia="仿宋_GB2312"/>
          <w:sz w:val="32"/>
        </w:rPr>
        <w:t xml:space="preserve">   </w:t>
      </w:r>
      <w:r>
        <w:rPr>
          <w:rFonts w:hint="eastAsia" w:eastAsia="仿宋_GB2312"/>
          <w:sz w:val="32"/>
        </w:rPr>
        <w:t>年</w:t>
      </w:r>
      <w:r>
        <w:rPr>
          <w:rFonts w:eastAsia="仿宋_GB2312"/>
          <w:sz w:val="32"/>
        </w:rPr>
        <w:t xml:space="preserve">   </w:t>
      </w:r>
      <w:r>
        <w:rPr>
          <w:rFonts w:hint="eastAsia" w:eastAsia="仿宋_GB2312"/>
          <w:sz w:val="32"/>
        </w:rPr>
        <w:t>月</w:t>
      </w:r>
      <w:r>
        <w:rPr>
          <w:rFonts w:eastAsia="仿宋_GB2312"/>
          <w:sz w:val="32"/>
        </w:rPr>
        <w:t xml:space="preserve">  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岳阳县财政局（制）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89"/>
        <w:gridCol w:w="602"/>
        <w:gridCol w:w="118"/>
        <w:gridCol w:w="1800"/>
        <w:gridCol w:w="22"/>
        <w:gridCol w:w="392"/>
        <w:gridCol w:w="306"/>
        <w:gridCol w:w="562"/>
        <w:gridCol w:w="785"/>
        <w:gridCol w:w="297"/>
        <w:gridCol w:w="720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目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基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本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概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编</w:t>
            </w:r>
          </w:p>
        </w:tc>
        <w:tc>
          <w:tcPr>
            <w:tcW w:w="33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90" w:firstLineChars="496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rFonts w:hint="eastAsia" w:eastAsia="仿宋_GB2312"/>
                <w:sz w:val="24"/>
              </w:rPr>
              <w:t>月起至</w:t>
            </w:r>
            <w:r>
              <w:rPr>
                <w:rFonts w:eastAsia="仿宋_GB2312"/>
                <w:sz w:val="24"/>
              </w:rPr>
              <w:t xml:space="preserve">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rFonts w:hint="eastAsia" w:eastAsia="仿宋_GB2312"/>
                <w:sz w:val="24"/>
              </w:rPr>
              <w:t>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95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0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50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职务</w:t>
            </w: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位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95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评价组组长（签字）：</w:t>
            </w:r>
            <w:r>
              <w:rPr>
                <w:rFonts w:eastAsia="仿宋_GB2312"/>
                <w:sz w:val="24"/>
              </w:rPr>
              <w:t xml:space="preserve">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95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95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</w:t>
            </w:r>
            <w:r>
              <w:rPr>
                <w:rFonts w:hint="eastAsia" w:eastAsia="仿宋_GB2312"/>
                <w:sz w:val="24"/>
              </w:rPr>
              <w:t xml:space="preserve">     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eastAsia="仿宋_GB2312" w:cs="仿宋_GB2312"/>
          <w:bCs/>
          <w:sz w:val="28"/>
          <w:szCs w:val="28"/>
        </w:rPr>
        <w:t xml:space="preserve">                          </w:t>
      </w:r>
      <w:r>
        <w:rPr>
          <w:rFonts w:hint="eastAsia" w:eastAsia="仿宋_GB2312" w:cs="仿宋_GB2312"/>
          <w:bCs/>
          <w:sz w:val="28"/>
          <w:szCs w:val="28"/>
        </w:rPr>
        <w:t>联系电话：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6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（一）项目基本概况</w:t>
            </w:r>
          </w:p>
          <w:p>
            <w:pPr>
              <w:spacing w:line="56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spacing w:line="56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（三）项目组织实施情况</w:t>
            </w:r>
          </w:p>
          <w:p>
            <w:pPr>
              <w:spacing w:line="56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spacing w:line="56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spacing w:line="56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spacing w:line="560" w:lineRule="exact"/>
              <w:ind w:firstLine="600" w:firstLineChars="2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（七）附件</w:t>
            </w: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18" w:right="1361" w:bottom="113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592331"/>
    <w:multiLevelType w:val="singleLevel"/>
    <w:tmpl w:val="BC59233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7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2">
    <w:nsid w:val="0EAF54BE"/>
    <w:multiLevelType w:val="singleLevel"/>
    <w:tmpl w:val="0EAF54B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OTgxYmNlOTg4NDA4ZTk4YjUyZTRjMWY2M2UyYmEifQ=="/>
  </w:docVars>
  <w:rsids>
    <w:rsidRoot w:val="00C854FD"/>
    <w:rsid w:val="0000241F"/>
    <w:rsid w:val="000056A6"/>
    <w:rsid w:val="00005A3B"/>
    <w:rsid w:val="0000610C"/>
    <w:rsid w:val="00014921"/>
    <w:rsid w:val="0005701C"/>
    <w:rsid w:val="00073AAF"/>
    <w:rsid w:val="00090417"/>
    <w:rsid w:val="00093B20"/>
    <w:rsid w:val="000A0E5C"/>
    <w:rsid w:val="000B4BEB"/>
    <w:rsid w:val="000B7DCB"/>
    <w:rsid w:val="00100175"/>
    <w:rsid w:val="00107CC6"/>
    <w:rsid w:val="00122C2E"/>
    <w:rsid w:val="0014350A"/>
    <w:rsid w:val="001442A2"/>
    <w:rsid w:val="00146C23"/>
    <w:rsid w:val="00151B82"/>
    <w:rsid w:val="00157862"/>
    <w:rsid w:val="00165E89"/>
    <w:rsid w:val="0017192D"/>
    <w:rsid w:val="001A21D5"/>
    <w:rsid w:val="001A709B"/>
    <w:rsid w:val="001B0CF4"/>
    <w:rsid w:val="001B1869"/>
    <w:rsid w:val="001B2F7F"/>
    <w:rsid w:val="001B4EA7"/>
    <w:rsid w:val="001C4AD7"/>
    <w:rsid w:val="001C5954"/>
    <w:rsid w:val="001E26FB"/>
    <w:rsid w:val="001F2104"/>
    <w:rsid w:val="002318F0"/>
    <w:rsid w:val="00235B3A"/>
    <w:rsid w:val="00240F9A"/>
    <w:rsid w:val="00242262"/>
    <w:rsid w:val="00253B1F"/>
    <w:rsid w:val="00254CF8"/>
    <w:rsid w:val="00255404"/>
    <w:rsid w:val="00257206"/>
    <w:rsid w:val="00292AC1"/>
    <w:rsid w:val="0029605B"/>
    <w:rsid w:val="002969D6"/>
    <w:rsid w:val="002B26F1"/>
    <w:rsid w:val="002B569D"/>
    <w:rsid w:val="002B7EF4"/>
    <w:rsid w:val="002C4D24"/>
    <w:rsid w:val="002D5840"/>
    <w:rsid w:val="00315C29"/>
    <w:rsid w:val="00321D2B"/>
    <w:rsid w:val="0033659F"/>
    <w:rsid w:val="00351AD3"/>
    <w:rsid w:val="00354479"/>
    <w:rsid w:val="00356458"/>
    <w:rsid w:val="0039290C"/>
    <w:rsid w:val="00392F62"/>
    <w:rsid w:val="00394BC2"/>
    <w:rsid w:val="003A2363"/>
    <w:rsid w:val="003A2FC5"/>
    <w:rsid w:val="003B7876"/>
    <w:rsid w:val="003E4F5E"/>
    <w:rsid w:val="004036B5"/>
    <w:rsid w:val="004222D1"/>
    <w:rsid w:val="00422E14"/>
    <w:rsid w:val="00430153"/>
    <w:rsid w:val="00432C79"/>
    <w:rsid w:val="004503BD"/>
    <w:rsid w:val="00461395"/>
    <w:rsid w:val="00477933"/>
    <w:rsid w:val="004A44EA"/>
    <w:rsid w:val="004A51DC"/>
    <w:rsid w:val="004A671C"/>
    <w:rsid w:val="004C73DE"/>
    <w:rsid w:val="004E0A8E"/>
    <w:rsid w:val="004E3BE9"/>
    <w:rsid w:val="005072C9"/>
    <w:rsid w:val="00513037"/>
    <w:rsid w:val="005210E6"/>
    <w:rsid w:val="00530E15"/>
    <w:rsid w:val="005314BA"/>
    <w:rsid w:val="005422E5"/>
    <w:rsid w:val="0054679D"/>
    <w:rsid w:val="005477E5"/>
    <w:rsid w:val="00566F17"/>
    <w:rsid w:val="005865B1"/>
    <w:rsid w:val="005A3532"/>
    <w:rsid w:val="005B4076"/>
    <w:rsid w:val="005C50B2"/>
    <w:rsid w:val="005C68D7"/>
    <w:rsid w:val="005F6DB6"/>
    <w:rsid w:val="00607401"/>
    <w:rsid w:val="006320B1"/>
    <w:rsid w:val="0064544F"/>
    <w:rsid w:val="00664E76"/>
    <w:rsid w:val="006841C9"/>
    <w:rsid w:val="00684E4B"/>
    <w:rsid w:val="00696545"/>
    <w:rsid w:val="006A5D82"/>
    <w:rsid w:val="006B6330"/>
    <w:rsid w:val="006D65AD"/>
    <w:rsid w:val="006E7307"/>
    <w:rsid w:val="006F5735"/>
    <w:rsid w:val="006F5FD4"/>
    <w:rsid w:val="007225D2"/>
    <w:rsid w:val="00735258"/>
    <w:rsid w:val="00742DAE"/>
    <w:rsid w:val="00764B34"/>
    <w:rsid w:val="00774D83"/>
    <w:rsid w:val="007829F0"/>
    <w:rsid w:val="007865A2"/>
    <w:rsid w:val="007C77EE"/>
    <w:rsid w:val="007D5B9F"/>
    <w:rsid w:val="007E1392"/>
    <w:rsid w:val="007E6513"/>
    <w:rsid w:val="007F487F"/>
    <w:rsid w:val="00815FBF"/>
    <w:rsid w:val="00841CD0"/>
    <w:rsid w:val="00847D60"/>
    <w:rsid w:val="00860AFD"/>
    <w:rsid w:val="008A2E6B"/>
    <w:rsid w:val="008A7515"/>
    <w:rsid w:val="008C039F"/>
    <w:rsid w:val="008E1F76"/>
    <w:rsid w:val="008E57E1"/>
    <w:rsid w:val="009006A1"/>
    <w:rsid w:val="00956508"/>
    <w:rsid w:val="00962EF0"/>
    <w:rsid w:val="0097320B"/>
    <w:rsid w:val="00977F7F"/>
    <w:rsid w:val="009815AA"/>
    <w:rsid w:val="00982CDC"/>
    <w:rsid w:val="009863CE"/>
    <w:rsid w:val="00995ED0"/>
    <w:rsid w:val="00996441"/>
    <w:rsid w:val="009A298D"/>
    <w:rsid w:val="009B217B"/>
    <w:rsid w:val="009B50F2"/>
    <w:rsid w:val="009D2E85"/>
    <w:rsid w:val="009D5C2C"/>
    <w:rsid w:val="009D72EA"/>
    <w:rsid w:val="009E5A8A"/>
    <w:rsid w:val="009F3479"/>
    <w:rsid w:val="00A13259"/>
    <w:rsid w:val="00A16D05"/>
    <w:rsid w:val="00A30E83"/>
    <w:rsid w:val="00A4501D"/>
    <w:rsid w:val="00A51AA2"/>
    <w:rsid w:val="00A54BCA"/>
    <w:rsid w:val="00A61FD7"/>
    <w:rsid w:val="00A76673"/>
    <w:rsid w:val="00A87BCE"/>
    <w:rsid w:val="00A94900"/>
    <w:rsid w:val="00AA3FFE"/>
    <w:rsid w:val="00AA565C"/>
    <w:rsid w:val="00AA68AE"/>
    <w:rsid w:val="00AB7085"/>
    <w:rsid w:val="00AD4448"/>
    <w:rsid w:val="00AE1B6C"/>
    <w:rsid w:val="00AF11BE"/>
    <w:rsid w:val="00AF38EC"/>
    <w:rsid w:val="00B0185B"/>
    <w:rsid w:val="00B161A4"/>
    <w:rsid w:val="00B41813"/>
    <w:rsid w:val="00B427C3"/>
    <w:rsid w:val="00B43845"/>
    <w:rsid w:val="00B9518E"/>
    <w:rsid w:val="00BA392F"/>
    <w:rsid w:val="00BB1C78"/>
    <w:rsid w:val="00BB378C"/>
    <w:rsid w:val="00BB3C71"/>
    <w:rsid w:val="00BB6CF4"/>
    <w:rsid w:val="00BD02C0"/>
    <w:rsid w:val="00BD1DDD"/>
    <w:rsid w:val="00C11953"/>
    <w:rsid w:val="00C12B4A"/>
    <w:rsid w:val="00C32332"/>
    <w:rsid w:val="00C33347"/>
    <w:rsid w:val="00C37D62"/>
    <w:rsid w:val="00C704A3"/>
    <w:rsid w:val="00C71B07"/>
    <w:rsid w:val="00C74701"/>
    <w:rsid w:val="00C854FD"/>
    <w:rsid w:val="00C873D8"/>
    <w:rsid w:val="00C8756E"/>
    <w:rsid w:val="00C87FDB"/>
    <w:rsid w:val="00C921BC"/>
    <w:rsid w:val="00C94085"/>
    <w:rsid w:val="00C971C1"/>
    <w:rsid w:val="00C97C43"/>
    <w:rsid w:val="00CA1CF9"/>
    <w:rsid w:val="00CA6065"/>
    <w:rsid w:val="00CB1A56"/>
    <w:rsid w:val="00CB4149"/>
    <w:rsid w:val="00CC00C8"/>
    <w:rsid w:val="00CE54A6"/>
    <w:rsid w:val="00CE5516"/>
    <w:rsid w:val="00D22353"/>
    <w:rsid w:val="00D255AA"/>
    <w:rsid w:val="00D523D6"/>
    <w:rsid w:val="00D54888"/>
    <w:rsid w:val="00D54CCA"/>
    <w:rsid w:val="00D77EE9"/>
    <w:rsid w:val="00D81B1D"/>
    <w:rsid w:val="00DA0456"/>
    <w:rsid w:val="00DB5442"/>
    <w:rsid w:val="00DC10F5"/>
    <w:rsid w:val="00DD1EB3"/>
    <w:rsid w:val="00DF1C77"/>
    <w:rsid w:val="00E142CB"/>
    <w:rsid w:val="00E35E48"/>
    <w:rsid w:val="00E40ED6"/>
    <w:rsid w:val="00E4198B"/>
    <w:rsid w:val="00E63914"/>
    <w:rsid w:val="00E95B71"/>
    <w:rsid w:val="00EB35F4"/>
    <w:rsid w:val="00EC40AF"/>
    <w:rsid w:val="00EC6F27"/>
    <w:rsid w:val="00ED7ACA"/>
    <w:rsid w:val="00EE315F"/>
    <w:rsid w:val="00EE67E1"/>
    <w:rsid w:val="00F435F8"/>
    <w:rsid w:val="00F60EC8"/>
    <w:rsid w:val="00F61205"/>
    <w:rsid w:val="00F766DE"/>
    <w:rsid w:val="00F81CBB"/>
    <w:rsid w:val="00F947E3"/>
    <w:rsid w:val="00FA6EE7"/>
    <w:rsid w:val="00FB16AF"/>
    <w:rsid w:val="00FB2BA1"/>
    <w:rsid w:val="00FD21C0"/>
    <w:rsid w:val="00FD708D"/>
    <w:rsid w:val="00FF3258"/>
    <w:rsid w:val="00FF605E"/>
    <w:rsid w:val="05564A64"/>
    <w:rsid w:val="0AF73FD1"/>
    <w:rsid w:val="0E1753B2"/>
    <w:rsid w:val="3A312299"/>
    <w:rsid w:val="3E5B7A11"/>
    <w:rsid w:val="49382A3D"/>
    <w:rsid w:val="5DF5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uiPriority="99" w:name="Body Text Indent 3"/>
    <w:lsdException w:uiPriority="99" w:name="Block Text"/>
    <w:lsdException w:qFormat="1" w:uiPriority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0"/>
    <w:pPr>
      <w:ind w:left="100" w:leftChars="2500"/>
    </w:pPr>
  </w:style>
  <w:style w:type="paragraph" w:styleId="3">
    <w:name w:val="Body Text Indent 2"/>
    <w:basedOn w:val="1"/>
    <w:link w:val="14"/>
    <w:semiHidden/>
    <w:unhideWhenUsed/>
    <w:qFormat/>
    <w:uiPriority w:val="0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footer"/>
    <w:basedOn w:val="1"/>
    <w:link w:val="18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semiHidden/>
    <w:unhideWhenUsed/>
    <w:qFormat/>
    <w:uiPriority w:val="0"/>
    <w:rPr>
      <w:color w:val="0000FF"/>
      <w:u w:val="single"/>
    </w:rPr>
  </w:style>
  <w:style w:type="character" w:customStyle="1" w:styleId="11">
    <w:name w:val="页眉 Char"/>
    <w:basedOn w:val="8"/>
    <w:link w:val="5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日期 Char"/>
    <w:basedOn w:val="8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Char"/>
    <w:basedOn w:val="8"/>
    <w:link w:val="3"/>
    <w:semiHidden/>
    <w:qFormat/>
    <w:uiPriority w:val="0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paragraph" w:customStyle="1" w:styleId="16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7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8">
    <w:name w:val="页脚 Char1"/>
    <w:basedOn w:val="8"/>
    <w:link w:val="4"/>
    <w:semiHidden/>
    <w:qFormat/>
    <w:locked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9">
    <w:name w:val="标题 3 Char Char"/>
    <w:qFormat/>
    <w:uiPriority w:val="0"/>
    <w:rPr>
      <w:rFonts w:hint="eastAsia" w:ascii="楷体_GB2312" w:eastAsia="楷体_GB2312"/>
      <w:b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3567</Words>
  <Characters>3747</Characters>
  <Lines>82</Lines>
  <Paragraphs>23</Paragraphs>
  <TotalTime>2</TotalTime>
  <ScaleCrop>false</ScaleCrop>
  <LinksUpToDate>false</LinksUpToDate>
  <CharactersWithSpaces>4787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2020-05-20T01:02:00Z</dcterms:created>
  <dc:creator>许节来 10.105.116.156</dc:creator>
  <cp:lastModifiedBy>三一.</cp:lastModifiedBy>
  <dcterms:modified xsi:type="dcterms:W3CDTF">2022-08-27T14:07:52Z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A9536645FAA842FAB670494188105CFF</vt:lpwstr>
  </property>
</Properties>
</file>