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right"/>
        <w:rPr>
          <w:rFonts w:ascii="仿宋_GB2312" w:eastAsia="仿宋_GB2312"/>
          <w:sz w:val="32"/>
          <w:szCs w:val="32"/>
        </w:rPr>
      </w:pPr>
      <w:bookmarkStart w:id="0" w:name="_GoBack"/>
      <w:bookmarkEnd w:id="0"/>
      <w:r>
        <w:rPr>
          <w:rFonts w:ascii="方正小标宋简体" w:hAnsi="华文中宋" w:eastAsia="方正小标宋简体"/>
          <w:bCs/>
          <w:color w:val="000000"/>
          <w:sz w:val="44"/>
          <w:szCs w:val="44"/>
        </w:rPr>
        <w:t xml:space="preserve"> </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eastAsia="方正小标宋简体"/>
          <w:bCs/>
          <w:sz w:val="46"/>
          <w:szCs w:val="46"/>
          <w:u w:val="single"/>
        </w:rPr>
        <w:t>20</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u w:val="single"/>
        </w:rPr>
        <w:t>岳阳县人大办</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eastAsia="仿宋_GB2312"/>
          <w:sz w:val="32"/>
          <w:u w:val="single"/>
        </w:rPr>
        <w:t>YYX003</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2021</w:t>
      </w:r>
      <w:r>
        <w:rPr>
          <w:rFonts w:hint="eastAsia" w:eastAsia="仿宋_GB2312"/>
          <w:sz w:val="32"/>
        </w:rPr>
        <w:t>年</w:t>
      </w:r>
      <w:r>
        <w:rPr>
          <w:rFonts w:eastAsia="仿宋_GB2312"/>
          <w:sz w:val="32"/>
        </w:rPr>
        <w:t>07</w:t>
      </w:r>
      <w:r>
        <w:rPr>
          <w:rFonts w:hint="eastAsia" w:eastAsia="仿宋_GB2312"/>
          <w:sz w:val="32"/>
        </w:rPr>
        <w:t>月</w:t>
      </w:r>
      <w:r>
        <w:rPr>
          <w:rFonts w:eastAsia="仿宋_GB2312"/>
          <w:sz w:val="32"/>
        </w:rPr>
        <w:t>12</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王敏</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13607403439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Mar>
              <w:top w:w="0" w:type="dxa"/>
              <w:left w:w="15" w:type="dxa"/>
              <w:bottom w:w="0" w:type="dxa"/>
              <w:right w:w="15" w:type="dxa"/>
            </w:tcMar>
            <w:vAlign w:val="center"/>
          </w:tcPr>
          <w:p>
            <w:pPr>
              <w:spacing w:afterLines="50" w:line="600" w:lineRule="exact"/>
              <w:ind w:firstLine="645"/>
              <w:rPr>
                <w:rFonts w:ascii="仿宋_GB2312" w:eastAsia="仿宋_GB2312"/>
                <w:sz w:val="24"/>
              </w:rPr>
            </w:pPr>
            <w:r>
              <w:rPr>
                <w:rFonts w:hint="eastAsia" w:ascii="仿宋_GB2312" w:eastAsia="仿宋_GB2312"/>
                <w:sz w:val="24"/>
              </w:rPr>
              <w:t>县级人大常委会共有十四项职权，概括为四大类。一是监督权，监督同级人民政府、人民法院和人民检察院的工作。二是执法检查权，在本行政区域内，保证宪法、法律、行政法规和上级人民代表大会及其常务委员会决议的遵守和执行。三是重大事项决定权，讨论决定本行政区域内政治、经济、教育、科技、文化、卫生、环境和资源保护、民政、民族等工作的重大事项。四是人事任免权。</w:t>
            </w:r>
          </w:p>
          <w:p>
            <w:pPr>
              <w:autoSpaceDN w:val="0"/>
              <w:spacing w:line="40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：突出抓好对计划和预算的监督</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：加强对依法治县，对民生领域，对各项工作的监督</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：依法决定和监督重大事项</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：加大对议案，建设督办力度……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Mar>
              <w:top w:w="0" w:type="dxa"/>
              <w:left w:w="15" w:type="dxa"/>
              <w:bottom w:w="0" w:type="dxa"/>
              <w:right w:w="15" w:type="dxa"/>
            </w:tcMar>
            <w:vAlign w:val="center"/>
          </w:tcPr>
          <w:p>
            <w:pPr>
              <w:spacing w:line="58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一、坚持党的领导，服从服务大局</w:t>
            </w:r>
            <w:r>
              <w:rPr>
                <w:rFonts w:ascii="仿宋_GB2312" w:hAnsi="仿宋_GB2312" w:eastAsia="仿宋_GB2312" w:cs="仿宋_GB2312"/>
                <w:color w:val="000000"/>
                <w:sz w:val="24"/>
              </w:rPr>
              <w:t>;</w:t>
            </w:r>
          </w:p>
          <w:p>
            <w:pPr>
              <w:spacing w:line="58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二、有效开展监督，依法担当作为</w:t>
            </w:r>
            <w:r>
              <w:rPr>
                <w:rFonts w:ascii="仿宋_GB2312" w:hAnsi="仿宋_GB2312" w:eastAsia="仿宋_GB2312" w:cs="仿宋_GB2312"/>
                <w:color w:val="000000"/>
                <w:sz w:val="24"/>
              </w:rPr>
              <w:t>;</w:t>
            </w:r>
          </w:p>
          <w:p>
            <w:pPr>
              <w:spacing w:line="58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三、突出主体地位，发挥代表作用</w:t>
            </w:r>
            <w:r>
              <w:rPr>
                <w:rFonts w:ascii="仿宋_GB2312" w:hAnsi="仿宋_GB2312" w:eastAsia="仿宋_GB2312" w:cs="仿宋_GB2312"/>
                <w:color w:val="000000"/>
                <w:sz w:val="24"/>
              </w:rPr>
              <w:t>;</w:t>
            </w:r>
          </w:p>
          <w:p>
            <w:pPr>
              <w:spacing w:line="58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四、着力基层基础，规范乡镇人大工作</w:t>
            </w:r>
            <w:r>
              <w:rPr>
                <w:rFonts w:ascii="仿宋_GB2312" w:hAnsi="仿宋_GB2312" w:eastAsia="仿宋_GB2312" w:cs="仿宋_GB2312"/>
                <w:color w:val="000000"/>
                <w:sz w:val="24"/>
              </w:rPr>
              <w:t>;</w:t>
            </w:r>
          </w:p>
          <w:p>
            <w:pPr>
              <w:spacing w:line="58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五、强化自身建设，展示良好形象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vAlign w:val="center"/>
          </w:tcPr>
          <w:p>
            <w:pPr>
              <w:widowControl/>
              <w:jc w:val="left"/>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1326.17</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105.92</w:t>
            </w: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1211.71</w:t>
            </w:r>
          </w:p>
        </w:tc>
        <w:tc>
          <w:tcPr>
            <w:tcW w:w="1705"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1326.17</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105.92</w:t>
            </w: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1211.71</w:t>
            </w:r>
          </w:p>
        </w:tc>
        <w:tc>
          <w:tcPr>
            <w:tcW w:w="1705"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1155.87</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986.37</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642.47</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343.90</w:t>
            </w:r>
          </w:p>
        </w:tc>
        <w:tc>
          <w:tcPr>
            <w:tcW w:w="1080"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169.50</w:t>
            </w:r>
          </w:p>
        </w:tc>
        <w:tc>
          <w:tcPr>
            <w:tcW w:w="720"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64.38</w:t>
            </w:r>
          </w:p>
        </w:tc>
        <w:tc>
          <w:tcPr>
            <w:tcW w:w="625"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170.30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1155.87</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986.37</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642.47</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343.90</w:t>
            </w:r>
          </w:p>
        </w:tc>
        <w:tc>
          <w:tcPr>
            <w:tcW w:w="1080"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169.50</w:t>
            </w:r>
          </w:p>
        </w:tc>
        <w:tc>
          <w:tcPr>
            <w:tcW w:w="720"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64.38</w:t>
            </w:r>
          </w:p>
        </w:tc>
        <w:tc>
          <w:tcPr>
            <w:tcW w:w="625"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170.30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5.04</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5.04</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5.04</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5.04</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92.91</w:t>
            </w: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92.91</w:t>
            </w: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92.91</w:t>
            </w: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92.91</w:t>
            </w: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3774" w:type="dxa"/>
            <w:gridSpan w:val="7"/>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：突出抓好对计划和预算的监督</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：加强对依法治县，对民生领域，对各项工作的监督</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：依法决定和监督重大事项</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：加大对议案，建设督办力度……</w:t>
            </w:r>
          </w:p>
        </w:tc>
        <w:tc>
          <w:tcPr>
            <w:tcW w:w="4585"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共任免政府组成部门负责人</w:t>
            </w:r>
            <w:r>
              <w:rPr>
                <w:rFonts w:ascii="仿宋_GB2312" w:hAnsi="仿宋_GB2312" w:eastAsia="仿宋_GB2312" w:cs="仿宋_GB2312"/>
                <w:color w:val="000000"/>
                <w:sz w:val="24"/>
              </w:rPr>
              <w:t>25</w:t>
            </w:r>
            <w:r>
              <w:rPr>
                <w:rFonts w:hint="eastAsia" w:ascii="仿宋_GB2312" w:hAnsi="仿宋_GB2312" w:eastAsia="仿宋_GB2312" w:cs="仿宋_GB2312"/>
                <w:color w:val="000000"/>
                <w:sz w:val="24"/>
              </w:rPr>
              <w:t>人次，任免监察委委员</w:t>
            </w: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人次，任免“两院”工作人员</w:t>
            </w:r>
            <w:r>
              <w:rPr>
                <w:rFonts w:ascii="仿宋_GB2312" w:hAnsi="仿宋_GB2312" w:eastAsia="仿宋_GB2312" w:cs="仿宋_GB2312"/>
                <w:color w:val="000000"/>
                <w:sz w:val="24"/>
              </w:rPr>
              <w:t>28</w:t>
            </w:r>
            <w:r>
              <w:rPr>
                <w:rFonts w:hint="eastAsia" w:ascii="仿宋_GB2312" w:hAnsi="仿宋_GB2312" w:eastAsia="仿宋_GB2312" w:cs="仿宋_GB2312"/>
                <w:color w:val="000000"/>
                <w:sz w:val="24"/>
              </w:rPr>
              <w:t>人次，任免常委会机关工作人员</w:t>
            </w:r>
            <w:r>
              <w:rPr>
                <w:rFonts w:ascii="仿宋_GB2312" w:hAnsi="仿宋_GB2312" w:eastAsia="仿宋_GB2312" w:cs="仿宋_GB2312"/>
                <w:color w:val="000000"/>
                <w:sz w:val="24"/>
              </w:rPr>
              <w:t>5</w:t>
            </w:r>
            <w:r>
              <w:rPr>
                <w:rFonts w:hint="eastAsia" w:ascii="仿宋_GB2312" w:hAnsi="仿宋_GB2312" w:eastAsia="仿宋_GB2312" w:cs="仿宋_GB2312"/>
                <w:color w:val="000000"/>
                <w:sz w:val="24"/>
              </w:rPr>
              <w:t>人次，实现了党委意图与人民意志的有机结合。紧紧围绕全县工作大局，守正创新，依法履职，为岳阳县经济社会发展和民主法治建设做出了新的贡献。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人大代表提案回复率</w:t>
            </w:r>
            <w:r>
              <w:rPr>
                <w:rFonts w:ascii="仿宋_GB2312" w:hAnsi="仿宋_GB2312" w:eastAsia="仿宋_GB2312" w:cs="仿宋_GB2312"/>
                <w:color w:val="000000"/>
                <w:sz w:val="24"/>
              </w:rPr>
              <w:t>100%</w:t>
            </w:r>
          </w:p>
        </w:tc>
        <w:tc>
          <w:tcPr>
            <w:tcW w:w="2684"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“三公经费”变动率≤</w:t>
            </w:r>
            <w:r>
              <w:rPr>
                <w:rFonts w:ascii="仿宋_GB2312" w:hAnsi="仿宋_GB2312" w:eastAsia="仿宋_GB2312" w:cs="仿宋_GB2312"/>
                <w:color w:val="000000"/>
                <w:sz w:val="24"/>
              </w:rPr>
              <w:t>0</w:t>
            </w:r>
          </w:p>
        </w:tc>
        <w:tc>
          <w:tcPr>
            <w:tcW w:w="2684"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专项调研</w:t>
            </w:r>
            <w:r>
              <w:rPr>
                <w:rFonts w:ascii="仿宋_GB2312" w:hAnsi="仿宋_GB2312" w:eastAsia="仿宋_GB2312" w:cs="仿宋_GB2312"/>
                <w:color w:val="000000"/>
                <w:sz w:val="24"/>
              </w:rPr>
              <w:t>6</w:t>
            </w:r>
            <w:r>
              <w:rPr>
                <w:rFonts w:hint="eastAsia" w:ascii="仿宋_GB2312" w:hAnsi="仿宋_GB2312" w:eastAsia="仿宋_GB2312" w:cs="仿宋_GB2312"/>
                <w:color w:val="000000"/>
                <w:sz w:val="24"/>
              </w:rPr>
              <w:t>次以上</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视察评议</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次以上</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专项调研</w:t>
            </w:r>
            <w:r>
              <w:rPr>
                <w:rFonts w:ascii="仿宋_GB2312" w:hAnsi="仿宋_GB2312" w:eastAsia="仿宋_GB2312" w:cs="仿宋_GB2312"/>
                <w:color w:val="000000"/>
                <w:sz w:val="24"/>
              </w:rPr>
              <w:t>6</w:t>
            </w:r>
            <w:r>
              <w:rPr>
                <w:rFonts w:hint="eastAsia" w:ascii="仿宋_GB2312" w:hAnsi="仿宋_GB2312" w:eastAsia="仿宋_GB2312" w:cs="仿宋_GB2312"/>
                <w:color w:val="000000"/>
                <w:sz w:val="24"/>
              </w:rPr>
              <w:t>次以上</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已如质如量完成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全年财政整体支出</w:t>
            </w:r>
            <w:r>
              <w:rPr>
                <w:rFonts w:ascii="仿宋_GB2312" w:hAnsi="仿宋_GB2312" w:eastAsia="仿宋_GB2312" w:cs="仿宋_GB2312"/>
                <w:color w:val="000000"/>
                <w:sz w:val="24"/>
              </w:rPr>
              <w:t>1326.17</w:t>
            </w:r>
            <w:r>
              <w:rPr>
                <w:rFonts w:hint="eastAsia" w:ascii="仿宋_GB2312" w:hAnsi="仿宋_GB2312" w:eastAsia="仿宋_GB2312" w:cs="仿宋_GB2312"/>
                <w:color w:val="000000"/>
                <w:sz w:val="24"/>
              </w:rPr>
              <w:t>万元</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color w:val="000000"/>
                <w:sz w:val="24"/>
              </w:rPr>
              <w:t>1155.87</w:t>
            </w:r>
            <w:r>
              <w:rPr>
                <w:rFonts w:hint="eastAsia" w:ascii="仿宋_GB2312" w:hAnsi="仿宋_GB2312" w:eastAsia="仿宋_GB2312" w:cs="仿宋_GB2312"/>
                <w:color w:val="000000"/>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Cs w:val="21"/>
              </w:rPr>
              <w:t>通过办理提案等收集社情民意</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Cs w:val="21"/>
              </w:rPr>
              <w:t>督办人民信访化解社会矛盾</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：联手帮扶企业</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：社会公众或服务对象满意度</w:t>
            </w:r>
            <w:r>
              <w:rPr>
                <w:rFonts w:ascii="仿宋_GB2312" w:hAnsi="仿宋_GB2312" w:eastAsia="仿宋_GB2312" w:cs="仿宋_GB2312"/>
                <w:color w:val="000000"/>
                <w:sz w:val="24"/>
              </w:rPr>
              <w:t>95%</w:t>
            </w:r>
            <w:r>
              <w:rPr>
                <w:rFonts w:hint="eastAsia" w:ascii="仿宋_GB2312" w:hAnsi="仿宋_GB2312" w:eastAsia="仿宋_GB2312" w:cs="仿宋_GB2312"/>
                <w:color w:val="000000"/>
                <w:sz w:val="24"/>
              </w:rPr>
              <w:t>以上</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社会公众或服务对象满意度</w:t>
            </w:r>
            <w:r>
              <w:rPr>
                <w:rFonts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名</w:t>
            </w:r>
          </w:p>
        </w:tc>
        <w:tc>
          <w:tcPr>
            <w:tcW w:w="3561"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位</w:t>
            </w:r>
          </w:p>
        </w:tc>
        <w:tc>
          <w:tcPr>
            <w:tcW w:w="3106"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吴承棉</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岳阳县人大常委会副主任</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县人大</w:t>
            </w:r>
          </w:p>
        </w:tc>
        <w:tc>
          <w:tcPr>
            <w:tcW w:w="3106"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何勇</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岳阳县人大常委会机关办公室主任</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县人大</w:t>
            </w:r>
          </w:p>
        </w:tc>
        <w:tc>
          <w:tcPr>
            <w:tcW w:w="3106"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龚明华</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岳阳县人大常委会</w:t>
            </w:r>
            <w:r>
              <w:rPr>
                <w:rFonts w:hint="eastAsia" w:ascii="仿宋_GB2312" w:hAnsi="仿宋_GB2312" w:eastAsia="仿宋_GB2312" w:cs="仿宋_GB2312"/>
                <w:color w:val="000000"/>
                <w:sz w:val="24"/>
                <w:lang w:eastAsia="zh-CN"/>
              </w:rPr>
              <w:t>民侨外委副主任兼</w:t>
            </w:r>
            <w:r>
              <w:rPr>
                <w:rFonts w:hint="eastAsia" w:ascii="仿宋_GB2312" w:hAnsi="仿宋_GB2312" w:eastAsia="仿宋_GB2312" w:cs="仿宋_GB2312"/>
                <w:color w:val="000000"/>
                <w:sz w:val="24"/>
              </w:rPr>
              <w:t>机关</w:t>
            </w:r>
            <w:r>
              <w:rPr>
                <w:rFonts w:hint="eastAsia" w:ascii="仿宋_GB2312" w:hAnsi="仿宋_GB2312" w:eastAsia="仿宋_GB2312" w:cs="仿宋_GB2312"/>
                <w:color w:val="000000"/>
                <w:sz w:val="24"/>
                <w:lang w:eastAsia="zh-CN"/>
              </w:rPr>
              <w:t>出纳</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县人大</w:t>
            </w:r>
          </w:p>
        </w:tc>
        <w:tc>
          <w:tcPr>
            <w:tcW w:w="3106"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bl>
    <w:p>
      <w:pPr>
        <w:rPr>
          <w:rFonts w:eastAsia="仿宋_GB2312" w:cs="仿宋_GB2312"/>
          <w:bCs/>
          <w:sz w:val="28"/>
          <w:szCs w:val="28"/>
        </w:rPr>
      </w:pPr>
      <w:r>
        <w:rPr>
          <w:rFonts w:hint="eastAsia" w:eastAsia="仿宋_GB2312" w:cs="仿宋_GB2312"/>
          <w:bCs/>
          <w:sz w:val="28"/>
          <w:szCs w:val="28"/>
        </w:rPr>
        <w:t>填报人（签名）：王敏</w:t>
      </w:r>
      <w:r>
        <w:rPr>
          <w:rFonts w:eastAsia="仿宋_GB2312" w:cs="仿宋_GB2312"/>
          <w:bCs/>
          <w:sz w:val="28"/>
          <w:szCs w:val="28"/>
        </w:rPr>
        <w:t xml:space="preserve">                            </w:t>
      </w:r>
      <w:r>
        <w:rPr>
          <w:rFonts w:hint="eastAsia" w:eastAsia="仿宋_GB2312" w:cs="仿宋_GB2312"/>
          <w:bCs/>
          <w:sz w:val="28"/>
          <w:szCs w:val="28"/>
        </w:rPr>
        <w:t>联系电话：</w:t>
      </w:r>
      <w:r>
        <w:rPr>
          <w:rFonts w:eastAsia="仿宋_GB2312" w:cs="仿宋_GB2312"/>
          <w:bCs/>
          <w:sz w:val="28"/>
          <w:szCs w:val="28"/>
        </w:rPr>
        <w:t>7633618</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一、部门（单位）概况</w:t>
            </w:r>
          </w:p>
          <w:p>
            <w:pPr>
              <w:numPr>
                <w:ilvl w:val="0"/>
                <w:numId w:val="2"/>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部门（单位）基本情况</w:t>
            </w:r>
          </w:p>
          <w:p>
            <w:pPr>
              <w:spacing w:line="560" w:lineRule="exact"/>
              <w:rPr>
                <w:rFonts w:ascii="仿宋_GB2312" w:eastAsia="仿宋_GB2312"/>
                <w:sz w:val="24"/>
              </w:rPr>
            </w:pPr>
            <w:r>
              <w:rPr>
                <w:rFonts w:ascii="仿宋" w:hAnsi="仿宋" w:eastAsia="仿宋" w:cs="仿宋"/>
                <w:sz w:val="24"/>
              </w:rPr>
              <w:t xml:space="preserve">    </w:t>
            </w:r>
            <w:r>
              <w:rPr>
                <w:rFonts w:hint="eastAsia" w:ascii="仿宋_GB2312" w:eastAsia="仿宋_GB2312"/>
                <w:sz w:val="24"/>
              </w:rPr>
              <w:t>岳阳县人大常委会设有一办</w:t>
            </w:r>
            <w:r>
              <w:rPr>
                <w:rFonts w:hint="eastAsia" w:ascii="仿宋_GB2312" w:eastAsia="仿宋_GB2312"/>
                <w:sz w:val="24"/>
                <w:lang w:eastAsia="zh-CN"/>
              </w:rPr>
              <w:t>八</w:t>
            </w:r>
            <w:r>
              <w:rPr>
                <w:rFonts w:hint="eastAsia" w:ascii="仿宋_GB2312" w:eastAsia="仿宋_GB2312"/>
                <w:sz w:val="24"/>
              </w:rPr>
              <w:t>委</w:t>
            </w:r>
            <w:r>
              <w:rPr>
                <w:rFonts w:hint="eastAsia" w:ascii="仿宋_GB2312" w:eastAsia="仿宋_GB2312"/>
                <w:sz w:val="24"/>
                <w:lang w:eastAsia="zh-CN"/>
              </w:rPr>
              <w:t>九</w:t>
            </w:r>
            <w:r>
              <w:rPr>
                <w:rFonts w:hint="eastAsia" w:ascii="仿宋_GB2312" w:eastAsia="仿宋_GB2312"/>
                <w:sz w:val="24"/>
              </w:rPr>
              <w:t>个正科级工作机构（常委会办公室、选举任免联络工作委员会、</w:t>
            </w:r>
            <w:r>
              <w:rPr>
                <w:rFonts w:hint="eastAsia" w:ascii="仿宋_GB2312" w:eastAsia="仿宋_GB2312"/>
                <w:sz w:val="24"/>
                <w:lang w:eastAsia="zh-CN"/>
              </w:rPr>
              <w:t>民族华侨外事委员会</w:t>
            </w:r>
            <w:r>
              <w:rPr>
                <w:rFonts w:hint="eastAsia" w:ascii="仿宋_GB2312" w:eastAsia="仿宋_GB2312"/>
                <w:sz w:val="24"/>
              </w:rPr>
              <w:t>、</w:t>
            </w:r>
            <w:r>
              <w:rPr>
                <w:rFonts w:hint="eastAsia" w:ascii="仿宋_GB2312" w:eastAsia="仿宋_GB2312"/>
                <w:sz w:val="24"/>
                <w:lang w:eastAsia="zh-CN"/>
              </w:rPr>
              <w:t>监察和司法委员会、</w:t>
            </w:r>
            <w:r>
              <w:rPr>
                <w:rFonts w:hint="eastAsia" w:ascii="仿宋_GB2312" w:eastAsia="仿宋_GB2312"/>
                <w:sz w:val="24"/>
              </w:rPr>
              <w:t>财经预算工作委员会、教科文卫工作委员会农村</w:t>
            </w:r>
            <w:r>
              <w:rPr>
                <w:rFonts w:hint="eastAsia" w:ascii="仿宋_GB2312" w:eastAsia="仿宋_GB2312"/>
                <w:sz w:val="24"/>
                <w:lang w:eastAsia="zh-CN"/>
              </w:rPr>
              <w:t>、</w:t>
            </w:r>
            <w:r>
              <w:rPr>
                <w:rFonts w:hint="eastAsia" w:ascii="仿宋_GB2312" w:eastAsia="仿宋_GB2312"/>
                <w:sz w:val="24"/>
              </w:rPr>
              <w:t>农业工作委员会、城乡环境资源保护工作委员会</w:t>
            </w:r>
            <w:r>
              <w:rPr>
                <w:rFonts w:hint="eastAsia" w:ascii="仿宋_GB2312" w:eastAsia="仿宋_GB2312"/>
                <w:sz w:val="24"/>
                <w:lang w:eastAsia="zh-CN"/>
              </w:rPr>
              <w:t>和社会建设委员会</w:t>
            </w:r>
            <w:r>
              <w:rPr>
                <w:rFonts w:hint="eastAsia" w:ascii="仿宋_GB2312" w:eastAsia="仿宋_GB2312"/>
                <w:sz w:val="24"/>
              </w:rPr>
              <w:t>）。机关目前共有工作人员</w:t>
            </w:r>
            <w:r>
              <w:rPr>
                <w:rFonts w:hint="eastAsia" w:ascii="仿宋_GB2312" w:eastAsia="仿宋_GB2312"/>
                <w:sz w:val="24"/>
                <w:lang w:val="en-US" w:eastAsia="zh-CN"/>
              </w:rPr>
              <w:t>79</w:t>
            </w:r>
            <w:r>
              <w:rPr>
                <w:rFonts w:hint="eastAsia" w:ascii="仿宋_GB2312" w:eastAsia="仿宋_GB2312"/>
                <w:sz w:val="24"/>
              </w:rPr>
              <w:t>名，其中退休人员</w:t>
            </w:r>
            <w:r>
              <w:rPr>
                <w:rFonts w:ascii="仿宋_GB2312" w:eastAsia="仿宋_GB2312"/>
                <w:sz w:val="24"/>
              </w:rPr>
              <w:t>38</w:t>
            </w:r>
            <w:r>
              <w:rPr>
                <w:rFonts w:hint="eastAsia" w:ascii="仿宋_GB2312" w:eastAsia="仿宋_GB2312"/>
                <w:sz w:val="24"/>
              </w:rPr>
              <w:t>名。</w:t>
            </w:r>
          </w:p>
          <w:p>
            <w:pPr>
              <w:spacing w:afterLines="50" w:line="600" w:lineRule="exact"/>
              <w:ind w:firstLine="640"/>
              <w:rPr>
                <w:rFonts w:ascii="仿宋_GB2312" w:hAnsi="仿宋_GB2312" w:eastAsia="仿宋_GB2312" w:cs="仿宋_GB2312"/>
                <w:bCs/>
                <w:sz w:val="24"/>
              </w:rPr>
            </w:pPr>
            <w:r>
              <w:rPr>
                <w:rFonts w:hint="eastAsia" w:ascii="仿宋_GB2312" w:eastAsia="仿宋_GB2312"/>
                <w:sz w:val="24"/>
              </w:rPr>
              <w:t>根据宪法规定：人民代表大会制度是国家根本政治制度，人大常委会是代表人民行使国家权力的机关。地方各级人民代表大会常务委员会的职权是《组织法》确定的，其中县级人大常委会共有十四项职权，概括为四大类。一是监督权，监督同级人民政府、人民法院和人民检察院的工作。二是执法检查权，在本行政区域内，保证宪法、法律、行政法规和上级人民代表大会及其常务委员会决议的遵守和执行。三是重大事项决定权，讨论决定本行政区域内政治、经济、教育、科技、文化、卫生、环境和资源保护、民政、民族等工作的重大事项。四是人事任免权。</w:t>
            </w:r>
          </w:p>
          <w:p>
            <w:pPr>
              <w:numPr>
                <w:ilvl w:val="0"/>
                <w:numId w:val="3"/>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部门（单位）整体支出规模、使用方向和主要内容、涉及范围等</w:t>
            </w:r>
          </w:p>
          <w:p>
            <w:pPr>
              <w:spacing w:line="560" w:lineRule="exact"/>
              <w:rPr>
                <w:rFonts w:ascii="仿宋" w:hAnsi="仿宋" w:eastAsia="仿宋" w:cs="仿宋"/>
                <w:sz w:val="24"/>
              </w:rPr>
            </w:pPr>
            <w:r>
              <w:rPr>
                <w:rFonts w:ascii="仿宋" w:hAnsi="仿宋" w:eastAsia="仿宋" w:cs="仿宋"/>
                <w:sz w:val="24"/>
              </w:rPr>
              <w:t xml:space="preserve">    2020</w:t>
            </w:r>
            <w:r>
              <w:rPr>
                <w:rFonts w:hint="eastAsia" w:ascii="仿宋" w:hAnsi="仿宋" w:eastAsia="仿宋" w:cs="仿宋"/>
                <w:sz w:val="24"/>
              </w:rPr>
              <w:t>年县人大办整体支出为</w:t>
            </w:r>
            <w:r>
              <w:rPr>
                <w:rFonts w:ascii="仿宋_GB2312" w:hAnsi="仿宋_GB2312" w:eastAsia="仿宋_GB2312" w:cs="仿宋_GB2312"/>
                <w:color w:val="000000"/>
                <w:sz w:val="24"/>
              </w:rPr>
              <w:t>1155.87</w:t>
            </w:r>
            <w:r>
              <w:rPr>
                <w:rFonts w:hint="eastAsia" w:ascii="仿宋" w:hAnsi="仿宋" w:eastAsia="仿宋" w:cs="仿宋"/>
                <w:sz w:val="24"/>
              </w:rPr>
              <w:t>万元，包括基本支出</w:t>
            </w:r>
            <w:r>
              <w:rPr>
                <w:rFonts w:ascii="仿宋_GB2312" w:hAnsi="仿宋_GB2312" w:eastAsia="仿宋_GB2312" w:cs="仿宋_GB2312"/>
                <w:color w:val="000000"/>
                <w:sz w:val="24"/>
              </w:rPr>
              <w:t>986.37</w:t>
            </w:r>
            <w:r>
              <w:rPr>
                <w:rFonts w:hint="eastAsia" w:ascii="仿宋" w:hAnsi="仿宋" w:eastAsia="仿宋" w:cs="仿宋"/>
                <w:sz w:val="24"/>
              </w:rPr>
              <w:t>万元，主要用于人员经费支出和日常公用经费支出，项目支出</w:t>
            </w:r>
            <w:r>
              <w:rPr>
                <w:rFonts w:ascii="仿宋_GB2312" w:hAnsi="仿宋_GB2312" w:eastAsia="仿宋_GB2312" w:cs="仿宋_GB2312"/>
                <w:color w:val="000000"/>
                <w:sz w:val="24"/>
              </w:rPr>
              <w:t>169.50</w:t>
            </w:r>
            <w:r>
              <w:rPr>
                <w:rFonts w:hint="eastAsia" w:ascii="仿宋" w:hAnsi="仿宋" w:eastAsia="仿宋" w:cs="仿宋"/>
                <w:sz w:val="24"/>
              </w:rPr>
              <w:t>万元，主要用于全县人大代表调研活动及会议开支。</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二、部门（单位）整体支出管理及使用情况</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（一）基本支出</w:t>
            </w:r>
          </w:p>
          <w:p>
            <w:pPr>
              <w:spacing w:line="560" w:lineRule="exact"/>
              <w:ind w:firstLine="480" w:firstLineChars="200"/>
              <w:rPr>
                <w:rFonts w:ascii="仿宋" w:hAnsi="仿宋" w:eastAsia="仿宋" w:cs="仿宋"/>
                <w:sz w:val="24"/>
              </w:rPr>
            </w:pPr>
            <w:r>
              <w:rPr>
                <w:rFonts w:ascii="仿宋" w:hAnsi="仿宋" w:eastAsia="仿宋" w:cs="仿宋"/>
                <w:sz w:val="24"/>
              </w:rPr>
              <w:t>2020</w:t>
            </w:r>
            <w:r>
              <w:rPr>
                <w:rFonts w:hint="eastAsia" w:ascii="仿宋" w:hAnsi="仿宋" w:eastAsia="仿宋" w:cs="仿宋"/>
                <w:sz w:val="24"/>
              </w:rPr>
              <w:t>年县人大办基本支出</w:t>
            </w:r>
            <w:r>
              <w:rPr>
                <w:rFonts w:ascii="仿宋_GB2312" w:hAnsi="仿宋_GB2312" w:eastAsia="仿宋_GB2312" w:cs="仿宋_GB2312"/>
                <w:color w:val="000000"/>
                <w:sz w:val="24"/>
              </w:rPr>
              <w:t>986.37</w:t>
            </w:r>
            <w:r>
              <w:rPr>
                <w:rFonts w:hint="eastAsia" w:ascii="仿宋" w:hAnsi="仿宋" w:eastAsia="仿宋" w:cs="仿宋"/>
                <w:sz w:val="24"/>
              </w:rPr>
              <w:t>万元，包括人员支出</w:t>
            </w:r>
            <w:r>
              <w:rPr>
                <w:rFonts w:ascii="仿宋_GB2312" w:hAnsi="仿宋_GB2312" w:eastAsia="仿宋_GB2312" w:cs="仿宋_GB2312"/>
                <w:color w:val="000000"/>
                <w:sz w:val="24"/>
              </w:rPr>
              <w:t>642.47</w:t>
            </w:r>
            <w:r>
              <w:rPr>
                <w:rFonts w:hint="eastAsia" w:ascii="仿宋" w:hAnsi="仿宋" w:eastAsia="仿宋" w:cs="仿宋"/>
                <w:sz w:val="24"/>
              </w:rPr>
              <w:t>万元，公用支出</w:t>
            </w:r>
            <w:r>
              <w:rPr>
                <w:rFonts w:ascii="仿宋_GB2312" w:hAnsi="仿宋_GB2312" w:eastAsia="仿宋_GB2312" w:cs="仿宋_GB2312"/>
                <w:color w:val="000000"/>
                <w:sz w:val="24"/>
              </w:rPr>
              <w:t>343.90</w:t>
            </w:r>
            <w:r>
              <w:rPr>
                <w:rFonts w:hint="eastAsia" w:ascii="仿宋" w:hAnsi="仿宋" w:eastAsia="仿宋" w:cs="仿宋"/>
                <w:sz w:val="24"/>
              </w:rPr>
              <w:t>万元，其中“三公”经费合计</w:t>
            </w:r>
            <w:r>
              <w:rPr>
                <w:rFonts w:ascii="仿宋" w:hAnsi="仿宋" w:eastAsia="仿宋" w:cs="仿宋"/>
                <w:sz w:val="24"/>
              </w:rPr>
              <w:t>5.04</w:t>
            </w:r>
            <w:r>
              <w:rPr>
                <w:rFonts w:hint="eastAsia" w:ascii="仿宋" w:hAnsi="仿宋" w:eastAsia="仿宋" w:cs="仿宋"/>
                <w:sz w:val="24"/>
              </w:rPr>
              <w:t>万元，包括公务接待费</w:t>
            </w:r>
            <w:r>
              <w:rPr>
                <w:rFonts w:ascii="仿宋" w:hAnsi="仿宋" w:eastAsia="仿宋" w:cs="仿宋"/>
                <w:sz w:val="24"/>
              </w:rPr>
              <w:t>5.04</w:t>
            </w:r>
            <w:r>
              <w:rPr>
                <w:rFonts w:hint="eastAsia" w:ascii="仿宋" w:hAnsi="仿宋" w:eastAsia="仿宋" w:cs="仿宋"/>
                <w:sz w:val="24"/>
              </w:rPr>
              <w:t>万元。</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（二）专项支出</w:t>
            </w:r>
          </w:p>
          <w:p>
            <w:pPr>
              <w:spacing w:line="56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1</w:t>
            </w:r>
            <w:r>
              <w:rPr>
                <w:rFonts w:hint="eastAsia" w:ascii="仿宋_GB2312" w:hAnsi="仿宋_GB2312" w:eastAsia="仿宋_GB2312" w:cs="仿宋_GB2312"/>
                <w:bCs/>
                <w:sz w:val="24"/>
              </w:rPr>
              <w:t>、专项资金安排落实、总投入等情况分析</w:t>
            </w:r>
          </w:p>
          <w:p>
            <w:pPr>
              <w:widowControl/>
              <w:spacing w:line="60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2020</w:t>
            </w:r>
            <w:r>
              <w:rPr>
                <w:rFonts w:hint="eastAsia" w:ascii="仿宋_GB2312" w:hAnsi="仿宋_GB2312" w:eastAsia="仿宋_GB2312" w:cs="仿宋_GB2312"/>
                <w:bCs/>
                <w:sz w:val="24"/>
              </w:rPr>
              <w:t>年县财政安排我办项目经费</w:t>
            </w:r>
            <w:r>
              <w:rPr>
                <w:rFonts w:ascii="仿宋_GB2312" w:hAnsi="仿宋_GB2312" w:eastAsia="仿宋_GB2312" w:cs="仿宋_GB2312"/>
                <w:bCs/>
                <w:sz w:val="24"/>
              </w:rPr>
              <w:t>169.50</w:t>
            </w:r>
            <w:r>
              <w:rPr>
                <w:rFonts w:hint="eastAsia" w:ascii="仿宋_GB2312" w:hAnsi="仿宋_GB2312" w:eastAsia="仿宋_GB2312" w:cs="仿宋_GB2312"/>
                <w:bCs/>
                <w:sz w:val="24"/>
              </w:rPr>
              <w:t>万元，具体包括人大代表活动经费</w:t>
            </w:r>
            <w:r>
              <w:rPr>
                <w:rFonts w:ascii="仿宋_GB2312" w:hAnsi="仿宋_GB2312" w:eastAsia="仿宋_GB2312" w:cs="仿宋_GB2312"/>
                <w:bCs/>
                <w:sz w:val="24"/>
              </w:rPr>
              <w:t>25</w:t>
            </w:r>
            <w:r>
              <w:rPr>
                <w:rFonts w:hint="eastAsia" w:ascii="仿宋_GB2312" w:hAnsi="仿宋_GB2312" w:eastAsia="仿宋_GB2312" w:cs="仿宋_GB2312"/>
                <w:bCs/>
                <w:sz w:val="24"/>
              </w:rPr>
              <w:t>万元；人大常委调研活动经费</w:t>
            </w:r>
            <w:r>
              <w:rPr>
                <w:rFonts w:ascii="仿宋_GB2312" w:hAnsi="仿宋_GB2312" w:eastAsia="仿宋_GB2312" w:cs="仿宋_GB2312"/>
                <w:bCs/>
                <w:sz w:val="24"/>
              </w:rPr>
              <w:t>14.5</w:t>
            </w:r>
            <w:r>
              <w:rPr>
                <w:rFonts w:hint="eastAsia" w:ascii="仿宋_GB2312" w:hAnsi="仿宋_GB2312" w:eastAsia="仿宋_GB2312" w:cs="仿宋_GB2312"/>
                <w:bCs/>
                <w:sz w:val="24"/>
              </w:rPr>
              <w:t>万元；工委及办公室业务费</w:t>
            </w:r>
            <w:r>
              <w:rPr>
                <w:rFonts w:ascii="仿宋_GB2312" w:hAnsi="仿宋_GB2312" w:eastAsia="仿宋_GB2312" w:cs="仿宋_GB2312"/>
                <w:bCs/>
                <w:sz w:val="24"/>
              </w:rPr>
              <w:t>20</w:t>
            </w:r>
            <w:r>
              <w:rPr>
                <w:rFonts w:hint="eastAsia" w:ascii="仿宋_GB2312" w:hAnsi="仿宋_GB2312" w:eastAsia="仿宋_GB2312" w:cs="仿宋_GB2312"/>
                <w:bCs/>
                <w:sz w:val="24"/>
              </w:rPr>
              <w:t>万元；离岗处级、正职退休干部经费</w:t>
            </w:r>
            <w:r>
              <w:rPr>
                <w:rFonts w:ascii="仿宋_GB2312" w:hAnsi="仿宋_GB2312" w:eastAsia="仿宋_GB2312" w:cs="仿宋_GB2312"/>
                <w:bCs/>
                <w:sz w:val="24"/>
              </w:rPr>
              <w:t>7</w:t>
            </w:r>
            <w:r>
              <w:rPr>
                <w:rFonts w:hint="eastAsia" w:ascii="仿宋_GB2312" w:hAnsi="仿宋_GB2312" w:eastAsia="仿宋_GB2312" w:cs="仿宋_GB2312"/>
                <w:bCs/>
                <w:sz w:val="24"/>
              </w:rPr>
              <w:t>万元；专项法律检查经费</w:t>
            </w:r>
            <w:r>
              <w:rPr>
                <w:rFonts w:ascii="仿宋_GB2312" w:hAnsi="仿宋_GB2312" w:eastAsia="仿宋_GB2312" w:cs="仿宋_GB2312"/>
                <w:bCs/>
                <w:sz w:val="24"/>
              </w:rPr>
              <w:t>28</w:t>
            </w:r>
            <w:r>
              <w:rPr>
                <w:rFonts w:hint="eastAsia" w:ascii="仿宋_GB2312" w:hAnsi="仿宋_GB2312" w:eastAsia="仿宋_GB2312" w:cs="仿宋_GB2312"/>
                <w:bCs/>
                <w:sz w:val="24"/>
              </w:rPr>
              <w:t>万元；专门委员会重大事项调查经费</w:t>
            </w:r>
            <w:r>
              <w:rPr>
                <w:rFonts w:ascii="仿宋_GB2312" w:hAnsi="仿宋_GB2312" w:eastAsia="仿宋_GB2312" w:cs="仿宋_GB2312"/>
                <w:bCs/>
                <w:sz w:val="24"/>
              </w:rPr>
              <w:t>10</w:t>
            </w:r>
            <w:r>
              <w:rPr>
                <w:rFonts w:hint="eastAsia" w:ascii="仿宋_GB2312" w:hAnsi="仿宋_GB2312" w:eastAsia="仿宋_GB2312" w:cs="仿宋_GB2312"/>
                <w:bCs/>
                <w:sz w:val="24"/>
              </w:rPr>
              <w:t>万元</w:t>
            </w:r>
            <w:r>
              <w:rPr>
                <w:rFonts w:ascii="仿宋_GB2312" w:hAnsi="仿宋_GB2312" w:eastAsia="仿宋_GB2312" w:cs="仿宋_GB2312"/>
                <w:bCs/>
                <w:sz w:val="24"/>
              </w:rPr>
              <w:t>;</w:t>
            </w:r>
            <w:r>
              <w:rPr>
                <w:rFonts w:hint="eastAsia" w:ascii="仿宋_GB2312" w:hAnsi="仿宋_GB2312" w:eastAsia="仿宋_GB2312" w:cs="仿宋_GB2312"/>
                <w:bCs/>
                <w:sz w:val="24"/>
              </w:rPr>
              <w:t>人大预算联网监督平台运行维护费</w:t>
            </w:r>
            <w:r>
              <w:rPr>
                <w:rFonts w:ascii="仿宋_GB2312" w:hAnsi="仿宋_GB2312" w:eastAsia="仿宋_GB2312" w:cs="仿宋_GB2312"/>
                <w:bCs/>
                <w:sz w:val="24"/>
              </w:rPr>
              <w:t>12</w:t>
            </w:r>
            <w:r>
              <w:rPr>
                <w:rFonts w:hint="eastAsia" w:ascii="仿宋_GB2312" w:hAnsi="仿宋_GB2312" w:eastAsia="仿宋_GB2312" w:cs="仿宋_GB2312"/>
                <w:bCs/>
                <w:sz w:val="24"/>
              </w:rPr>
              <w:t>万元</w:t>
            </w:r>
            <w:r>
              <w:rPr>
                <w:rFonts w:ascii="仿宋_GB2312" w:hAnsi="仿宋_GB2312" w:eastAsia="仿宋_GB2312" w:cs="仿宋_GB2312"/>
                <w:bCs/>
                <w:sz w:val="24"/>
              </w:rPr>
              <w:t>;</w:t>
            </w:r>
            <w:r>
              <w:rPr>
                <w:rFonts w:hint="eastAsia" w:ascii="仿宋_GB2312" w:hAnsi="仿宋_GB2312" w:eastAsia="仿宋_GB2312" w:cs="仿宋_GB2312"/>
                <w:bCs/>
                <w:sz w:val="24"/>
              </w:rPr>
              <w:t>财政预算审查</w:t>
            </w:r>
            <w:r>
              <w:rPr>
                <w:rFonts w:ascii="仿宋_GB2312" w:hAnsi="仿宋_GB2312" w:eastAsia="仿宋_GB2312" w:cs="仿宋_GB2312"/>
                <w:bCs/>
                <w:sz w:val="24"/>
              </w:rPr>
              <w:t>20</w:t>
            </w:r>
            <w:r>
              <w:rPr>
                <w:rFonts w:hint="eastAsia" w:ascii="仿宋_GB2312" w:hAnsi="仿宋_GB2312" w:eastAsia="仿宋_GB2312" w:cs="仿宋_GB2312"/>
                <w:bCs/>
                <w:sz w:val="24"/>
              </w:rPr>
              <w:t>万元；人大常委会会议经费</w:t>
            </w:r>
            <w:r>
              <w:rPr>
                <w:rFonts w:ascii="仿宋_GB2312" w:hAnsi="仿宋_GB2312" w:eastAsia="仿宋_GB2312" w:cs="仿宋_GB2312"/>
                <w:bCs/>
                <w:sz w:val="24"/>
              </w:rPr>
              <w:t>15</w:t>
            </w:r>
            <w:r>
              <w:rPr>
                <w:rFonts w:hint="eastAsia" w:ascii="仿宋_GB2312" w:hAnsi="仿宋_GB2312" w:eastAsia="仿宋_GB2312" w:cs="仿宋_GB2312"/>
                <w:bCs/>
                <w:sz w:val="24"/>
              </w:rPr>
              <w:t>万元、议案办理经费</w:t>
            </w:r>
            <w:r>
              <w:rPr>
                <w:rFonts w:ascii="仿宋_GB2312" w:hAnsi="仿宋_GB2312" w:eastAsia="仿宋_GB2312" w:cs="仿宋_GB2312"/>
                <w:bCs/>
                <w:sz w:val="24"/>
              </w:rPr>
              <w:t>18</w:t>
            </w:r>
            <w:r>
              <w:rPr>
                <w:rFonts w:hint="eastAsia" w:ascii="仿宋_GB2312" w:hAnsi="仿宋_GB2312" w:eastAsia="仿宋_GB2312" w:cs="仿宋_GB2312"/>
                <w:bCs/>
                <w:sz w:val="24"/>
              </w:rPr>
              <w:t>万元</w:t>
            </w:r>
            <w:r>
              <w:rPr>
                <w:rFonts w:ascii="仿宋_GB2312" w:hAnsi="仿宋_GB2312" w:eastAsia="仿宋_GB2312" w:cs="仿宋_GB2312"/>
                <w:bCs/>
                <w:sz w:val="24"/>
              </w:rPr>
              <w:t>,</w:t>
            </w:r>
            <w:r>
              <w:rPr>
                <w:rFonts w:hint="eastAsia" w:ascii="仿宋_GB2312" w:hAnsi="仿宋_GB2312" w:eastAsia="仿宋_GB2312" w:cs="仿宋_GB2312"/>
                <w:bCs/>
                <w:sz w:val="24"/>
              </w:rPr>
              <w:t>我办实际发生项目支出</w:t>
            </w:r>
            <w:r>
              <w:rPr>
                <w:rFonts w:ascii="仿宋_GB2312" w:hAnsi="仿宋_GB2312" w:eastAsia="仿宋_GB2312" w:cs="仿宋_GB2312"/>
                <w:bCs/>
                <w:sz w:val="24"/>
              </w:rPr>
              <w:t>169.50</w:t>
            </w:r>
            <w:r>
              <w:rPr>
                <w:rFonts w:hint="eastAsia" w:ascii="仿宋_GB2312" w:hAnsi="仿宋_GB2312" w:eastAsia="仿宋_GB2312" w:cs="仿宋_GB2312"/>
                <w:bCs/>
                <w:sz w:val="24"/>
              </w:rPr>
              <w:t>万元，项目支出安排率达到</w:t>
            </w:r>
            <w:r>
              <w:rPr>
                <w:rFonts w:ascii="仿宋_GB2312" w:hAnsi="仿宋_GB2312" w:eastAsia="仿宋_GB2312" w:cs="仿宋_GB2312"/>
                <w:bCs/>
                <w:sz w:val="24"/>
              </w:rPr>
              <w:t>100%</w:t>
            </w:r>
            <w:r>
              <w:rPr>
                <w:rFonts w:hint="eastAsia" w:ascii="仿宋_GB2312" w:hAnsi="仿宋_GB2312" w:eastAsia="仿宋_GB2312" w:cs="仿宋_GB2312"/>
                <w:bCs/>
                <w:sz w:val="24"/>
              </w:rPr>
              <w:t>。</w:t>
            </w:r>
          </w:p>
          <w:p>
            <w:pPr>
              <w:numPr>
                <w:ilvl w:val="0"/>
                <w:numId w:val="4"/>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专项资金实际使用情况分析</w:t>
            </w:r>
          </w:p>
          <w:p>
            <w:pPr>
              <w:spacing w:line="560" w:lineRule="exact"/>
              <w:rPr>
                <w:rFonts w:ascii="仿宋_GB2312" w:hAnsi="仿宋_GB2312" w:eastAsia="仿宋_GB2312" w:cs="仿宋_GB2312"/>
                <w:bCs/>
                <w:sz w:val="24"/>
              </w:rPr>
            </w:pPr>
            <w:r>
              <w:rPr>
                <w:rFonts w:ascii="仿宋_GB2312" w:hAnsi="仿宋_GB2312" w:eastAsia="仿宋_GB2312" w:cs="仿宋_GB2312"/>
                <w:bCs/>
                <w:sz w:val="24"/>
              </w:rPr>
              <w:t xml:space="preserve">      </w:t>
            </w:r>
            <w:r>
              <w:rPr>
                <w:rFonts w:hint="eastAsia" w:ascii="仿宋_GB2312" w:hAnsi="仿宋_GB2312" w:eastAsia="仿宋_GB2312" w:cs="仿宋_GB2312"/>
                <w:bCs/>
                <w:sz w:val="24"/>
              </w:rPr>
              <w:t>我办专项资金主要用于</w:t>
            </w:r>
            <w:r>
              <w:rPr>
                <w:rFonts w:hint="eastAsia" w:ascii="仿宋_GB2312" w:hAnsi="仿宋_GB2312" w:eastAsia="仿宋_GB2312" w:cs="仿宋_GB2312"/>
                <w:color w:val="2B2B2B"/>
                <w:sz w:val="24"/>
                <w:shd w:val="clear" w:color="auto" w:fill="FFFFFF"/>
              </w:rPr>
              <w:t>人大代表活动经费、</w:t>
            </w:r>
            <w:r>
              <w:rPr>
                <w:rFonts w:hint="eastAsia" w:ascii="仿宋_GB2312" w:hAnsi="仿宋_GB2312" w:eastAsia="仿宋_GB2312" w:cs="仿宋_GB2312"/>
                <w:bCs/>
                <w:sz w:val="24"/>
              </w:rPr>
              <w:t>人大常委调研活动经费；工委及办公室业务费；离岗处级、正职退休干部经费；专项法律检查经费；财政预算审查；人大常委会会议经费；议案办理经费等，为促进人大代表发挥工作的主观能动性，为县人大</w:t>
            </w:r>
            <w:r>
              <w:rPr>
                <w:rFonts w:hint="eastAsia" w:ascii="仿宋_GB2312" w:hAnsi="仿宋_GB2312" w:eastAsia="仿宋_GB2312" w:cs="仿宋_GB2312"/>
                <w:color w:val="2B2B2B"/>
                <w:sz w:val="24"/>
                <w:shd w:val="clear" w:color="auto" w:fill="FFFFFF"/>
              </w:rPr>
              <w:t>常委会依法履职提供了坚实保障。支出科目多为印刷费、会议费、差旅费、场租费等。</w:t>
            </w:r>
          </w:p>
          <w:p>
            <w:pPr>
              <w:numPr>
                <w:ilvl w:val="0"/>
                <w:numId w:val="5"/>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专项资金管理情况分析</w:t>
            </w:r>
          </w:p>
          <w:p>
            <w:pPr>
              <w:spacing w:line="560" w:lineRule="exact"/>
              <w:rPr>
                <w:rFonts w:ascii="仿宋_GB2312" w:hAnsi="仿宋_GB2312" w:eastAsia="仿宋_GB2312" w:cs="仿宋_GB2312"/>
                <w:bCs/>
                <w:sz w:val="24"/>
              </w:rPr>
            </w:pPr>
            <w:r>
              <w:rPr>
                <w:rFonts w:ascii="仿宋_GB2312" w:hAnsi="仿宋_GB2312" w:eastAsia="仿宋_GB2312" w:cs="仿宋_GB2312"/>
                <w:bCs/>
                <w:sz w:val="24"/>
              </w:rPr>
              <w:t xml:space="preserve">       </w:t>
            </w:r>
            <w:r>
              <w:rPr>
                <w:rFonts w:hint="eastAsia" w:ascii="仿宋_GB2312" w:hAnsi="仿宋_GB2312" w:eastAsia="仿宋_GB2312" w:cs="仿宋_GB2312"/>
                <w:bCs/>
                <w:sz w:val="24"/>
              </w:rPr>
              <w:t>我办专项资金实行专款专用、专项核算，费用支出严格按财务审批程序和会议进程等进行支付。</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三、部门（单位）专项组织实施情况</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（一）专项组织情况分析</w:t>
            </w:r>
          </w:p>
          <w:p>
            <w:pPr>
              <w:spacing w:line="600" w:lineRule="exact"/>
              <w:ind w:firstLine="480" w:firstLine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坚持抓大事、议大事。批准了</w:t>
            </w:r>
            <w:r>
              <w:rPr>
                <w:rFonts w:ascii="仿宋_GB2312" w:hAnsi="仿宋_GB2312" w:eastAsia="仿宋_GB2312" w:cs="仿宋_GB2312"/>
                <w:color w:val="2B2B2B"/>
                <w:sz w:val="24"/>
                <w:shd w:val="clear" w:color="auto" w:fill="FFFFFF"/>
              </w:rPr>
              <w:t>2020</w:t>
            </w:r>
            <w:r>
              <w:rPr>
                <w:rFonts w:hint="eastAsia" w:ascii="仿宋_GB2312" w:hAnsi="仿宋_GB2312" w:eastAsia="仿宋_GB2312" w:cs="仿宋_GB2312"/>
                <w:color w:val="2B2B2B"/>
                <w:sz w:val="24"/>
                <w:shd w:val="clear" w:color="auto" w:fill="FFFFFF"/>
              </w:rPr>
              <w:t>年国民经济和社会发展计划，确保了全县重点项目的顺利推进；批准了</w:t>
            </w:r>
            <w:r>
              <w:rPr>
                <w:rFonts w:ascii="仿宋_GB2312" w:hAnsi="仿宋_GB2312" w:eastAsia="仿宋_GB2312" w:cs="仿宋_GB2312"/>
                <w:color w:val="2B2B2B"/>
                <w:sz w:val="24"/>
                <w:shd w:val="clear" w:color="auto" w:fill="FFFFFF"/>
              </w:rPr>
              <w:t>2019</w:t>
            </w:r>
            <w:r>
              <w:rPr>
                <w:rFonts w:hint="eastAsia" w:ascii="仿宋_GB2312" w:hAnsi="仿宋_GB2312" w:eastAsia="仿宋_GB2312" w:cs="仿宋_GB2312"/>
                <w:color w:val="2B2B2B"/>
                <w:sz w:val="24"/>
                <w:shd w:val="clear" w:color="auto" w:fill="FFFFFF"/>
              </w:rPr>
              <w:t>年财政决算、</w:t>
            </w:r>
            <w:r>
              <w:rPr>
                <w:rFonts w:ascii="仿宋_GB2312" w:hAnsi="仿宋_GB2312" w:eastAsia="仿宋_GB2312" w:cs="仿宋_GB2312"/>
                <w:color w:val="2B2B2B"/>
                <w:sz w:val="24"/>
                <w:shd w:val="clear" w:color="auto" w:fill="FFFFFF"/>
              </w:rPr>
              <w:t>2020</w:t>
            </w:r>
            <w:r>
              <w:rPr>
                <w:rFonts w:hint="eastAsia" w:ascii="仿宋_GB2312" w:hAnsi="仿宋_GB2312" w:eastAsia="仿宋_GB2312" w:cs="仿宋_GB2312"/>
                <w:color w:val="2B2B2B"/>
                <w:sz w:val="24"/>
                <w:shd w:val="clear" w:color="auto" w:fill="FFFFFF"/>
              </w:rPr>
              <w:t>年财政预算，推动政府强化预算指导和约束，提高财政资金使用绩效；作出了《关于废止县人大常委会同意政府融资平台举债融资的五个决定的决定》，有效防控债务风险。</w:t>
            </w:r>
          </w:p>
          <w:p>
            <w:pPr>
              <w:spacing w:line="600" w:lineRule="exact"/>
              <w:ind w:firstLine="480" w:firstLine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始终坚持党管干部和依法任免的有机统一，严格落实任前法律考试和宪法宣誓制度，依法任免国家机关工作人员。同时，不断改进任后监督方式，通过工作评议、视察调查、听取专项工作报告等形式，加强对被任命人员依法履职情况的监督。一年来，共任免政府工作人员</w:t>
            </w:r>
            <w:r>
              <w:rPr>
                <w:rFonts w:ascii="仿宋_GB2312" w:hAnsi="仿宋_GB2312" w:eastAsia="仿宋_GB2312" w:cs="仿宋_GB2312"/>
                <w:color w:val="2B2B2B"/>
                <w:sz w:val="24"/>
                <w:shd w:val="clear" w:color="auto" w:fill="FFFFFF"/>
              </w:rPr>
              <w:t>5</w:t>
            </w:r>
            <w:r>
              <w:rPr>
                <w:rFonts w:hint="eastAsia" w:ascii="仿宋_GB2312" w:hAnsi="仿宋_GB2312" w:eastAsia="仿宋_GB2312" w:cs="仿宋_GB2312"/>
                <w:color w:val="2B2B2B"/>
                <w:sz w:val="24"/>
                <w:shd w:val="clear" w:color="auto" w:fill="FFFFFF"/>
              </w:rPr>
              <w:t>人次，监察委工作人员</w:t>
            </w:r>
            <w:r>
              <w:rPr>
                <w:rFonts w:ascii="仿宋_GB2312" w:hAnsi="仿宋_GB2312" w:eastAsia="仿宋_GB2312" w:cs="仿宋_GB2312"/>
                <w:color w:val="2B2B2B"/>
                <w:sz w:val="24"/>
                <w:shd w:val="clear" w:color="auto" w:fill="FFFFFF"/>
              </w:rPr>
              <w:t>2</w:t>
            </w:r>
            <w:r>
              <w:rPr>
                <w:rFonts w:hint="eastAsia" w:ascii="仿宋_GB2312" w:hAnsi="仿宋_GB2312" w:eastAsia="仿宋_GB2312" w:cs="仿宋_GB2312"/>
                <w:color w:val="2B2B2B"/>
                <w:sz w:val="24"/>
                <w:shd w:val="clear" w:color="auto" w:fill="FFFFFF"/>
              </w:rPr>
              <w:t>人次，法院工作人员</w:t>
            </w:r>
            <w:r>
              <w:rPr>
                <w:rFonts w:ascii="仿宋_GB2312" w:hAnsi="仿宋_GB2312" w:eastAsia="仿宋_GB2312" w:cs="仿宋_GB2312"/>
                <w:color w:val="2B2B2B"/>
                <w:sz w:val="24"/>
                <w:shd w:val="clear" w:color="auto" w:fill="FFFFFF"/>
              </w:rPr>
              <w:t>6</w:t>
            </w:r>
            <w:r>
              <w:rPr>
                <w:rFonts w:hint="eastAsia" w:ascii="仿宋_GB2312" w:hAnsi="仿宋_GB2312" w:eastAsia="仿宋_GB2312" w:cs="仿宋_GB2312"/>
                <w:color w:val="2B2B2B"/>
                <w:sz w:val="24"/>
                <w:shd w:val="clear" w:color="auto" w:fill="FFFFFF"/>
              </w:rPr>
              <w:t>人次，常委会工作人员</w:t>
            </w:r>
            <w:r>
              <w:rPr>
                <w:rFonts w:ascii="仿宋_GB2312" w:hAnsi="仿宋_GB2312" w:eastAsia="仿宋_GB2312" w:cs="仿宋_GB2312"/>
                <w:color w:val="2B2B2B"/>
                <w:sz w:val="24"/>
                <w:shd w:val="clear" w:color="auto" w:fill="FFFFFF"/>
              </w:rPr>
              <w:t>22</w:t>
            </w:r>
            <w:r>
              <w:rPr>
                <w:rFonts w:hint="eastAsia" w:ascii="仿宋_GB2312" w:hAnsi="仿宋_GB2312" w:eastAsia="仿宋_GB2312" w:cs="仿宋_GB2312"/>
                <w:color w:val="2B2B2B"/>
                <w:sz w:val="24"/>
                <w:shd w:val="clear" w:color="auto" w:fill="FFFFFF"/>
              </w:rPr>
              <w:t>人次，实现了党委意图与人民意志的有机结合。</w:t>
            </w:r>
          </w:p>
          <w:p>
            <w:pPr>
              <w:spacing w:line="600" w:lineRule="exact"/>
              <w:ind w:firstLine="480" w:firstLine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优化代表履职服务保障。将代表工作平台作为代表工作的一大重要载体，全县共建成平台</w:t>
            </w:r>
            <w:r>
              <w:rPr>
                <w:rFonts w:ascii="仿宋_GB2312" w:hAnsi="仿宋_GB2312" w:eastAsia="仿宋_GB2312" w:cs="仿宋_GB2312"/>
                <w:color w:val="2B2B2B"/>
                <w:sz w:val="24"/>
                <w:shd w:val="clear" w:color="auto" w:fill="FFFFFF"/>
              </w:rPr>
              <w:t>209</w:t>
            </w:r>
            <w:r>
              <w:rPr>
                <w:rFonts w:hint="eastAsia" w:ascii="仿宋_GB2312" w:hAnsi="仿宋_GB2312" w:eastAsia="仿宋_GB2312" w:cs="仿宋_GB2312"/>
                <w:color w:val="2B2B2B"/>
                <w:sz w:val="24"/>
                <w:shd w:val="clear" w:color="auto" w:fill="FFFFFF"/>
              </w:rPr>
              <w:t>个，覆盖所有乡镇、村（社区）。全年进站活动的各级人大代表</w:t>
            </w:r>
            <w:r>
              <w:rPr>
                <w:rFonts w:ascii="仿宋_GB2312" w:hAnsi="仿宋_GB2312" w:eastAsia="仿宋_GB2312" w:cs="仿宋_GB2312"/>
                <w:color w:val="2B2B2B"/>
                <w:sz w:val="24"/>
                <w:shd w:val="clear" w:color="auto" w:fill="FFFFFF"/>
              </w:rPr>
              <w:t>1583</w:t>
            </w:r>
            <w:r>
              <w:rPr>
                <w:rFonts w:hint="eastAsia" w:ascii="仿宋_GB2312" w:hAnsi="仿宋_GB2312" w:eastAsia="仿宋_GB2312" w:cs="仿宋_GB2312"/>
                <w:color w:val="2B2B2B"/>
                <w:sz w:val="24"/>
                <w:shd w:val="clear" w:color="auto" w:fill="FFFFFF"/>
              </w:rPr>
              <w:t>人次，累计接待群众</w:t>
            </w:r>
            <w:r>
              <w:rPr>
                <w:rFonts w:ascii="仿宋_GB2312" w:hAnsi="仿宋_GB2312" w:eastAsia="仿宋_GB2312" w:cs="仿宋_GB2312"/>
                <w:color w:val="2B2B2B"/>
                <w:sz w:val="24"/>
                <w:shd w:val="clear" w:color="auto" w:fill="FFFFFF"/>
              </w:rPr>
              <w:t>5638</w:t>
            </w:r>
            <w:r>
              <w:rPr>
                <w:rFonts w:hint="eastAsia" w:ascii="仿宋_GB2312" w:hAnsi="仿宋_GB2312" w:eastAsia="仿宋_GB2312" w:cs="仿宋_GB2312"/>
                <w:color w:val="2B2B2B"/>
                <w:sz w:val="24"/>
                <w:shd w:val="clear" w:color="auto" w:fill="FFFFFF"/>
              </w:rPr>
              <w:t>人，帮助群众解决问题</w:t>
            </w:r>
            <w:r>
              <w:rPr>
                <w:rFonts w:ascii="仿宋_GB2312" w:hAnsi="仿宋_GB2312" w:eastAsia="仿宋_GB2312" w:cs="仿宋_GB2312"/>
                <w:color w:val="2B2B2B"/>
                <w:sz w:val="24"/>
                <w:shd w:val="clear" w:color="auto" w:fill="FFFFFF"/>
              </w:rPr>
              <w:t>200</w:t>
            </w:r>
            <w:r>
              <w:rPr>
                <w:rFonts w:hint="eastAsia" w:ascii="仿宋_GB2312" w:hAnsi="仿宋_GB2312" w:eastAsia="仿宋_GB2312" w:cs="仿宋_GB2312"/>
                <w:color w:val="2B2B2B"/>
                <w:sz w:val="24"/>
                <w:shd w:val="clear" w:color="auto" w:fill="FFFFFF"/>
              </w:rPr>
              <w:t>余个。进一步拉近了代表联系群众的距离，拓宽了畅通联系的渠道，形成了汇民声、聚民智、解民忧的新机制，代表作用更易发挥，切实打通了代表服务群众的最后一公里。创新代表小组活动。将组织开展代表小组活动作为代表工作的一种重要形式，全县共设立代表小组</w:t>
            </w:r>
            <w:r>
              <w:rPr>
                <w:rFonts w:ascii="仿宋_GB2312" w:hAnsi="仿宋_GB2312" w:eastAsia="仿宋_GB2312" w:cs="仿宋_GB2312"/>
                <w:color w:val="2B2B2B"/>
                <w:sz w:val="24"/>
                <w:shd w:val="clear" w:color="auto" w:fill="FFFFFF"/>
              </w:rPr>
              <w:t>95</w:t>
            </w:r>
            <w:r>
              <w:rPr>
                <w:rFonts w:hint="eastAsia" w:ascii="仿宋_GB2312" w:hAnsi="仿宋_GB2312" w:eastAsia="仿宋_GB2312" w:cs="仿宋_GB2312"/>
                <w:color w:val="2B2B2B"/>
                <w:sz w:val="24"/>
                <w:shd w:val="clear" w:color="auto" w:fill="FFFFFF"/>
              </w:rPr>
              <w:t>个，省、市、县、乡四级代表全部进入代表小组，并创新活动形式，小组活动与中心工作、专业工作、志愿服务相结合，全年共开展各类活动</w:t>
            </w:r>
            <w:r>
              <w:rPr>
                <w:rFonts w:ascii="仿宋_GB2312" w:hAnsi="仿宋_GB2312" w:eastAsia="仿宋_GB2312" w:cs="仿宋_GB2312"/>
                <w:color w:val="2B2B2B"/>
                <w:sz w:val="24"/>
                <w:shd w:val="clear" w:color="auto" w:fill="FFFFFF"/>
              </w:rPr>
              <w:t>236</w:t>
            </w:r>
            <w:r>
              <w:rPr>
                <w:rFonts w:hint="eastAsia" w:ascii="仿宋_GB2312" w:hAnsi="仿宋_GB2312" w:eastAsia="仿宋_GB2312" w:cs="仿宋_GB2312"/>
                <w:color w:val="2B2B2B"/>
                <w:sz w:val="24"/>
                <w:shd w:val="clear" w:color="auto" w:fill="FFFFFF"/>
              </w:rPr>
              <w:t>次。</w:t>
            </w:r>
          </w:p>
          <w:p>
            <w:pPr>
              <w:spacing w:line="600" w:lineRule="exact"/>
              <w:ind w:firstLine="480" w:firstLine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督办代表议案建议。将督办议案建议作为代表工作的一个重要手段，听取代表建议办理情况的报告，对县十七届人大四次会议期间代表提出的</w:t>
            </w:r>
            <w:r>
              <w:rPr>
                <w:rFonts w:ascii="仿宋_GB2312" w:hAnsi="仿宋_GB2312" w:eastAsia="仿宋_GB2312" w:cs="仿宋_GB2312"/>
                <w:color w:val="2B2B2B"/>
                <w:sz w:val="24"/>
                <w:shd w:val="clear" w:color="auto" w:fill="FFFFFF"/>
              </w:rPr>
              <w:t>83</w:t>
            </w:r>
            <w:r>
              <w:rPr>
                <w:rFonts w:hint="eastAsia" w:ascii="仿宋_GB2312" w:hAnsi="仿宋_GB2312" w:eastAsia="仿宋_GB2312" w:cs="仿宋_GB2312"/>
                <w:color w:val="2B2B2B"/>
                <w:sz w:val="24"/>
                <w:shd w:val="clear" w:color="auto" w:fill="FFFFFF"/>
              </w:rPr>
              <w:t>件建议，采取重点督办、组织代表参与督办等举措，解决或正在解决的</w:t>
            </w:r>
            <w:r>
              <w:rPr>
                <w:rFonts w:ascii="仿宋_GB2312" w:hAnsi="仿宋_GB2312" w:eastAsia="仿宋_GB2312" w:cs="仿宋_GB2312"/>
                <w:color w:val="2B2B2B"/>
                <w:sz w:val="24"/>
                <w:shd w:val="clear" w:color="auto" w:fill="FFFFFF"/>
              </w:rPr>
              <w:t>29</w:t>
            </w:r>
            <w:r>
              <w:rPr>
                <w:rFonts w:hint="eastAsia" w:ascii="仿宋_GB2312" w:hAnsi="仿宋_GB2312" w:eastAsia="仿宋_GB2312" w:cs="仿宋_GB2312"/>
                <w:color w:val="2B2B2B"/>
                <w:sz w:val="24"/>
                <w:shd w:val="clear" w:color="auto" w:fill="FFFFFF"/>
              </w:rPr>
              <w:t>件，列入计划逐步解决的</w:t>
            </w:r>
            <w:r>
              <w:rPr>
                <w:rFonts w:ascii="仿宋_GB2312" w:hAnsi="仿宋_GB2312" w:eastAsia="仿宋_GB2312" w:cs="仿宋_GB2312"/>
                <w:color w:val="2B2B2B"/>
                <w:sz w:val="24"/>
                <w:shd w:val="clear" w:color="auto" w:fill="FFFFFF"/>
              </w:rPr>
              <w:t>41</w:t>
            </w:r>
            <w:r>
              <w:rPr>
                <w:rFonts w:hint="eastAsia" w:ascii="仿宋_GB2312" w:hAnsi="仿宋_GB2312" w:eastAsia="仿宋_GB2312" w:cs="仿宋_GB2312"/>
                <w:color w:val="2B2B2B"/>
                <w:sz w:val="24"/>
                <w:shd w:val="clear" w:color="auto" w:fill="FFFFFF"/>
              </w:rPr>
              <w:t>件，因目前条件限制或其他原因留待以后解决的</w:t>
            </w:r>
            <w:r>
              <w:rPr>
                <w:rFonts w:ascii="仿宋_GB2312" w:hAnsi="仿宋_GB2312" w:eastAsia="仿宋_GB2312" w:cs="仿宋_GB2312"/>
                <w:color w:val="2B2B2B"/>
                <w:sz w:val="24"/>
                <w:shd w:val="clear" w:color="auto" w:fill="FFFFFF"/>
              </w:rPr>
              <w:t>13</w:t>
            </w:r>
            <w:r>
              <w:rPr>
                <w:rFonts w:hint="eastAsia" w:ascii="仿宋_GB2312" w:hAnsi="仿宋_GB2312" w:eastAsia="仿宋_GB2312" w:cs="仿宋_GB2312"/>
                <w:color w:val="2B2B2B"/>
                <w:sz w:val="24"/>
                <w:shd w:val="clear" w:color="auto" w:fill="FFFFFF"/>
              </w:rPr>
              <w:t>件，实现办复率、见面率、满意率</w:t>
            </w:r>
            <w:r>
              <w:rPr>
                <w:rFonts w:ascii="仿宋_GB2312" w:hAnsi="仿宋_GB2312" w:eastAsia="仿宋_GB2312" w:cs="仿宋_GB2312"/>
                <w:color w:val="2B2B2B"/>
                <w:sz w:val="24"/>
                <w:shd w:val="clear" w:color="auto" w:fill="FFFFFF"/>
              </w:rPr>
              <w:t>100%</w:t>
            </w:r>
            <w:r>
              <w:rPr>
                <w:rFonts w:hint="eastAsia" w:ascii="仿宋_GB2312" w:hAnsi="仿宋_GB2312" w:eastAsia="仿宋_GB2312" w:cs="仿宋_GB2312"/>
                <w:color w:val="2B2B2B"/>
                <w:sz w:val="24"/>
                <w:shd w:val="clear" w:color="auto" w:fill="FFFFFF"/>
              </w:rPr>
              <w:t>。紧盯议案办理，听取专项工作报告，十七届人大四次会议提出的两件议案办理效果明显，城乡供水一体化项目已经启动建设，全县人民都将喝上优质放心的铁山水；督促政府出台《关于推动岳阳县实体经济高质量发展的实施办法》，民营经济发展更有保障。</w:t>
            </w:r>
          </w:p>
          <w:p>
            <w:pPr>
              <w:spacing w:line="600" w:lineRule="exact"/>
              <w:ind w:firstLine="480" w:firstLine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增强建议办理实效。出台《岳阳县人民代表大会代表建议、批评和意见处理办法》，加大建议督办力度，</w:t>
            </w:r>
            <w:r>
              <w:rPr>
                <w:rFonts w:ascii="仿宋_GB2312" w:hAnsi="仿宋_GB2312" w:eastAsia="仿宋_GB2312" w:cs="仿宋_GB2312"/>
                <w:color w:val="2B2B2B"/>
                <w:sz w:val="24"/>
                <w:shd w:val="clear" w:color="auto" w:fill="FFFFFF"/>
              </w:rPr>
              <w:t>4</w:t>
            </w:r>
            <w:r>
              <w:rPr>
                <w:rFonts w:hint="eastAsia" w:ascii="仿宋_GB2312" w:hAnsi="仿宋_GB2312" w:eastAsia="仿宋_GB2312" w:cs="仿宋_GB2312"/>
                <w:color w:val="2B2B2B"/>
                <w:sz w:val="24"/>
                <w:shd w:val="clear" w:color="auto" w:fill="FFFFFF"/>
              </w:rPr>
              <w:t>件重点处理建议由主任会议成员牵头督办；听取政府和相关部门建议办理情况报告，实行建议内容和办理结果网上公开。县十七届人大三次会议期间，代表共提出建议</w:t>
            </w:r>
            <w:r>
              <w:rPr>
                <w:rFonts w:ascii="仿宋_GB2312" w:hAnsi="仿宋_GB2312" w:eastAsia="仿宋_GB2312" w:cs="仿宋_GB2312"/>
                <w:color w:val="2B2B2B"/>
                <w:sz w:val="24"/>
                <w:shd w:val="clear" w:color="auto" w:fill="FFFFFF"/>
              </w:rPr>
              <w:t>81</w:t>
            </w:r>
            <w:r>
              <w:rPr>
                <w:rFonts w:hint="eastAsia" w:ascii="仿宋_GB2312" w:hAnsi="仿宋_GB2312" w:eastAsia="仿宋_GB2312" w:cs="仿宋_GB2312"/>
                <w:color w:val="2B2B2B"/>
                <w:sz w:val="24"/>
                <w:shd w:val="clear" w:color="auto" w:fill="FFFFFF"/>
              </w:rPr>
              <w:t>件，解决或正在解决的</w:t>
            </w:r>
            <w:r>
              <w:rPr>
                <w:rFonts w:ascii="仿宋_GB2312" w:hAnsi="仿宋_GB2312" w:eastAsia="仿宋_GB2312" w:cs="仿宋_GB2312"/>
                <w:color w:val="2B2B2B"/>
                <w:sz w:val="24"/>
                <w:shd w:val="clear" w:color="auto" w:fill="FFFFFF"/>
              </w:rPr>
              <w:t>14</w:t>
            </w:r>
            <w:r>
              <w:rPr>
                <w:rFonts w:hint="eastAsia" w:ascii="仿宋_GB2312" w:hAnsi="仿宋_GB2312" w:eastAsia="仿宋_GB2312" w:cs="仿宋_GB2312"/>
                <w:color w:val="2B2B2B"/>
                <w:sz w:val="24"/>
                <w:shd w:val="clear" w:color="auto" w:fill="FFFFFF"/>
              </w:rPr>
              <w:t>件，列入计划逐步解决的</w:t>
            </w:r>
            <w:r>
              <w:rPr>
                <w:rFonts w:ascii="仿宋_GB2312" w:hAnsi="仿宋_GB2312" w:eastAsia="仿宋_GB2312" w:cs="仿宋_GB2312"/>
                <w:color w:val="2B2B2B"/>
                <w:sz w:val="24"/>
                <w:shd w:val="clear" w:color="auto" w:fill="FFFFFF"/>
              </w:rPr>
              <w:t>60</w:t>
            </w:r>
            <w:r>
              <w:rPr>
                <w:rFonts w:hint="eastAsia" w:ascii="仿宋_GB2312" w:hAnsi="仿宋_GB2312" w:eastAsia="仿宋_GB2312" w:cs="仿宋_GB2312"/>
                <w:color w:val="2B2B2B"/>
                <w:sz w:val="24"/>
                <w:shd w:val="clear" w:color="auto" w:fill="FFFFFF"/>
              </w:rPr>
              <w:t>件，因目前条件限制或其他原因留待以后解决的</w:t>
            </w:r>
            <w:r>
              <w:rPr>
                <w:rFonts w:ascii="仿宋_GB2312" w:hAnsi="仿宋_GB2312" w:eastAsia="仿宋_GB2312" w:cs="仿宋_GB2312"/>
                <w:color w:val="2B2B2B"/>
                <w:sz w:val="24"/>
                <w:shd w:val="clear" w:color="auto" w:fill="FFFFFF"/>
              </w:rPr>
              <w:t>7</w:t>
            </w:r>
            <w:r>
              <w:rPr>
                <w:rFonts w:hint="eastAsia" w:ascii="仿宋_GB2312" w:hAnsi="仿宋_GB2312" w:eastAsia="仿宋_GB2312" w:cs="仿宋_GB2312"/>
                <w:color w:val="2B2B2B"/>
                <w:sz w:val="24"/>
                <w:shd w:val="clear" w:color="auto" w:fill="FFFFFF"/>
              </w:rPr>
              <w:t>件，代表满意率达到</w:t>
            </w:r>
            <w:r>
              <w:rPr>
                <w:rFonts w:ascii="仿宋_GB2312" w:hAnsi="仿宋_GB2312" w:eastAsia="仿宋_GB2312" w:cs="仿宋_GB2312"/>
                <w:color w:val="2B2B2B"/>
                <w:sz w:val="24"/>
                <w:shd w:val="clear" w:color="auto" w:fill="FFFFFF"/>
              </w:rPr>
              <w:t>95%</w:t>
            </w:r>
            <w:r>
              <w:rPr>
                <w:rFonts w:hint="eastAsia" w:ascii="仿宋_GB2312" w:hAnsi="仿宋_GB2312" w:eastAsia="仿宋_GB2312" w:cs="仿宋_GB2312"/>
                <w:color w:val="2B2B2B"/>
                <w:sz w:val="24"/>
                <w:shd w:val="clear" w:color="auto" w:fill="FFFFFF"/>
              </w:rPr>
              <w:t>以上。</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（二）专项管理情况分析</w:t>
            </w:r>
          </w:p>
          <w:p>
            <w:pPr>
              <w:spacing w:line="600" w:lineRule="exact"/>
              <w:ind w:firstLine="480" w:firstLine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牢固树立“以人民为中心”的发展理念，综合运用调研、视察、执法检查等方式开展监督，促进“一府一委两院”工作更加规范有序高效。坚持精准监督、有效监督，努力提高监督实效，推动经济社会高质量发展，保障人民共享发展成果。</w:t>
            </w:r>
          </w:p>
          <w:p>
            <w:pPr>
              <w:spacing w:line="600" w:lineRule="exact"/>
              <w:ind w:firstLine="480" w:firstLine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聚焦科学发展。听取审议计划和预算执行情况、国有资产管理等专项报告，紧盯审计查出问题整改落实，收回违规资金</w:t>
            </w:r>
            <w:r>
              <w:rPr>
                <w:rFonts w:ascii="仿宋_GB2312" w:hAnsi="仿宋_GB2312" w:eastAsia="仿宋_GB2312" w:cs="仿宋_GB2312"/>
                <w:color w:val="2B2B2B"/>
                <w:sz w:val="24"/>
                <w:shd w:val="clear" w:color="auto" w:fill="FFFFFF"/>
              </w:rPr>
              <w:t>483</w:t>
            </w:r>
            <w:r>
              <w:rPr>
                <w:rFonts w:hint="eastAsia" w:ascii="仿宋_GB2312" w:hAnsi="仿宋_GB2312" w:eastAsia="仿宋_GB2312" w:cs="仿宋_GB2312"/>
                <w:color w:val="2B2B2B"/>
                <w:sz w:val="24"/>
                <w:shd w:val="clear" w:color="auto" w:fill="FFFFFF"/>
              </w:rPr>
              <w:t>万元，存量资金</w:t>
            </w:r>
            <w:r>
              <w:rPr>
                <w:rFonts w:ascii="仿宋_GB2312" w:hAnsi="仿宋_GB2312" w:eastAsia="仿宋_GB2312" w:cs="仿宋_GB2312"/>
                <w:color w:val="2B2B2B"/>
                <w:sz w:val="24"/>
                <w:shd w:val="clear" w:color="auto" w:fill="FFFFFF"/>
              </w:rPr>
              <w:t>581</w:t>
            </w:r>
            <w:r>
              <w:rPr>
                <w:rFonts w:hint="eastAsia" w:ascii="仿宋_GB2312" w:hAnsi="仿宋_GB2312" w:eastAsia="仿宋_GB2312" w:cs="仿宋_GB2312"/>
                <w:color w:val="2B2B2B"/>
                <w:sz w:val="24"/>
                <w:shd w:val="clear" w:color="auto" w:fill="FFFFFF"/>
              </w:rPr>
              <w:t>万元，违规出借资金</w:t>
            </w:r>
            <w:r>
              <w:rPr>
                <w:rFonts w:ascii="仿宋_GB2312" w:hAnsi="仿宋_GB2312" w:eastAsia="仿宋_GB2312" w:cs="仿宋_GB2312"/>
                <w:color w:val="2B2B2B"/>
                <w:sz w:val="24"/>
                <w:shd w:val="clear" w:color="auto" w:fill="FFFFFF"/>
              </w:rPr>
              <w:t>24</w:t>
            </w:r>
            <w:r>
              <w:rPr>
                <w:rFonts w:hint="eastAsia" w:ascii="仿宋_GB2312" w:hAnsi="仿宋_GB2312" w:eastAsia="仿宋_GB2312" w:cs="仿宋_GB2312"/>
                <w:color w:val="2B2B2B"/>
                <w:sz w:val="24"/>
                <w:shd w:val="clear" w:color="auto" w:fill="FFFFFF"/>
              </w:rPr>
              <w:t>万元。启动预算联网在线监督，切实保障全县财政资金规范、合法、有效使用。听取台湾农民创业园发展情况报告，组织开展民族宗教工作调研、“三湘民族团结进步行”活动，凝聚发展合力。视察《政府工作报告》完成情况，听取“一县一特”产业发展、公共文化建设、县城范围内静态停车管理、特种设备安全监管、《城乡规划法》执行和村庄规划编制审议意见落实情况的报告，督促政府做好稳增长、促改革、调结构、惠民生、防风险、保稳定各项工作。</w:t>
            </w:r>
          </w:p>
          <w:p>
            <w:pPr>
              <w:spacing w:line="600" w:lineRule="exact"/>
              <w:ind w:firstLine="480" w:firstLine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聚焦民生改善。听取审议水、电、车票等价格制定、医保基金监管、城乡低保、残疾人保障、道路交通安全等专项工作报告；督促政府整改落实养老保险工作审议意见和加强音体美教学全面提升学生综合素质审议意见；听取我县疾病预防控制暨新冠肺炎集中收治医院建设情况的报告，推动合理配置医疗资源，提高应对突发公共卫生事件的处置能力；视察调研城区</w:t>
            </w:r>
            <w:r>
              <w:rPr>
                <w:rFonts w:ascii="仿宋_GB2312" w:hAnsi="仿宋_GB2312" w:eastAsia="仿宋_GB2312" w:cs="仿宋_GB2312"/>
                <w:color w:val="2B2B2B"/>
                <w:sz w:val="24"/>
                <w:shd w:val="clear" w:color="auto" w:fill="FFFFFF"/>
              </w:rPr>
              <w:t>10</w:t>
            </w:r>
            <w:r>
              <w:rPr>
                <w:rFonts w:hint="eastAsia" w:ascii="仿宋_GB2312" w:hAnsi="仿宋_GB2312" w:eastAsia="仿宋_GB2312" w:cs="仿宋_GB2312"/>
                <w:color w:val="2B2B2B"/>
                <w:sz w:val="24"/>
                <w:shd w:val="clear" w:color="auto" w:fill="FFFFFF"/>
              </w:rPr>
              <w:t>所学校教学秩序、校园安全和周边环境情况，指出问题</w:t>
            </w:r>
            <w:r>
              <w:rPr>
                <w:rFonts w:ascii="仿宋_GB2312" w:hAnsi="仿宋_GB2312" w:eastAsia="仿宋_GB2312" w:cs="仿宋_GB2312"/>
                <w:color w:val="2B2B2B"/>
                <w:sz w:val="24"/>
                <w:shd w:val="clear" w:color="auto" w:fill="FFFFFF"/>
              </w:rPr>
              <w:t>30</w:t>
            </w:r>
            <w:r>
              <w:rPr>
                <w:rFonts w:hint="eastAsia" w:ascii="仿宋_GB2312" w:hAnsi="仿宋_GB2312" w:eastAsia="仿宋_GB2312" w:cs="仿宋_GB2312"/>
                <w:color w:val="2B2B2B"/>
                <w:sz w:val="24"/>
                <w:shd w:val="clear" w:color="auto" w:fill="FFFFFF"/>
              </w:rPr>
              <w:t>余个；开展“三湘农民健康行”和“三湘农产品质量安全行”活动，增强农民卫生健康意识，守护舌尖上的安全，推动在发展中补齐民生短板，努力做到病有所医、老有所养、学有所教、劳有所得、住有所居、弱有所扶。</w:t>
            </w:r>
          </w:p>
          <w:p>
            <w:pPr>
              <w:spacing w:line="600" w:lineRule="exact"/>
              <w:ind w:firstLine="480" w:firstLine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聚焦生态环保。听取东洞庭湖水域禁捕退捕工作情况的报告，参与人工增殖放流活动，推动加快修复长江和东洞庭湖生态环境；开展《水污染防治法》执法检查，对全县水、大气、土壤污染防治情况进行调研，推动解决环保督察中暴露的重点问题；开展“三湘环保世纪行”活动，组织代表和环保志愿者到东洞庭湖自然保护区开展考察，传播生态环保理念，落实总书记“守护好一江碧水”的殷殷嘱托；听取我县野生动物保护情况的报告，开展《动物防疫法》执法检查，坚决禁止非法野生动物交易，革除滥食野生动物陋习。</w:t>
            </w:r>
          </w:p>
          <w:p>
            <w:pPr>
              <w:spacing w:line="600" w:lineRule="exact"/>
              <w:ind w:firstLine="480" w:firstLine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聚焦法治建设。听取审议拘留所、戒毒所、看守所和特殊人群涉毒人员收治中心建设与管理情况的报告，确保依法打击犯罪，维护社会治安，保护公民身心健康。加强司法监督，组织</w:t>
            </w:r>
            <w:r>
              <w:rPr>
                <w:rFonts w:ascii="仿宋_GB2312" w:hAnsi="仿宋_GB2312" w:eastAsia="仿宋_GB2312" w:cs="仿宋_GB2312"/>
                <w:color w:val="2B2B2B"/>
                <w:sz w:val="24"/>
                <w:shd w:val="clear" w:color="auto" w:fill="FFFFFF"/>
              </w:rPr>
              <w:t>4</w:t>
            </w:r>
            <w:r>
              <w:rPr>
                <w:rFonts w:hint="eastAsia" w:ascii="仿宋_GB2312" w:hAnsi="仿宋_GB2312" w:eastAsia="仿宋_GB2312" w:cs="仿宋_GB2312"/>
                <w:color w:val="2B2B2B"/>
                <w:sz w:val="24"/>
                <w:shd w:val="clear" w:color="auto" w:fill="FFFFFF"/>
              </w:rPr>
              <w:t>批次市县人大代表现场观摩庭审。建立规范性文件备案审查衔接联动机制，依法审查规范性文件</w:t>
            </w:r>
            <w:r>
              <w:rPr>
                <w:rFonts w:ascii="仿宋_GB2312" w:hAnsi="仿宋_GB2312" w:eastAsia="仿宋_GB2312" w:cs="仿宋_GB2312"/>
                <w:color w:val="2B2B2B"/>
                <w:sz w:val="24"/>
                <w:shd w:val="clear" w:color="auto" w:fill="FFFFFF"/>
              </w:rPr>
              <w:t>66</w:t>
            </w:r>
            <w:r>
              <w:rPr>
                <w:rFonts w:hint="eastAsia" w:ascii="仿宋_GB2312" w:hAnsi="仿宋_GB2312" w:eastAsia="仿宋_GB2312" w:cs="仿宋_GB2312"/>
                <w:color w:val="2B2B2B"/>
                <w:sz w:val="24"/>
                <w:shd w:val="clear" w:color="auto" w:fill="FFFFFF"/>
              </w:rPr>
              <w:t>件，其中县人民政府</w:t>
            </w:r>
            <w:r>
              <w:rPr>
                <w:rFonts w:ascii="仿宋_GB2312" w:hAnsi="仿宋_GB2312" w:eastAsia="仿宋_GB2312" w:cs="仿宋_GB2312"/>
                <w:color w:val="2B2B2B"/>
                <w:sz w:val="24"/>
                <w:shd w:val="clear" w:color="auto" w:fill="FFFFFF"/>
              </w:rPr>
              <w:t>29</w:t>
            </w:r>
            <w:r>
              <w:rPr>
                <w:rFonts w:hint="eastAsia" w:ascii="仿宋_GB2312" w:hAnsi="仿宋_GB2312" w:eastAsia="仿宋_GB2312" w:cs="仿宋_GB2312"/>
                <w:color w:val="2B2B2B"/>
                <w:sz w:val="24"/>
                <w:shd w:val="clear" w:color="auto" w:fill="FFFFFF"/>
              </w:rPr>
              <w:t>件，乡镇</w:t>
            </w:r>
            <w:r>
              <w:rPr>
                <w:rFonts w:ascii="仿宋_GB2312" w:hAnsi="仿宋_GB2312" w:eastAsia="仿宋_GB2312" w:cs="仿宋_GB2312"/>
                <w:color w:val="2B2B2B"/>
                <w:sz w:val="24"/>
                <w:shd w:val="clear" w:color="auto" w:fill="FFFFFF"/>
              </w:rPr>
              <w:t>37</w:t>
            </w:r>
            <w:r>
              <w:rPr>
                <w:rFonts w:hint="eastAsia" w:ascii="仿宋_GB2312" w:hAnsi="仿宋_GB2312" w:eastAsia="仿宋_GB2312" w:cs="仿宋_GB2312"/>
                <w:color w:val="2B2B2B"/>
                <w:sz w:val="24"/>
                <w:shd w:val="clear" w:color="auto" w:fill="FFFFFF"/>
              </w:rPr>
              <w:t>件，向市人大常委会报备</w:t>
            </w:r>
            <w:r>
              <w:rPr>
                <w:rFonts w:ascii="仿宋_GB2312" w:hAnsi="仿宋_GB2312" w:eastAsia="仿宋_GB2312" w:cs="仿宋_GB2312"/>
                <w:color w:val="2B2B2B"/>
                <w:sz w:val="24"/>
                <w:shd w:val="clear" w:color="auto" w:fill="FFFFFF"/>
              </w:rPr>
              <w:t>5</w:t>
            </w:r>
            <w:r>
              <w:rPr>
                <w:rFonts w:hint="eastAsia" w:ascii="仿宋_GB2312" w:hAnsi="仿宋_GB2312" w:eastAsia="仿宋_GB2312" w:cs="仿宋_GB2312"/>
                <w:color w:val="2B2B2B"/>
                <w:sz w:val="24"/>
                <w:shd w:val="clear" w:color="auto" w:fill="FFFFFF"/>
              </w:rPr>
              <w:t>件。配合《岳阳市铁山水库饮用水水源保护条例》等</w:t>
            </w:r>
            <w:r>
              <w:rPr>
                <w:rFonts w:ascii="仿宋_GB2312" w:hAnsi="仿宋_GB2312" w:eastAsia="仿宋_GB2312" w:cs="仿宋_GB2312"/>
                <w:color w:val="2B2B2B"/>
                <w:sz w:val="24"/>
                <w:shd w:val="clear" w:color="auto" w:fill="FFFFFF"/>
              </w:rPr>
              <w:t>4</w:t>
            </w:r>
            <w:r>
              <w:rPr>
                <w:rFonts w:hint="eastAsia" w:ascii="仿宋_GB2312" w:hAnsi="仿宋_GB2312" w:eastAsia="仿宋_GB2312" w:cs="仿宋_GB2312"/>
                <w:color w:val="2B2B2B"/>
                <w:sz w:val="24"/>
                <w:shd w:val="clear" w:color="auto" w:fill="FFFFFF"/>
              </w:rPr>
              <w:t>部法律法规立法调研，提出意见建议</w:t>
            </w:r>
            <w:r>
              <w:rPr>
                <w:rFonts w:ascii="仿宋_GB2312" w:hAnsi="仿宋_GB2312" w:eastAsia="仿宋_GB2312" w:cs="仿宋_GB2312"/>
                <w:color w:val="2B2B2B"/>
                <w:sz w:val="24"/>
                <w:shd w:val="clear" w:color="auto" w:fill="FFFFFF"/>
              </w:rPr>
              <w:t>50</w:t>
            </w:r>
            <w:r>
              <w:rPr>
                <w:rFonts w:hint="eastAsia" w:ascii="仿宋_GB2312" w:hAnsi="仿宋_GB2312" w:eastAsia="仿宋_GB2312" w:cs="仿宋_GB2312"/>
                <w:color w:val="2B2B2B"/>
                <w:sz w:val="24"/>
                <w:shd w:val="clear" w:color="auto" w:fill="FFFFFF"/>
              </w:rPr>
              <w:t>余条。热情接待来访群众，受理并交办来信来访事项</w:t>
            </w:r>
            <w:r>
              <w:rPr>
                <w:rFonts w:ascii="仿宋_GB2312" w:hAnsi="仿宋_GB2312" w:eastAsia="仿宋_GB2312" w:cs="仿宋_GB2312"/>
                <w:color w:val="2B2B2B"/>
                <w:sz w:val="24"/>
                <w:shd w:val="clear" w:color="auto" w:fill="FFFFFF"/>
              </w:rPr>
              <w:t>54</w:t>
            </w:r>
            <w:r>
              <w:rPr>
                <w:rFonts w:hint="eastAsia" w:ascii="仿宋_GB2312" w:hAnsi="仿宋_GB2312" w:eastAsia="仿宋_GB2312" w:cs="仿宋_GB2312"/>
                <w:color w:val="2B2B2B"/>
                <w:sz w:val="24"/>
                <w:shd w:val="clear" w:color="auto" w:fill="FFFFFF"/>
              </w:rPr>
              <w:t>件次，促进社会公正、和谐。</w:t>
            </w:r>
          </w:p>
          <w:p>
            <w:pPr>
              <w:spacing w:line="600" w:lineRule="exact"/>
              <w:ind w:firstLine="480" w:firstLine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聚焦规范履职。听取应急管理机构改革情况报告，推动机构改革职能职责按时到位；听取全县道路交通执法执收情况报告，让行政执法权在阳光下运行；继续开展员额法官和员额检察官全员履职评议；听取县人民政府两名副县长和县人民法院一名副院长分管工作报告；听取县水利局等</w:t>
            </w:r>
            <w:r>
              <w:rPr>
                <w:rFonts w:ascii="仿宋_GB2312" w:hAnsi="仿宋_GB2312" w:eastAsia="仿宋_GB2312" w:cs="仿宋_GB2312"/>
                <w:color w:val="2B2B2B"/>
                <w:sz w:val="24"/>
                <w:shd w:val="clear" w:color="auto" w:fill="FFFFFF"/>
              </w:rPr>
              <w:t>5</w:t>
            </w:r>
            <w:r>
              <w:rPr>
                <w:rFonts w:hint="eastAsia" w:ascii="仿宋_GB2312" w:hAnsi="仿宋_GB2312" w:eastAsia="仿宋_GB2312" w:cs="仿宋_GB2312"/>
                <w:color w:val="2B2B2B"/>
                <w:sz w:val="24"/>
                <w:shd w:val="clear" w:color="auto" w:fill="FFFFFF"/>
              </w:rPr>
              <w:t>个</w:t>
            </w:r>
            <w:r>
              <w:rPr>
                <w:rFonts w:ascii="仿宋_GB2312" w:hAnsi="仿宋_GB2312" w:eastAsia="仿宋_GB2312" w:cs="仿宋_GB2312"/>
                <w:color w:val="2B2B2B"/>
                <w:sz w:val="24"/>
                <w:shd w:val="clear" w:color="auto" w:fill="FFFFFF"/>
              </w:rPr>
              <w:t>2019</w:t>
            </w:r>
            <w:r>
              <w:rPr>
                <w:rFonts w:hint="eastAsia" w:ascii="仿宋_GB2312" w:hAnsi="仿宋_GB2312" w:eastAsia="仿宋_GB2312" w:cs="仿宋_GB2312"/>
                <w:color w:val="2B2B2B"/>
                <w:sz w:val="24"/>
                <w:shd w:val="clear" w:color="auto" w:fill="FFFFFF"/>
              </w:rPr>
              <w:t>年被评议单位评议意见整改落实情况报告，对县民政局等</w:t>
            </w:r>
            <w:r>
              <w:rPr>
                <w:rFonts w:ascii="仿宋_GB2312" w:hAnsi="仿宋_GB2312" w:eastAsia="仿宋_GB2312" w:cs="仿宋_GB2312"/>
                <w:color w:val="2B2B2B"/>
                <w:sz w:val="24"/>
                <w:shd w:val="clear" w:color="auto" w:fill="FFFFFF"/>
              </w:rPr>
              <w:t>9</w:t>
            </w:r>
            <w:r>
              <w:rPr>
                <w:rFonts w:hint="eastAsia" w:ascii="仿宋_GB2312" w:hAnsi="仿宋_GB2312" w:eastAsia="仿宋_GB2312" w:cs="仿宋_GB2312"/>
                <w:color w:val="2B2B2B"/>
                <w:sz w:val="24"/>
                <w:shd w:val="clear" w:color="auto" w:fill="FFFFFF"/>
              </w:rPr>
              <w:t>个部门开展工作评议，提出整改意见</w:t>
            </w:r>
            <w:r>
              <w:rPr>
                <w:rFonts w:ascii="仿宋_GB2312" w:hAnsi="仿宋_GB2312" w:eastAsia="仿宋_GB2312" w:cs="仿宋_GB2312"/>
                <w:color w:val="2B2B2B"/>
                <w:sz w:val="24"/>
                <w:shd w:val="clear" w:color="auto" w:fill="FFFFFF"/>
              </w:rPr>
              <w:t>29</w:t>
            </w:r>
            <w:r>
              <w:rPr>
                <w:rFonts w:hint="eastAsia" w:ascii="仿宋_GB2312" w:hAnsi="仿宋_GB2312" w:eastAsia="仿宋_GB2312" w:cs="仿宋_GB2312"/>
                <w:color w:val="2B2B2B"/>
                <w:sz w:val="24"/>
                <w:shd w:val="clear" w:color="auto" w:fill="FFFFFF"/>
              </w:rPr>
              <w:t>条；听取</w:t>
            </w:r>
            <w:r>
              <w:rPr>
                <w:rFonts w:ascii="仿宋_GB2312" w:hAnsi="仿宋_GB2312" w:eastAsia="仿宋_GB2312" w:cs="仿宋_GB2312"/>
                <w:color w:val="2B2B2B"/>
                <w:sz w:val="24"/>
                <w:shd w:val="clear" w:color="auto" w:fill="FFFFFF"/>
              </w:rPr>
              <w:t>6</w:t>
            </w:r>
            <w:r>
              <w:rPr>
                <w:rFonts w:hint="eastAsia" w:ascii="仿宋_GB2312" w:hAnsi="仿宋_GB2312" w:eastAsia="仿宋_GB2312" w:cs="仿宋_GB2312"/>
                <w:color w:val="2B2B2B"/>
                <w:sz w:val="24"/>
                <w:shd w:val="clear" w:color="auto" w:fill="FFFFFF"/>
              </w:rPr>
              <w:t>名市八届人大代表履职情况的报告。</w:t>
            </w:r>
          </w:p>
          <w:p>
            <w:pPr>
              <w:spacing w:line="600" w:lineRule="exact"/>
              <w:ind w:firstLine="480" w:firstLineChars="200"/>
              <w:rPr>
                <w:rFonts w:ascii="黑体" w:hAnsi="黑体" w:eastAsia="黑体" w:cs="黑体"/>
                <w:bCs/>
                <w:sz w:val="24"/>
              </w:rPr>
            </w:pPr>
            <w:r>
              <w:rPr>
                <w:rFonts w:hint="eastAsia" w:ascii="黑体" w:hAnsi="黑体" w:eastAsia="黑体" w:cs="黑体"/>
                <w:bCs/>
                <w:sz w:val="24"/>
              </w:rPr>
              <w:t>四、部门（单位）整体支出绩效情况</w:t>
            </w:r>
          </w:p>
          <w:p>
            <w:pPr>
              <w:spacing w:line="600" w:lineRule="exact"/>
              <w:ind w:firstLine="720" w:firstLineChars="3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（一）始终坚持党的领导。</w:t>
            </w:r>
          </w:p>
          <w:p>
            <w:pPr>
              <w:spacing w:line="600" w:lineRule="exact"/>
              <w:ind w:firstLine="720" w:firstLineChars="3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自觉在县委领导下依法履职行权，请示县委召开全县人大工作会议，县委田书记出席会议并讲话；完善县人大常委会党组向县委请示报告制度，重大事项、重要情况及时请示报告，将党的领导贯穿于人大工作各方面、全过程。注重发挥常委会党组把方向、管大局、保落实的作用，加强对常委会工作的统筹协调，及时研究解决重大问题。</w:t>
            </w:r>
          </w:p>
          <w:p>
            <w:pPr>
              <w:spacing w:line="600" w:lineRule="exact"/>
              <w:ind w:left="420" w:left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（二）全力服务中心工作。</w:t>
            </w:r>
          </w:p>
          <w:p>
            <w:pPr>
              <w:spacing w:line="600" w:lineRule="exact"/>
              <w:ind w:left="420" w:left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紧紧围绕县委中心工作安排部署人大工作，以实际行动落实县委的决策部署。发挥人大自身优势，向全县各级人大代表发出农村人居环境整治村庄清洁行动的倡议书，持续推动代表开展“我为脱贫攻坚做贡献”活动；全员参与文明创建行动，派出工作队到长湖乡范家村驻点指导人居环境整治集中攻坚行动；主任会议成员和机关干部积极参与重点项目建设，取得显著成效。</w:t>
            </w:r>
          </w:p>
          <w:p>
            <w:pPr>
              <w:numPr>
                <w:ilvl w:val="0"/>
                <w:numId w:val="3"/>
              </w:numPr>
              <w:spacing w:line="600" w:lineRule="exact"/>
              <w:ind w:firstLine="480" w:firstLine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坚持理论武装。把加强政治学习摆在首位，不断完善常委会党组和机关学习制度，全年开展党组中心组和机关集体学习</w:t>
            </w:r>
            <w:r>
              <w:rPr>
                <w:rFonts w:ascii="仿宋_GB2312" w:hAnsi="仿宋_GB2312" w:eastAsia="仿宋_GB2312" w:cs="仿宋_GB2312"/>
                <w:color w:val="2B2B2B"/>
                <w:sz w:val="24"/>
                <w:shd w:val="clear" w:color="auto" w:fill="FFFFFF"/>
              </w:rPr>
              <w:t>18</w:t>
            </w:r>
            <w:r>
              <w:rPr>
                <w:rFonts w:hint="eastAsia" w:ascii="仿宋_GB2312" w:hAnsi="仿宋_GB2312" w:eastAsia="仿宋_GB2312" w:cs="仿宋_GB2312"/>
                <w:color w:val="2B2B2B"/>
                <w:sz w:val="24"/>
                <w:shd w:val="clear" w:color="auto" w:fill="FFFFFF"/>
              </w:rPr>
              <w:t>次，将《习近平谈治国理政（第三卷）》、党的十九届五中全会和习近平总书记考察湖南重要讲话，以及关于疫情防控、脱贫攻坚等指示精神列为重点学习内容，自觉对标对表，不断增强“四个意识”，坚定“四个自信”，做到“两个维护”。</w:t>
            </w:r>
          </w:p>
          <w:p>
            <w:pPr>
              <w:numPr>
                <w:ilvl w:val="0"/>
                <w:numId w:val="3"/>
              </w:numPr>
              <w:spacing w:line="600" w:lineRule="exact"/>
              <w:ind w:firstLine="480" w:firstLine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不断加强自身建设。</w:t>
            </w:r>
          </w:p>
          <w:p>
            <w:pPr>
              <w:spacing w:line="560" w:lineRule="exact"/>
              <w:ind w:firstLine="480" w:firstLine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严格落实意识形态工作责任制，不断改进人大新闻舆论工作，确保方向正确。深入推进“不忘初心、牢记使命”主题教育，定期研究机关党建工作，按期进行机关支部换届选举，不断深化支部“五化”建设，组织机关党员开展“担脱贫攻坚使命”“弘扬半条被子精神”“心系国防”“传孝廉家风”等主题党日活动，让党组和支部战斗堡垒作用发挥更加充分。</w:t>
            </w:r>
          </w:p>
          <w:p>
            <w:pPr>
              <w:spacing w:line="560" w:lineRule="exact"/>
              <w:ind w:firstLine="480" w:firstLineChars="200"/>
              <w:rPr>
                <w:rFonts w:ascii="仿宋_GB2312" w:hAnsi="仿宋_GB2312" w:eastAsia="仿宋_GB2312" w:cs="仿宋_GB2312"/>
                <w:color w:val="2B2B2B"/>
                <w:sz w:val="24"/>
                <w:shd w:val="clear" w:color="auto" w:fill="FFFFFF"/>
              </w:rPr>
            </w:pPr>
            <w:r>
              <w:rPr>
                <w:rFonts w:ascii="仿宋_GB2312" w:hAnsi="仿宋_GB2312" w:eastAsia="仿宋_GB2312" w:cs="仿宋_GB2312"/>
                <w:color w:val="2B2B2B"/>
                <w:sz w:val="24"/>
                <w:shd w:val="clear" w:color="auto" w:fill="FFFFFF"/>
              </w:rPr>
              <w:t>(</w:t>
            </w:r>
            <w:r>
              <w:rPr>
                <w:rFonts w:hint="eastAsia" w:ascii="仿宋_GB2312" w:hAnsi="仿宋_GB2312" w:eastAsia="仿宋_GB2312" w:cs="仿宋_GB2312"/>
                <w:color w:val="2B2B2B"/>
                <w:sz w:val="24"/>
                <w:shd w:val="clear" w:color="auto" w:fill="FFFFFF"/>
              </w:rPr>
              <w:t>五</w:t>
            </w:r>
            <w:r>
              <w:rPr>
                <w:rFonts w:ascii="仿宋_GB2312" w:hAnsi="仿宋_GB2312" w:eastAsia="仿宋_GB2312" w:cs="仿宋_GB2312"/>
                <w:color w:val="2B2B2B"/>
                <w:sz w:val="24"/>
                <w:shd w:val="clear" w:color="auto" w:fill="FFFFFF"/>
              </w:rPr>
              <w:t>)</w:t>
            </w:r>
            <w:r>
              <w:rPr>
                <w:rFonts w:hint="eastAsia" w:ascii="仿宋_GB2312" w:hAnsi="仿宋_GB2312" w:eastAsia="仿宋_GB2312" w:cs="仿宋_GB2312"/>
                <w:color w:val="2B2B2B"/>
                <w:sz w:val="24"/>
                <w:shd w:val="clear" w:color="auto" w:fill="FFFFFF"/>
              </w:rPr>
              <w:t>政治建设考察反馈意见整改情况</w:t>
            </w:r>
          </w:p>
          <w:p>
            <w:pPr>
              <w:spacing w:line="560" w:lineRule="exact"/>
              <w:ind w:firstLine="480" w:firstLine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县人大常委会党组班子对</w:t>
            </w:r>
            <w:r>
              <w:rPr>
                <w:rFonts w:ascii="仿宋_GB2312" w:hAnsi="仿宋_GB2312" w:eastAsia="仿宋_GB2312" w:cs="仿宋_GB2312"/>
                <w:color w:val="2B2B2B"/>
                <w:sz w:val="24"/>
                <w:shd w:val="clear" w:color="auto" w:fill="FFFFFF"/>
              </w:rPr>
              <w:t>2019</w:t>
            </w:r>
            <w:r>
              <w:rPr>
                <w:rFonts w:hint="eastAsia" w:ascii="仿宋_GB2312" w:hAnsi="仿宋_GB2312" w:eastAsia="仿宋_GB2312" w:cs="仿宋_GB2312"/>
                <w:color w:val="2B2B2B"/>
                <w:sz w:val="24"/>
                <w:shd w:val="clear" w:color="auto" w:fill="FFFFFF"/>
              </w:rPr>
              <w:t>年反馈的“政治理论学习往深里走、实里走、心里走还有明显差距；本职工作与县委中心工作开展不够平衡；干事创业激情有所下降”三个问题坚决认领，深入剖析，认真整改。在政治理论学习方面，完善学习制度，有针对性地制定党组中心组学习计划，保证学习时间，深入学习了习近平新时代中国特色社会主义思想和党的十九大及历次全会精神，准确把握内涵要义，坚决用党的科学理论指导实践，推动县乡人大工作高质量发展。在履行主责主业方面，一是坚决服从县委安排，不打折扣地落实县委工作部署；二是加强班子成员之间的沟通交流，筑牢以人民为中心的发展思想，科学选取监督议题，综合运用监督手段，敢于发现问题、指出问题、督促问题整改，促进“一府一委两院”依法履职。在干事创业方面，强化担当意识，坚决杜绝“二线机关”“船到码头车到站”的思想，班子成员带头高标准、严要求开展工作，全力服务经济社会高质量发展，“两官”评议、持续监督民生事项、代表平台建设、乡镇民生实事票决等多项工作得到了上级的高度肯定。</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五、存在的主要问题</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（一）监督管理机制还有待加强。</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（二）财务工作是一个单位的命脉，创新机制正在逐步加强，要求财务工作水平越来越高。</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（三）会计基础工作还需要不断完善，报表数据与实际情况存在小误差。</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六、改进措施和有关建议</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（一</w:t>
            </w:r>
            <w:r>
              <w:rPr>
                <w:rFonts w:ascii="仿宋_GB2312" w:hAnsi="仿宋_GB2312" w:eastAsia="仿宋_GB2312"/>
                <w:sz w:val="24"/>
              </w:rPr>
              <w:t>)</w:t>
            </w:r>
            <w:r>
              <w:rPr>
                <w:rFonts w:hint="eastAsia" w:ascii="仿宋_GB2312" w:hAnsi="仿宋_GB2312" w:eastAsia="仿宋_GB2312"/>
                <w:sz w:val="24"/>
              </w:rPr>
              <w:t>加强监管，做到监管机制环环相扣，不出现断层、漏洞，坚决把权力关进制度的笼子。</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（二）进一步完善财务制度，规范财经纪律。</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（三）财务工作人员的业务能力要与时俱进，不断加强学习，县财政局多组织业务方面的培训，包括“走出去”，到异地专业院校封闭培训</w:t>
            </w:r>
            <w:r>
              <w:rPr>
                <w:rFonts w:ascii="仿宋_GB2312" w:hAnsi="仿宋_GB2312" w:eastAsia="仿宋_GB2312"/>
                <w:sz w:val="24"/>
              </w:rPr>
              <w:t>,</w:t>
            </w:r>
            <w:r>
              <w:rPr>
                <w:rFonts w:hint="eastAsia" w:ascii="仿宋_GB2312" w:hAnsi="仿宋_GB2312" w:eastAsia="仿宋_GB2312"/>
                <w:sz w:val="24"/>
              </w:rPr>
              <w:t>同时可去外地预算单位学习好的账务经验。</w:t>
            </w:r>
          </w:p>
          <w:p>
            <w:pPr>
              <w:rPr>
                <w:rFonts w:ascii="黑体" w:hAnsi="黑体" w:eastAsia="黑体" w:cs="黑体"/>
                <w:sz w:val="24"/>
              </w:rPr>
            </w:pPr>
          </w:p>
          <w:p>
            <w:pPr>
              <w:spacing w:line="560" w:lineRule="exact"/>
              <w:rPr>
                <w:rFonts w:ascii="仿宋_GB2312" w:hAnsi="仿宋_GB2312" w:eastAsia="仿宋_GB2312"/>
                <w:sz w:val="24"/>
              </w:rPr>
            </w:pPr>
            <w:r>
              <w:rPr>
                <w:rFonts w:ascii="黑体" w:hAnsi="黑体" w:eastAsia="黑体" w:cs="黑体"/>
                <w:sz w:val="24"/>
              </w:rPr>
              <w:t xml:space="preserve"> </w:t>
            </w:r>
            <w:r>
              <w:rPr>
                <w:rFonts w:ascii="仿宋_GB2312" w:hAnsi="仿宋_GB2312" w:eastAsia="仿宋_GB2312"/>
                <w:sz w:val="24"/>
              </w:rPr>
              <w:t xml:space="preserve">                                2021</w:t>
            </w:r>
            <w:r>
              <w:rPr>
                <w:rFonts w:hint="eastAsia" w:ascii="仿宋" w:hAnsi="仿宋" w:eastAsia="仿宋" w:cs="仿宋"/>
                <w:sz w:val="24"/>
              </w:rPr>
              <w:t>年</w:t>
            </w:r>
            <w:r>
              <w:rPr>
                <w:rFonts w:ascii="仿宋" w:hAnsi="仿宋" w:eastAsia="仿宋" w:cs="仿宋"/>
                <w:sz w:val="24"/>
              </w:rPr>
              <w:t>07</w:t>
            </w:r>
            <w:r>
              <w:rPr>
                <w:rFonts w:hint="eastAsia" w:ascii="仿宋" w:hAnsi="仿宋" w:eastAsia="仿宋" w:cs="仿宋"/>
                <w:sz w:val="24"/>
              </w:rPr>
              <w:t>月</w:t>
            </w:r>
            <w:r>
              <w:rPr>
                <w:rFonts w:ascii="仿宋" w:hAnsi="仿宋" w:eastAsia="仿宋" w:cs="仿宋"/>
                <w:sz w:val="24"/>
              </w:rPr>
              <w:t>12</w:t>
            </w:r>
            <w:r>
              <w:rPr>
                <w:rFonts w:hint="eastAsia" w:ascii="仿宋" w:hAnsi="仿宋" w:eastAsia="仿宋" w:cs="仿宋"/>
                <w:sz w:val="24"/>
              </w:rPr>
              <w:t>日</w:t>
            </w:r>
          </w:p>
          <w:p>
            <w:pPr>
              <w:rPr>
                <w:rFonts w:eastAsia="楷体_GB2312"/>
                <w:bCs/>
                <w:sz w:val="28"/>
                <w:szCs w:val="28"/>
              </w:rPr>
            </w:pP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为标准。在职人员控制率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人员编制数</w:t>
            </w:r>
            <w:r>
              <w:rPr>
                <w:rFonts w:hint="eastAsia" w:ascii="仿宋_GB2312" w:eastAsia="仿宋_GB2312"/>
                <w:color w:val="000000"/>
                <w:sz w:val="18"/>
                <w:szCs w:val="18"/>
                <w:lang w:val="en-US" w:eastAsia="zh-CN"/>
              </w:rPr>
              <w:t>41</w:t>
            </w:r>
            <w:r>
              <w:rPr>
                <w:rFonts w:hint="eastAsia" w:ascii="仿宋_GB2312" w:eastAsia="仿宋_GB2312"/>
                <w:color w:val="000000"/>
                <w:sz w:val="18"/>
                <w:szCs w:val="18"/>
              </w:rPr>
              <w:t>人，在职人数</w:t>
            </w:r>
            <w:r>
              <w:rPr>
                <w:rFonts w:hint="eastAsia" w:ascii="仿宋_GB2312" w:eastAsia="仿宋_GB2312"/>
                <w:color w:val="000000"/>
                <w:sz w:val="18"/>
                <w:szCs w:val="18"/>
                <w:lang w:val="en-US" w:eastAsia="zh-CN"/>
              </w:rPr>
              <w:t>41</w:t>
            </w:r>
            <w:r>
              <w:rPr>
                <w:rFonts w:hint="eastAsia" w:ascii="仿宋_GB2312" w:eastAsia="仿宋_GB2312"/>
                <w:color w:val="000000"/>
                <w:sz w:val="18"/>
                <w:szCs w:val="18"/>
              </w:rPr>
              <w:t>人，在职人员控制率</w:t>
            </w:r>
            <w:r>
              <w:rPr>
                <w:rFonts w:hint="eastAsia" w:ascii="宋体" w:hAnsi="宋体" w:cs="宋体"/>
                <w:color w:val="000000"/>
                <w:sz w:val="18"/>
                <w:szCs w:val="18"/>
              </w:rPr>
              <w:t>≦</w:t>
            </w:r>
            <w:r>
              <w:rPr>
                <w:rFonts w:ascii="仿宋_GB2312" w:eastAsia="仿宋_GB2312"/>
                <w:color w:val="000000"/>
                <w:sz w:val="18"/>
                <w:szCs w:val="18"/>
              </w:rPr>
              <w:t>100%</w:t>
            </w:r>
            <w:r>
              <w:rPr>
                <w:rFonts w:hint="eastAsia" w:ascii="仿宋_GB2312" w:eastAsia="仿宋_GB2312"/>
                <w:color w:val="000000"/>
                <w:sz w:val="18"/>
                <w:szCs w:val="18"/>
              </w:rPr>
              <w:t>，未超编，根据评分标准，得</w:t>
            </w:r>
            <w:r>
              <w:rPr>
                <w:rFonts w:ascii="仿宋_GB2312" w:eastAsia="仿宋_GB2312"/>
                <w:color w:val="000000"/>
                <w:sz w:val="18"/>
                <w:szCs w:val="18"/>
              </w:rPr>
              <w:t>5</w:t>
            </w:r>
            <w:r>
              <w:rPr>
                <w:rFonts w:hint="eastAsia" w:ascii="仿宋_GB2312" w:eastAsia="仿宋_GB2312"/>
                <w:color w:val="000000"/>
                <w:sz w:val="18"/>
                <w:szCs w:val="18"/>
              </w:rPr>
              <w:t>分。</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t>0</w:t>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hint="eastAsia" w:ascii="仿宋_GB2312" w:eastAsia="仿宋_GB2312"/>
                <w:color w:val="000000"/>
                <w:sz w:val="18"/>
                <w:szCs w:val="18"/>
                <w:lang w:eastAsia="zh-CN"/>
              </w:rPr>
            </w:pPr>
            <w:r>
              <w:rPr>
                <w:rFonts w:hint="eastAsia" w:ascii="仿宋_GB2312" w:eastAsia="仿宋_GB2312"/>
                <w:color w:val="000000"/>
                <w:sz w:val="18"/>
                <w:szCs w:val="18"/>
              </w:rPr>
              <w:t>本年度三公经费</w:t>
            </w:r>
            <w:r>
              <w:rPr>
                <w:rFonts w:ascii="仿宋_GB2312" w:eastAsia="仿宋_GB2312"/>
                <w:color w:val="000000"/>
                <w:sz w:val="18"/>
                <w:szCs w:val="18"/>
              </w:rPr>
              <w:t xml:space="preserve"> 5.04</w:t>
            </w:r>
            <w:r>
              <w:rPr>
                <w:rFonts w:hint="eastAsia" w:ascii="仿宋_GB2312" w:eastAsia="仿宋_GB2312"/>
                <w:color w:val="000000"/>
                <w:sz w:val="18"/>
                <w:szCs w:val="18"/>
              </w:rPr>
              <w:t>万元，上年度三公经费</w:t>
            </w:r>
            <w:r>
              <w:rPr>
                <w:rFonts w:ascii="仿宋_GB2312" w:eastAsia="仿宋_GB2312"/>
                <w:color w:val="000000"/>
                <w:sz w:val="18"/>
                <w:szCs w:val="18"/>
              </w:rPr>
              <w:t>5.94</w:t>
            </w:r>
            <w:r>
              <w:rPr>
                <w:rFonts w:hint="eastAsia" w:ascii="仿宋_GB2312" w:eastAsia="仿宋_GB2312"/>
                <w:color w:val="000000"/>
                <w:sz w:val="18"/>
                <w:szCs w:val="18"/>
              </w:rPr>
              <w:t>万元。</w:t>
            </w:r>
          </w:p>
          <w:p>
            <w:pPr>
              <w:rPr>
                <w:rFonts w:hint="eastAsia" w:ascii="仿宋_GB2312" w:eastAsia="仿宋_GB2312"/>
                <w:color w:val="000000"/>
                <w:sz w:val="18"/>
                <w:szCs w:val="18"/>
                <w:lang w:eastAsia="zh-CN"/>
              </w:rPr>
            </w:pPr>
            <w:r>
              <w:rPr>
                <w:rFonts w:hint="eastAsia" w:ascii="仿宋_GB2312" w:eastAsia="仿宋_GB2312"/>
                <w:color w:val="000000"/>
                <w:sz w:val="18"/>
                <w:szCs w:val="18"/>
              </w:rPr>
              <w:t>“三公经费”变动率</w:t>
            </w:r>
            <w:r>
              <w:rPr>
                <w:rFonts w:ascii="仿宋_GB2312" w:eastAsia="仿宋_GB2312"/>
                <w:color w:val="000000"/>
                <w:sz w:val="18"/>
                <w:szCs w:val="18"/>
              </w:rPr>
              <w:t>=0.15</w:t>
            </w:r>
            <w:r>
              <w:rPr>
                <w:rFonts w:hint="eastAsia" w:ascii="仿宋_GB2312" w:eastAsia="仿宋_GB2312"/>
                <w:color w:val="000000"/>
                <w:sz w:val="18"/>
                <w:szCs w:val="18"/>
              </w:rPr>
              <w:t>（负数）</w:t>
            </w:r>
          </w:p>
          <w:p>
            <w:pPr>
              <w:rPr>
                <w:rFonts w:ascii="仿宋_GB2312" w:hAnsi="宋体" w:eastAsia="仿宋_GB2312" w:cs="宋体"/>
                <w:color w:val="000000"/>
                <w:sz w:val="18"/>
                <w:szCs w:val="18"/>
              </w:rPr>
            </w:pPr>
            <w:r>
              <w:rPr>
                <w:rFonts w:hint="eastAsia" w:ascii="仿宋_GB2312" w:eastAsia="仿宋_GB2312"/>
                <w:color w:val="000000"/>
                <w:sz w:val="18"/>
                <w:szCs w:val="18"/>
              </w:rPr>
              <w:t>根据评分标准，得</w:t>
            </w:r>
            <w:r>
              <w:rPr>
                <w:rFonts w:ascii="仿宋_GB2312" w:eastAsia="仿宋_GB2312"/>
                <w:color w:val="000000"/>
                <w:sz w:val="18"/>
                <w:szCs w:val="18"/>
              </w:rPr>
              <w:t>5</w:t>
            </w:r>
            <w:r>
              <w:rPr>
                <w:rFonts w:hint="eastAsia" w:ascii="仿宋_GB2312" w:eastAsia="仿宋_GB2312"/>
                <w:color w:val="000000"/>
                <w:sz w:val="18"/>
                <w:szCs w:val="18"/>
              </w:rPr>
              <w:t>分。</w:t>
            </w: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分；低于</w:t>
            </w:r>
            <w:r>
              <w:rPr>
                <w:rFonts w:ascii="仿宋_GB2312" w:hAnsi="宋体" w:eastAsia="仿宋_GB2312" w:cs="宋体"/>
                <w:kern w:val="0"/>
                <w:sz w:val="18"/>
                <w:szCs w:val="18"/>
              </w:rPr>
              <w:t>60%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重点支出足额安排</w:t>
            </w: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0-10%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10-20%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20-30%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分；大于</w:t>
            </w:r>
            <w:r>
              <w:rPr>
                <w:rFonts w:ascii="仿宋_GB2312" w:hAnsi="宋体" w:eastAsia="仿宋_GB2312" w:cs="宋体"/>
                <w:kern w:val="0"/>
                <w:sz w:val="18"/>
                <w:szCs w:val="18"/>
              </w:rPr>
              <w:t>30%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预算无调整</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春节前下达全部专项资金的</w:t>
            </w:r>
            <w:r>
              <w:rPr>
                <w:rFonts w:ascii="仿宋_GB2312" w:hAnsi="宋体" w:eastAsia="仿宋_GB2312" w:cs="宋体"/>
                <w:kern w:val="0"/>
                <w:sz w:val="18"/>
                <w:szCs w:val="18"/>
              </w:rPr>
              <w:t>50%</w:t>
            </w:r>
            <w:r>
              <w:rPr>
                <w:rFonts w:hint="eastAsia" w:ascii="仿宋_GB2312" w:hAnsi="宋体" w:eastAsia="仿宋_GB2312" w:cs="宋体"/>
                <w:kern w:val="0"/>
                <w:sz w:val="18"/>
                <w:szCs w:val="18"/>
              </w:rPr>
              <w:t>；</w:t>
            </w:r>
            <w:r>
              <w:rPr>
                <w:rFonts w:ascii="仿宋_GB2312" w:hAnsi="宋体" w:eastAsia="仿宋_GB2312" w:cs="宋体"/>
                <w:kern w:val="0"/>
                <w:sz w:val="18"/>
                <w:szCs w:val="18"/>
              </w:rPr>
              <w:t>6</w:t>
            </w:r>
            <w:r>
              <w:rPr>
                <w:rFonts w:hint="eastAsia" w:ascii="仿宋_GB2312" w:hAnsi="宋体" w:eastAsia="仿宋_GB2312" w:cs="宋体"/>
                <w:kern w:val="0"/>
                <w:sz w:val="18"/>
                <w:szCs w:val="18"/>
              </w:rPr>
              <w:t>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按进度下达资金指标</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分；有结余，但不超过上年结转，</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0</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20"/>
                <w:szCs w:val="20"/>
              </w:rPr>
            </w:pPr>
            <w:r>
              <w:rPr>
                <w:rFonts w:hint="eastAsia" w:ascii="仿宋_GB2312" w:eastAsia="仿宋_GB2312"/>
                <w:sz w:val="20"/>
                <w:szCs w:val="20"/>
              </w:rPr>
              <w:t>结余超过上年结转</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为标准。三公经费控制率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三公经费预算数</w:t>
            </w:r>
            <w:r>
              <w:rPr>
                <w:rFonts w:ascii="仿宋_GB2312" w:eastAsia="仿宋_GB2312"/>
                <w:color w:val="000000"/>
                <w:sz w:val="18"/>
                <w:szCs w:val="18"/>
              </w:rPr>
              <w:t xml:space="preserve"> 6</w:t>
            </w:r>
            <w:r>
              <w:rPr>
                <w:rFonts w:hint="eastAsia" w:ascii="仿宋_GB2312" w:eastAsia="仿宋_GB2312"/>
                <w:color w:val="000000"/>
                <w:sz w:val="18"/>
                <w:szCs w:val="18"/>
              </w:rPr>
              <w:t>万元，实际支出</w:t>
            </w:r>
            <w:r>
              <w:rPr>
                <w:rFonts w:ascii="仿宋_GB2312" w:eastAsia="仿宋_GB2312"/>
                <w:color w:val="000000"/>
                <w:sz w:val="18"/>
                <w:szCs w:val="18"/>
              </w:rPr>
              <w:t>5.94</w:t>
            </w:r>
            <w:r>
              <w:rPr>
                <w:rFonts w:hint="eastAsia" w:ascii="仿宋_GB2312" w:eastAsia="仿宋_GB2312"/>
                <w:color w:val="000000"/>
                <w:sz w:val="18"/>
                <w:szCs w:val="18"/>
              </w:rPr>
              <w:t>万元，三公经费控制率</w:t>
            </w:r>
            <w:r>
              <w:rPr>
                <w:rFonts w:ascii="仿宋_GB2312" w:eastAsia="仿宋_GB2312"/>
                <w:color w:val="000000"/>
                <w:sz w:val="18"/>
                <w:szCs w:val="18"/>
              </w:rPr>
              <w:t>100%</w:t>
            </w:r>
            <w:r>
              <w:rPr>
                <w:rFonts w:hint="eastAsia" w:ascii="仿宋_GB2312" w:eastAsia="仿宋_GB2312"/>
                <w:color w:val="000000"/>
                <w:sz w:val="18"/>
                <w:szCs w:val="18"/>
              </w:rPr>
              <w:t>，三公经费控制率</w:t>
            </w:r>
            <w:r>
              <w:rPr>
                <w:rFonts w:hint="eastAsia" w:ascii="宋体" w:hAnsi="宋体" w:cs="宋体"/>
                <w:color w:val="000000"/>
                <w:sz w:val="18"/>
                <w:szCs w:val="18"/>
              </w:rPr>
              <w:t>≦</w:t>
            </w:r>
            <w:r>
              <w:rPr>
                <w:rFonts w:ascii="仿宋_GB2312" w:eastAsia="仿宋_GB2312"/>
                <w:color w:val="000000"/>
                <w:sz w:val="18"/>
                <w:szCs w:val="18"/>
              </w:rPr>
              <w:t>100%</w:t>
            </w:r>
            <w:r>
              <w:rPr>
                <w:rFonts w:hint="eastAsia" w:ascii="仿宋_GB2312" w:eastAsia="仿宋_GB2312"/>
                <w:color w:val="000000"/>
                <w:sz w:val="18"/>
                <w:szCs w:val="18"/>
              </w:rPr>
              <w:t>，得</w:t>
            </w:r>
            <w:r>
              <w:rPr>
                <w:rFonts w:ascii="仿宋_GB2312" w:eastAsia="仿宋_GB2312"/>
                <w:color w:val="000000"/>
                <w:sz w:val="18"/>
                <w:szCs w:val="18"/>
              </w:rPr>
              <w:t>6</w:t>
            </w:r>
            <w:r>
              <w:rPr>
                <w:rFonts w:hint="eastAsia" w:ascii="仿宋_GB2312" w:eastAsia="仿宋_GB2312"/>
                <w:color w:val="000000"/>
                <w:sz w:val="18"/>
                <w:szCs w:val="18"/>
              </w:rPr>
              <w:t>分。</w:t>
            </w: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制定了《财务管理制度》、《小车管理制度》等相关制度，制度合法合规完整，执行有效。</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⑤基础数据信息和汇集信息资料准确，</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20"/>
                <w:szCs w:val="20"/>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00000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ascii="仿宋_GB2312" w:hAnsi="宋体" w:eastAsia="仿宋_GB2312" w:cs="宋体"/>
                <w:kern w:val="0"/>
                <w:sz w:val="18"/>
                <w:szCs w:val="18"/>
              </w:rPr>
              <w:t>50</w:t>
            </w:r>
            <w:r>
              <w:rPr>
                <w:rFonts w:hint="eastAsia" w:ascii="仿宋_GB2312" w:hAnsi="宋体" w:eastAsia="仿宋_GB2312" w:cs="宋体"/>
                <w:kern w:val="0"/>
                <w:sz w:val="18"/>
                <w:szCs w:val="18"/>
              </w:rPr>
              <w:t>％以上的，得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00000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②相关资产管理制度得到有效执行，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000000"/>
                <w:sz w:val="18"/>
                <w:szCs w:val="18"/>
              </w:rPr>
            </w:pPr>
          </w:p>
        </w:tc>
      </w:tr>
    </w:tbl>
    <w:p>
      <w:r>
        <w:t xml:space="preserve">     </w:t>
      </w:r>
    </w:p>
    <w:p/>
    <w:p/>
    <w:p/>
    <w:p/>
    <w:p/>
    <w:p/>
    <w:p/>
    <w:p/>
    <w:p/>
    <w:p/>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③资产处置规范；</w:t>
            </w:r>
            <w:r>
              <w:rPr>
                <w:rFonts w:ascii="仿宋_GB2312" w:hAnsi="宋体" w:eastAsia="仿宋_GB2312" w:cs="宋体"/>
                <w:kern w:val="0"/>
                <w:sz w:val="18"/>
                <w:szCs w:val="18"/>
              </w:rPr>
              <w:t xml:space="preserve">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一个百分点扣</w:t>
            </w:r>
            <w:r>
              <w:rPr>
                <w:rFonts w:ascii="仿宋_GB2312" w:hAnsi="宋体" w:eastAsia="仿宋_GB2312" w:cs="宋体"/>
                <w:kern w:val="0"/>
                <w:sz w:val="18"/>
                <w:szCs w:val="18"/>
              </w:rPr>
              <w:t>0.1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出（</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根据岳县办发（</w:t>
            </w:r>
            <w:r>
              <w:rPr>
                <w:rFonts w:ascii="仿宋_GB2312" w:hAnsi="宋体" w:eastAsia="仿宋_GB2312" w:cs="宋体"/>
                <w:color w:val="000000"/>
                <w:kern w:val="0"/>
                <w:sz w:val="18"/>
                <w:szCs w:val="18"/>
              </w:rPr>
              <w:t>2019</w:t>
            </w:r>
            <w:r>
              <w:rPr>
                <w:rFonts w:hint="eastAsia" w:ascii="仿宋_GB2312" w:hAnsi="宋体" w:eastAsia="仿宋_GB2312" w:cs="宋体"/>
                <w:color w:val="000000"/>
                <w:kern w:val="0"/>
                <w:sz w:val="18"/>
                <w:szCs w:val="18"/>
              </w:rPr>
              <w:t>年）</w:t>
            </w:r>
            <w:r>
              <w:rPr>
                <w:rFonts w:ascii="仿宋_GB2312" w:hAnsi="宋体" w:eastAsia="仿宋_GB2312" w:cs="宋体"/>
                <w:color w:val="000000"/>
                <w:kern w:val="0"/>
                <w:sz w:val="18"/>
                <w:szCs w:val="18"/>
              </w:rPr>
              <w:t>1</w:t>
            </w:r>
            <w:r>
              <w:rPr>
                <w:rFonts w:hint="eastAsia" w:ascii="仿宋_GB2312" w:hAnsi="宋体" w:eastAsia="仿宋_GB2312" w:cs="宋体"/>
                <w:color w:val="000000"/>
                <w:kern w:val="0"/>
                <w:sz w:val="18"/>
                <w:szCs w:val="18"/>
              </w:rPr>
              <w:t>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95%</w:t>
            </w:r>
            <w:r>
              <w:rPr>
                <w:rFonts w:hint="eastAsia" w:ascii="仿宋_GB2312" w:hAnsi="宋体" w:eastAsia="仿宋_GB2312" w:cs="宋体"/>
                <w:kern w:val="0"/>
                <w:sz w:val="18"/>
                <w:szCs w:val="18"/>
              </w:rPr>
              <w:t>（含）以上计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85%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75%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w:t>
            </w:r>
            <w:r>
              <w:rPr>
                <w:rFonts w:ascii="仿宋_GB2312" w:hAnsi="宋体" w:eastAsia="仿宋_GB2312" w:cs="宋体"/>
                <w:kern w:val="0"/>
                <w:sz w:val="18"/>
                <w:szCs w:val="18"/>
              </w:rPr>
              <w:t>75%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0</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社会公众满意度达到</w:t>
            </w:r>
            <w:r>
              <w:rPr>
                <w:rFonts w:ascii="仿宋_GB2312" w:hAnsi="宋体" w:eastAsia="仿宋_GB2312" w:cs="宋体"/>
                <w:kern w:val="0"/>
                <w:sz w:val="18"/>
                <w:szCs w:val="18"/>
              </w:rPr>
              <w:t>95%</w:t>
            </w:r>
            <w:r>
              <w:rPr>
                <w:rFonts w:hint="eastAsia" w:ascii="仿宋_GB2312" w:hAnsi="宋体" w:eastAsia="仿宋_GB2312" w:cs="宋体"/>
                <w:kern w:val="0"/>
                <w:sz w:val="18"/>
                <w:szCs w:val="18"/>
              </w:rPr>
              <w:t>以上</w:t>
            </w: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w:t>
            </w:r>
            <w:r>
              <w:rPr>
                <w:rFonts w:ascii="仿宋_GB2312" w:hAnsi="宋体" w:eastAsia="仿宋_GB2312" w:cs="宋体"/>
                <w:b/>
                <w:bCs/>
                <w:kern w:val="0"/>
                <w:sz w:val="18"/>
                <w:szCs w:val="18"/>
              </w:rPr>
              <w:t xml:space="preserve"> </w:t>
            </w:r>
            <w:r>
              <w:rPr>
                <w:rFonts w:hint="eastAsia" w:ascii="仿宋_GB2312" w:hAnsi="宋体" w:eastAsia="仿宋_GB2312" w:cs="宋体"/>
                <w:b/>
                <w:bCs/>
                <w:kern w:val="0"/>
                <w:sz w:val="18"/>
                <w:szCs w:val="18"/>
              </w:rPr>
              <w:t>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97</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w:t>
      </w:r>
      <w:r>
        <w:rPr>
          <w:rFonts w:ascii="仿宋_GB2312" w:hAnsi="宋体" w:eastAsia="仿宋_GB2312" w:cs="宋体"/>
          <w:kern w:val="0"/>
          <w:szCs w:val="21"/>
        </w:rPr>
        <w:t>3</w:t>
      </w:r>
      <w:r>
        <w:rPr>
          <w:rFonts w:hint="eastAsia" w:ascii="仿宋_GB2312" w:hAnsi="宋体" w:eastAsia="仿宋_GB2312" w:cs="宋体"/>
          <w:kern w:val="0"/>
          <w:szCs w:val="21"/>
        </w:rPr>
        <w:t>《部门整体支出绩效评价指标体系（参考样表）》，须相应修改调整本表中的对应部分。</w:t>
      </w:r>
    </w:p>
    <w:p>
      <w:pPr>
        <w:spacing w:beforeLines="50"/>
        <w:rPr>
          <w:rFonts w:ascii="黑体" w:hAnsi="黑体" w:eastAsia="黑体"/>
          <w:sz w:val="32"/>
          <w:szCs w:val="32"/>
        </w:rPr>
      </w:pPr>
    </w:p>
    <w:p>
      <w:pPr>
        <w:spacing w:beforeLines="50"/>
        <w:rPr>
          <w:rFonts w:ascii="黑体" w:hAnsi="黑体" w:eastAsia="黑体"/>
          <w:sz w:val="32"/>
          <w:szCs w:val="32"/>
        </w:rPr>
      </w:pPr>
    </w:p>
    <w:p>
      <w:pPr>
        <w:spacing w:beforeLines="50"/>
        <w:rPr>
          <w:rFonts w:ascii="仿宋_GB2312" w:hAnsi="宋体" w:eastAsia="仿宋_GB2312" w:cs="宋体"/>
          <w:kern w:val="0"/>
          <w:szCs w:val="21"/>
        </w:rPr>
      </w:pPr>
      <w:r>
        <w:rPr>
          <w:rFonts w:hint="eastAsia" w:ascii="黑体" w:hAnsi="黑体" w:eastAsia="黑体"/>
          <w:sz w:val="32"/>
          <w:szCs w:val="32"/>
        </w:rPr>
        <w:t>附件</w:t>
      </w:r>
      <w:r>
        <w:rPr>
          <w:rFonts w:ascii="黑体" w:hAnsi="黑体" w:eastAsia="黑体"/>
          <w:sz w:val="32"/>
          <w:szCs w:val="32"/>
        </w:rPr>
        <w:t>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项目支出绩效评价指标体系评分表</w:t>
      </w:r>
    </w:p>
    <w:tbl>
      <w:tblPr>
        <w:tblStyle w:val="6"/>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项目管理</w:t>
            </w:r>
            <w:r>
              <w:rPr>
                <w:rFonts w:ascii="仿宋_GB2312" w:hAnsi="宋体" w:eastAsia="仿宋_GB2312" w:cs="宋体"/>
                <w:kern w:val="0"/>
                <w:sz w:val="18"/>
                <w:szCs w:val="18"/>
              </w:rPr>
              <w:t xml:space="preserve">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w:t>
            </w:r>
            <w:r>
              <w:rPr>
                <w:rFonts w:ascii="仿宋_GB2312" w:hAnsi="宋体" w:eastAsia="仿宋_GB2312" w:cs="宋体"/>
                <w:kern w:val="0"/>
                <w:sz w:val="18"/>
                <w:szCs w:val="18"/>
              </w:rPr>
              <w:t>/</w:t>
            </w:r>
            <w:r>
              <w:rPr>
                <w:rFonts w:hint="eastAsia" w:ascii="仿宋_GB2312" w:hAnsi="宋体" w:eastAsia="仿宋_GB2312" w:cs="宋体"/>
                <w:kern w:val="0"/>
                <w:sz w:val="18"/>
                <w:szCs w:val="18"/>
              </w:rPr>
              <w:t>计划到位</w:t>
            </w:r>
            <w:r>
              <w:rPr>
                <w:rFonts w:ascii="仿宋_GB2312" w:hAnsi="宋体" w:eastAsia="仿宋_GB2312" w:cs="宋体"/>
                <w:kern w:val="0"/>
                <w:sz w:val="18"/>
                <w:szCs w:val="18"/>
              </w:rPr>
              <w:t>*100%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w:t>
            </w:r>
            <w:r>
              <w:rPr>
                <w:rFonts w:ascii="仿宋_GB2312" w:hAnsi="宋体" w:eastAsia="仿宋_GB2312" w:cs="宋体"/>
                <w:spacing w:val="-10"/>
                <w:kern w:val="0"/>
                <w:sz w:val="18"/>
                <w:szCs w:val="18"/>
              </w:rPr>
              <w:t xml:space="preserve"> </w:t>
            </w:r>
            <w:r>
              <w:rPr>
                <w:rFonts w:hint="eastAsia" w:ascii="仿宋_GB2312" w:hAnsi="宋体" w:eastAsia="仿宋_GB2312" w:cs="宋体"/>
                <w:spacing w:val="-10"/>
                <w:kern w:val="0"/>
                <w:sz w:val="18"/>
                <w:szCs w:val="18"/>
              </w:rPr>
              <w:t>（</w:t>
            </w:r>
            <w:r>
              <w:rPr>
                <w:rFonts w:ascii="仿宋_GB2312" w:hAnsi="宋体" w:eastAsia="仿宋_GB2312" w:cs="宋体"/>
                <w:spacing w:val="-10"/>
                <w:kern w:val="0"/>
                <w:sz w:val="18"/>
                <w:szCs w:val="18"/>
              </w:rPr>
              <w:t>1</w:t>
            </w:r>
            <w:r>
              <w:rPr>
                <w:rFonts w:hint="eastAsia" w:ascii="仿宋_GB2312" w:hAnsi="宋体" w:eastAsia="仿宋_GB2312" w:cs="宋体"/>
                <w:spacing w:val="-10"/>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w:t>
            </w:r>
            <w:r>
              <w:rPr>
                <w:rFonts w:ascii="仿宋_GB2312" w:hAnsi="宋体" w:eastAsia="仿宋_GB2312" w:cs="宋体"/>
                <w:spacing w:val="-6"/>
                <w:kern w:val="0"/>
                <w:sz w:val="18"/>
                <w:szCs w:val="18"/>
              </w:rPr>
              <w:t>0.5</w:t>
            </w:r>
            <w:r>
              <w:rPr>
                <w:rFonts w:hint="eastAsia" w:ascii="仿宋_GB2312" w:hAnsi="宋体" w:eastAsia="仿宋_GB2312" w:cs="宋体"/>
                <w:spacing w:val="-6"/>
                <w:kern w:val="0"/>
                <w:sz w:val="18"/>
                <w:szCs w:val="18"/>
              </w:rPr>
              <w:t>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①虚列套取扣</w:t>
            </w:r>
            <w:r>
              <w:rPr>
                <w:rFonts w:ascii="仿宋_GB2312" w:hAnsi="宋体" w:eastAsia="仿宋_GB2312" w:cs="宋体"/>
                <w:kern w:val="0"/>
                <w:sz w:val="18"/>
                <w:szCs w:val="18"/>
              </w:rPr>
              <w:t>4-7</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w:t>
            </w:r>
            <w:r>
              <w:rPr>
                <w:rFonts w:ascii="仿宋_GB2312" w:hAnsi="宋体" w:eastAsia="仿宋_GB2312" w:cs="宋体"/>
                <w:kern w:val="0"/>
                <w:sz w:val="18"/>
                <w:szCs w:val="18"/>
              </w:rPr>
              <w:t>3-6</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9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项目管理</w:t>
            </w:r>
            <w:r>
              <w:rPr>
                <w:rFonts w:ascii="仿宋_GB2312" w:hAnsi="宋体" w:eastAsia="仿宋_GB2312" w:cs="宋体"/>
                <w:kern w:val="0"/>
                <w:sz w:val="18"/>
                <w:szCs w:val="18"/>
              </w:rPr>
              <w:t xml:space="preserve">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w:t>
            </w:r>
            <w:r>
              <w:rPr>
                <w:rFonts w:ascii="仿宋_GB2312" w:hAnsi="宋体" w:eastAsia="仿宋_GB2312" w:cs="宋体"/>
                <w:kern w:val="0"/>
                <w:sz w:val="18"/>
                <w:szCs w:val="18"/>
              </w:rPr>
              <w:t>=</w:t>
            </w:r>
            <w:r>
              <w:rPr>
                <w:rFonts w:hint="eastAsia" w:ascii="仿宋_GB2312" w:hAnsi="宋体" w:eastAsia="仿宋_GB2312" w:cs="宋体"/>
                <w:kern w:val="0"/>
                <w:sz w:val="18"/>
                <w:szCs w:val="18"/>
              </w:rPr>
              <w:t>目标完成数</w:t>
            </w:r>
            <w:r>
              <w:rPr>
                <w:rFonts w:ascii="仿宋_GB2312" w:hAnsi="宋体" w:eastAsia="仿宋_GB2312" w:cs="宋体"/>
                <w:kern w:val="0"/>
                <w:sz w:val="18"/>
                <w:szCs w:val="18"/>
              </w:rPr>
              <w:t>/</w:t>
            </w:r>
            <w:r>
              <w:rPr>
                <w:rFonts w:hint="eastAsia" w:ascii="仿宋_GB2312" w:hAnsi="宋体" w:eastAsia="仿宋_GB2312" w:cs="宋体"/>
                <w:kern w:val="0"/>
                <w:sz w:val="18"/>
                <w:szCs w:val="18"/>
              </w:rPr>
              <w:t>预定目标数×</w:t>
            </w:r>
            <w:r>
              <w:rPr>
                <w:rFonts w:ascii="仿宋_GB2312" w:hAnsi="宋体" w:eastAsia="仿宋_GB2312" w:cs="宋体"/>
                <w:kern w:val="0"/>
                <w:sz w:val="18"/>
                <w:szCs w:val="18"/>
              </w:rPr>
              <w:t>100%</w:t>
            </w:r>
          </w:p>
        </w:tc>
        <w:tc>
          <w:tcPr>
            <w:tcW w:w="2772" w:type="dxa"/>
            <w:tcBorders>
              <w:top w:val="single" w:color="auto" w:sz="4" w:space="0"/>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w:t>
            </w:r>
            <w:r>
              <w:rPr>
                <w:rFonts w:ascii="仿宋_GB2312" w:hAnsi="宋体" w:eastAsia="仿宋_GB2312" w:cs="宋体"/>
                <w:kern w:val="0"/>
                <w:sz w:val="18"/>
                <w:szCs w:val="18"/>
              </w:rPr>
              <w:t>100%</w:t>
            </w:r>
            <w:r>
              <w:rPr>
                <w:rFonts w:hint="eastAsia" w:ascii="仿宋_GB2312" w:hAnsi="宋体" w:eastAsia="仿宋_GB2312" w:cs="宋体"/>
                <w:kern w:val="0"/>
                <w:sz w:val="18"/>
                <w:szCs w:val="18"/>
              </w:rPr>
              <w:t>得</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分，未完成</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w:t>
            </w:r>
            <w:r>
              <w:rPr>
                <w:rFonts w:ascii="仿宋_GB2312" w:hAnsi="宋体" w:eastAsia="仿宋_GB2312" w:cs="宋体"/>
                <w:kern w:val="0"/>
                <w:sz w:val="18"/>
                <w:szCs w:val="18"/>
              </w:rPr>
              <w:t>=</w:t>
            </w:r>
            <w:r>
              <w:rPr>
                <w:rFonts w:hint="eastAsia" w:ascii="仿宋_GB2312" w:hAnsi="宋体" w:eastAsia="仿宋_GB2312" w:cs="宋体"/>
                <w:kern w:val="0"/>
                <w:sz w:val="18"/>
                <w:szCs w:val="18"/>
              </w:rPr>
              <w:t>实际达到的效果</w:t>
            </w:r>
            <w:r>
              <w:rPr>
                <w:rFonts w:ascii="仿宋_GB2312" w:hAnsi="宋体" w:eastAsia="仿宋_GB2312" w:cs="宋体"/>
                <w:kern w:val="0"/>
                <w:sz w:val="18"/>
                <w:szCs w:val="18"/>
              </w:rPr>
              <w:t>/</w:t>
            </w:r>
            <w:r>
              <w:rPr>
                <w:rFonts w:hint="eastAsia" w:ascii="仿宋_GB2312" w:hAnsi="宋体" w:eastAsia="仿宋_GB2312" w:cs="宋体"/>
                <w:kern w:val="0"/>
                <w:sz w:val="18"/>
                <w:szCs w:val="18"/>
              </w:rPr>
              <w:t>预定目标×</w:t>
            </w:r>
            <w:r>
              <w:rPr>
                <w:rFonts w:ascii="仿宋_GB2312" w:hAnsi="宋体" w:eastAsia="仿宋_GB2312" w:cs="宋体"/>
                <w:kern w:val="0"/>
                <w:sz w:val="18"/>
                <w:szCs w:val="18"/>
              </w:rPr>
              <w:t>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w:t>
            </w:r>
            <w:r>
              <w:rPr>
                <w:rFonts w:ascii="仿宋_GB2312" w:hAnsi="宋体" w:eastAsia="仿宋_GB2312" w:cs="宋体"/>
                <w:kern w:val="0"/>
                <w:sz w:val="18"/>
                <w:szCs w:val="18"/>
              </w:rPr>
              <w:t>100%</w:t>
            </w:r>
            <w:r>
              <w:rPr>
                <w:rFonts w:hint="eastAsia" w:ascii="仿宋_GB2312" w:hAnsi="宋体" w:eastAsia="仿宋_GB2312" w:cs="宋体"/>
                <w:kern w:val="0"/>
                <w:sz w:val="18"/>
                <w:szCs w:val="18"/>
              </w:rPr>
              <w:t>得</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分，未完成</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分，未如期完成且无充分理由的扣</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w:t>
            </w:r>
            <w:r>
              <w:rPr>
                <w:rFonts w:ascii="仿宋_GB2312" w:hAnsi="宋体" w:eastAsia="仿宋_GB2312" w:cs="宋体"/>
                <w:kern w:val="0"/>
                <w:sz w:val="18"/>
                <w:szCs w:val="18"/>
              </w:rPr>
              <w:t>8</w:t>
            </w:r>
            <w:r>
              <w:rPr>
                <w:rFonts w:hint="eastAsia" w:ascii="仿宋_GB2312" w:hAnsi="宋体" w:eastAsia="仿宋_GB2312" w:cs="宋体"/>
                <w:kern w:val="0"/>
                <w:sz w:val="18"/>
                <w:szCs w:val="18"/>
              </w:rPr>
              <w:t>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w:t>
            </w:r>
            <w:r>
              <w:rPr>
                <w:rFonts w:ascii="仿宋_GB2312" w:hAnsi="宋体" w:eastAsia="仿宋_GB2312" w:cs="宋体"/>
                <w:kern w:val="0"/>
                <w:sz w:val="18"/>
                <w:szCs w:val="18"/>
              </w:rPr>
              <w:t>8</w:t>
            </w:r>
            <w:r>
              <w:rPr>
                <w:rFonts w:hint="eastAsia" w:ascii="仿宋_GB2312" w:hAnsi="宋体" w:eastAsia="仿宋_GB2312" w:cs="宋体"/>
                <w:kern w:val="0"/>
                <w:sz w:val="18"/>
                <w:szCs w:val="18"/>
              </w:rPr>
              <w:t>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环境</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w:t>
            </w:r>
            <w:r>
              <w:rPr>
                <w:rFonts w:ascii="仿宋_GB2312" w:hAnsi="宋体" w:eastAsia="仿宋_GB2312" w:cs="宋体"/>
                <w:kern w:val="0"/>
                <w:sz w:val="18"/>
                <w:szCs w:val="18"/>
              </w:rPr>
              <w:t>8</w:t>
            </w:r>
            <w:r>
              <w:rPr>
                <w:rFonts w:hint="eastAsia" w:ascii="仿宋_GB2312" w:hAnsi="宋体" w:eastAsia="仿宋_GB2312" w:cs="宋体"/>
                <w:kern w:val="0"/>
                <w:sz w:val="18"/>
                <w:szCs w:val="18"/>
              </w:rPr>
              <w:t>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w:t>
            </w:r>
            <w:r>
              <w:rPr>
                <w:rFonts w:ascii="仿宋_GB2312" w:hAnsi="宋体" w:eastAsia="仿宋_GB2312" w:cs="宋体"/>
                <w:kern w:val="0"/>
                <w:sz w:val="18"/>
                <w:szCs w:val="18"/>
              </w:rPr>
              <w:t>8</w:t>
            </w:r>
            <w:r>
              <w:rPr>
                <w:rFonts w:hint="eastAsia" w:ascii="仿宋_GB2312" w:hAnsi="宋体" w:eastAsia="仿宋_GB2312" w:cs="宋体"/>
                <w:kern w:val="0"/>
                <w:sz w:val="18"/>
                <w:szCs w:val="18"/>
              </w:rPr>
              <w:t>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w:t>
            </w:r>
            <w:r>
              <w:rPr>
                <w:rFonts w:ascii="仿宋_GB2312" w:hAnsi="宋体" w:eastAsia="仿宋_GB2312" w:cs="宋体"/>
                <w:kern w:val="0"/>
                <w:sz w:val="18"/>
                <w:szCs w:val="18"/>
              </w:rPr>
              <w:t>=</w:t>
            </w:r>
            <w:r>
              <w:rPr>
                <w:rFonts w:hint="eastAsia" w:ascii="仿宋_GB2312" w:hAnsi="宋体" w:eastAsia="仿宋_GB2312" w:cs="宋体"/>
                <w:kern w:val="0"/>
                <w:sz w:val="18"/>
                <w:szCs w:val="18"/>
              </w:rPr>
              <w:t>项目区被调查人数中表示满意的人数</w:t>
            </w:r>
            <w:r>
              <w:rPr>
                <w:rFonts w:ascii="仿宋_GB2312" w:hAnsi="宋体" w:eastAsia="仿宋_GB2312" w:cs="宋体"/>
                <w:kern w:val="0"/>
                <w:sz w:val="18"/>
                <w:szCs w:val="18"/>
              </w:rPr>
              <w:t>(</w:t>
            </w:r>
            <w:r>
              <w:rPr>
                <w:rFonts w:hint="eastAsia" w:ascii="仿宋_GB2312" w:hAnsi="宋体" w:eastAsia="仿宋_GB2312" w:cs="宋体"/>
                <w:kern w:val="0"/>
                <w:sz w:val="18"/>
                <w:szCs w:val="18"/>
              </w:rPr>
              <w:t>户数</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被调查人数</w:t>
            </w:r>
            <w:r>
              <w:rPr>
                <w:rFonts w:ascii="仿宋_GB2312" w:hAnsi="宋体" w:eastAsia="仿宋_GB2312" w:cs="宋体"/>
                <w:kern w:val="0"/>
                <w:sz w:val="18"/>
                <w:szCs w:val="18"/>
              </w:rPr>
              <w:t>(</w:t>
            </w:r>
            <w:r>
              <w:rPr>
                <w:rFonts w:hint="eastAsia" w:ascii="仿宋_GB2312" w:hAnsi="宋体" w:eastAsia="仿宋_GB2312" w:cs="宋体"/>
                <w:kern w:val="0"/>
                <w:sz w:val="18"/>
                <w:szCs w:val="18"/>
              </w:rPr>
              <w:t>户数</w:t>
            </w:r>
            <w:r>
              <w:rPr>
                <w:rFonts w:ascii="仿宋_GB2312" w:hAnsi="宋体" w:eastAsia="仿宋_GB2312" w:cs="宋体"/>
                <w:kern w:val="0"/>
                <w:sz w:val="18"/>
                <w:szCs w:val="18"/>
              </w:rPr>
              <w:t>)</w:t>
            </w:r>
            <w:r>
              <w:rPr>
                <w:rFonts w:hint="eastAsia" w:ascii="仿宋_GB2312" w:hAnsi="宋体" w:eastAsia="仿宋_GB2312" w:cs="宋体"/>
                <w:kern w:val="0"/>
                <w:sz w:val="18"/>
                <w:szCs w:val="18"/>
              </w:rPr>
              <w:t>×</w:t>
            </w:r>
            <w:r>
              <w:rPr>
                <w:rFonts w:ascii="仿宋_GB2312" w:hAnsi="宋体" w:eastAsia="仿宋_GB2312" w:cs="宋体"/>
                <w:kern w:val="0"/>
                <w:sz w:val="18"/>
                <w:szCs w:val="18"/>
              </w:rPr>
              <w:t>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w:t>
            </w:r>
            <w:r>
              <w:rPr>
                <w:rFonts w:ascii="仿宋_GB2312" w:hAnsi="宋体" w:eastAsia="仿宋_GB2312" w:cs="宋体"/>
                <w:kern w:val="0"/>
                <w:sz w:val="18"/>
                <w:szCs w:val="18"/>
              </w:rPr>
              <w:t>90%</w:t>
            </w:r>
            <w:r>
              <w:rPr>
                <w:rFonts w:hint="eastAsia" w:ascii="仿宋_GB2312" w:hAnsi="宋体" w:eastAsia="仿宋_GB2312" w:cs="宋体"/>
                <w:kern w:val="0"/>
                <w:sz w:val="18"/>
                <w:szCs w:val="18"/>
              </w:rPr>
              <w:t>（含）以上的得</w:t>
            </w:r>
            <w:r>
              <w:rPr>
                <w:rFonts w:ascii="仿宋_GB2312" w:hAnsi="宋体" w:eastAsia="仿宋_GB2312" w:cs="宋体"/>
                <w:kern w:val="0"/>
                <w:sz w:val="18"/>
                <w:szCs w:val="18"/>
              </w:rPr>
              <w:t>8</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得</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得</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得</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 w:val="24"/>
              </w:rPr>
            </w:pP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cs="宋体"/>
                <w:b/>
                <w:bCs/>
                <w:kern w:val="0"/>
                <w:sz w:val="24"/>
              </w:rPr>
            </w:pP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left"/>
        <w:rPr>
          <w:rFonts w:eastAsia="仿宋_GB2312"/>
          <w:sz w:val="32"/>
        </w:rPr>
      </w:pPr>
    </w:p>
    <w:p>
      <w:pPr>
        <w:adjustRightInd w:val="0"/>
        <w:snapToGrid w:val="0"/>
        <w:spacing w:line="200" w:lineRule="exact"/>
        <w:jc w:val="left"/>
        <w:rPr>
          <w:rFonts w:eastAsia="仿宋_GB2312"/>
          <w:sz w:val="32"/>
        </w:rPr>
      </w:pPr>
    </w:p>
    <w:p>
      <w:pPr>
        <w:adjustRightInd w:val="0"/>
        <w:snapToGrid w:val="0"/>
        <w:spacing w:line="200" w:lineRule="exact"/>
        <w:jc w:val="left"/>
        <w:rPr>
          <w:rFonts w:eastAsia="仿宋_GB2312"/>
          <w:sz w:val="32"/>
        </w:rPr>
      </w:pPr>
    </w:p>
    <w:p>
      <w:pPr>
        <w:adjustRightInd w:val="0"/>
        <w:snapToGrid w:val="0"/>
        <w:spacing w:line="200" w:lineRule="exact"/>
        <w:jc w:val="left"/>
        <w:rPr>
          <w:rFonts w:eastAsia="仿宋_GB2312"/>
          <w:sz w:val="32"/>
        </w:rPr>
      </w:pPr>
    </w:p>
    <w:p>
      <w:pPr>
        <w:adjustRightInd w:val="0"/>
        <w:snapToGrid w:val="0"/>
        <w:spacing w:line="200" w:lineRule="exact"/>
        <w:jc w:val="left"/>
        <w:rPr>
          <w:rFonts w:eastAsia="仿宋_GB2312"/>
          <w:sz w:val="32"/>
        </w:rPr>
      </w:pPr>
    </w:p>
    <w:p>
      <w:pPr>
        <w:adjustRightInd w:val="0"/>
        <w:snapToGrid w:val="0"/>
        <w:spacing w:line="200" w:lineRule="exact"/>
        <w:jc w:val="left"/>
        <w:rPr>
          <w:rFonts w:eastAsia="仿宋_GB2312"/>
          <w:sz w:val="32"/>
        </w:rPr>
      </w:pPr>
      <w:r>
        <w:rPr>
          <w:rFonts w:hint="eastAsia" w:eastAsia="仿宋_GB2312"/>
          <w:sz w:val="32"/>
        </w:rPr>
        <w:t>附件</w:t>
      </w:r>
      <w:r>
        <w:rPr>
          <w:rFonts w:eastAsia="仿宋_GB2312"/>
          <w:sz w:val="32"/>
        </w:rPr>
        <w:t>4</w:t>
      </w:r>
    </w:p>
    <w:tbl>
      <w:tblPr>
        <w:tblStyle w:val="6"/>
        <w:tblW w:w="4916" w:type="pct"/>
        <w:tblInd w:w="90" w:type="dxa"/>
        <w:tblLayout w:type="autofit"/>
        <w:tblCellMar>
          <w:top w:w="0" w:type="dxa"/>
          <w:left w:w="108" w:type="dxa"/>
          <w:bottom w:w="0" w:type="dxa"/>
          <w:right w:w="108" w:type="dxa"/>
        </w:tblCellMar>
      </w:tblPr>
      <w:tblGrid>
        <w:gridCol w:w="4338"/>
        <w:gridCol w:w="1692"/>
        <w:gridCol w:w="649"/>
        <w:gridCol w:w="1081"/>
        <w:gridCol w:w="1514"/>
      </w:tblGrid>
      <w:tr>
        <w:tblPrEx>
          <w:tblCellMar>
            <w:top w:w="0" w:type="dxa"/>
            <w:left w:w="108" w:type="dxa"/>
            <w:bottom w:w="0" w:type="dxa"/>
            <w:right w:w="108" w:type="dxa"/>
          </w:tblCellMar>
        </w:tblPrEx>
        <w:trPr>
          <w:trHeight w:val="933" w:hRule="atLeast"/>
        </w:trPr>
        <w:tc>
          <w:tcPr>
            <w:tcW w:w="1403" w:type="pct"/>
            <w:gridSpan w:val="2"/>
            <w:tcBorders>
              <w:top w:val="nil"/>
              <w:left w:val="nil"/>
              <w:bottom w:val="nil"/>
              <w:right w:val="nil"/>
            </w:tcBorders>
            <w:noWrap/>
            <w:vAlign w:val="center"/>
          </w:tcPr>
          <w:p>
            <w:pPr>
              <w:rPr>
                <w:rFonts w:ascii="宋体" w:cs="宋体"/>
                <w:b/>
                <w:bCs/>
                <w:color w:val="000000"/>
                <w:sz w:val="36"/>
                <w:szCs w:val="36"/>
              </w:rPr>
            </w:pPr>
            <w:r>
              <w:rPr>
                <w:rFonts w:ascii="宋体" w:hAnsi="宋体" w:cs="宋体"/>
                <w:b/>
                <w:bCs/>
                <w:color w:val="000000"/>
                <w:sz w:val="36"/>
                <w:szCs w:val="36"/>
              </w:rPr>
              <w:t>2020</w:t>
            </w:r>
            <w:r>
              <w:rPr>
                <w:rFonts w:hint="eastAsia" w:ascii="宋体" w:hAnsi="宋体" w:cs="宋体"/>
                <w:b/>
                <w:bCs/>
                <w:color w:val="000000"/>
                <w:sz w:val="36"/>
                <w:szCs w:val="36"/>
              </w:rPr>
              <w:t>年财政支出部门单位项目绩效表</w:t>
            </w:r>
          </w:p>
        </w:tc>
        <w:tc>
          <w:tcPr>
            <w:tcW w:w="584" w:type="pct"/>
            <w:tcBorders>
              <w:top w:val="nil"/>
              <w:left w:val="nil"/>
              <w:bottom w:val="nil"/>
              <w:right w:val="nil"/>
            </w:tcBorders>
            <w:noWrap/>
            <w:vAlign w:val="center"/>
          </w:tcPr>
          <w:p>
            <w:pPr>
              <w:jc w:val="center"/>
              <w:rPr>
                <w:rFonts w:ascii="宋体" w:cs="宋体"/>
                <w:b/>
                <w:bCs/>
                <w:color w:val="000000"/>
                <w:sz w:val="36"/>
                <w:szCs w:val="36"/>
              </w:rPr>
            </w:pPr>
          </w:p>
        </w:tc>
        <w:tc>
          <w:tcPr>
            <w:tcW w:w="2182" w:type="pct"/>
            <w:tcBorders>
              <w:top w:val="nil"/>
              <w:left w:val="nil"/>
              <w:bottom w:val="nil"/>
              <w:right w:val="nil"/>
            </w:tcBorders>
            <w:noWrap/>
            <w:vAlign w:val="center"/>
          </w:tcPr>
          <w:p>
            <w:pPr>
              <w:jc w:val="center"/>
              <w:rPr>
                <w:rFonts w:ascii="宋体" w:cs="宋体"/>
                <w:b/>
                <w:bCs/>
                <w:color w:val="000000"/>
                <w:sz w:val="36"/>
                <w:szCs w:val="36"/>
              </w:rPr>
            </w:pPr>
          </w:p>
        </w:tc>
        <w:tc>
          <w:tcPr>
            <w:tcW w:w="831" w:type="pct"/>
            <w:tcBorders>
              <w:top w:val="nil"/>
              <w:left w:val="nil"/>
              <w:bottom w:val="nil"/>
              <w:right w:val="nil"/>
            </w:tcBorders>
            <w:noWrap/>
            <w:vAlign w:val="center"/>
          </w:tcPr>
          <w:p>
            <w:pPr>
              <w:jc w:val="center"/>
              <w:rPr>
                <w:rFonts w:ascii="宋体" w:cs="宋体"/>
                <w:b/>
                <w:bCs/>
                <w:color w:val="000000"/>
                <w:sz w:val="20"/>
                <w:szCs w:val="20"/>
              </w:rPr>
            </w:pPr>
            <w:r>
              <w:rPr>
                <w:rFonts w:hint="eastAsia"/>
                <w:b/>
                <w:bCs/>
                <w:color w:val="000000"/>
                <w:sz w:val="20"/>
                <w:szCs w:val="20"/>
              </w:rPr>
              <w:t>单位：万元</w:t>
            </w:r>
          </w:p>
        </w:tc>
      </w:tr>
      <w:tr>
        <w:tblPrEx>
          <w:tblCellMar>
            <w:top w:w="0" w:type="dxa"/>
            <w:left w:w="108" w:type="dxa"/>
            <w:bottom w:w="0" w:type="dxa"/>
            <w:right w:w="108" w:type="dxa"/>
          </w:tblCellMar>
        </w:tblPrEx>
        <w:trPr>
          <w:trHeight w:val="360" w:hRule="atLeast"/>
        </w:trPr>
        <w:tc>
          <w:tcPr>
            <w:tcW w:w="1403"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2"/>
                <w:szCs w:val="22"/>
              </w:rPr>
            </w:pPr>
            <w:r>
              <w:rPr>
                <w:rFonts w:hint="eastAsia"/>
                <w:color w:val="000000"/>
                <w:sz w:val="22"/>
                <w:szCs w:val="22"/>
              </w:rPr>
              <w:t>主管部门及实施单位</w:t>
            </w:r>
          </w:p>
        </w:tc>
        <w:tc>
          <w:tcPr>
            <w:tcW w:w="584" w:type="pct"/>
            <w:tcBorders>
              <w:top w:val="single" w:color="auto" w:sz="4" w:space="0"/>
              <w:left w:val="nil"/>
              <w:bottom w:val="single" w:color="auto" w:sz="4" w:space="0"/>
              <w:right w:val="single" w:color="auto" w:sz="4" w:space="0"/>
            </w:tcBorders>
            <w:noWrap/>
            <w:vAlign w:val="center"/>
          </w:tcPr>
          <w:p>
            <w:pPr>
              <w:jc w:val="center"/>
              <w:rPr>
                <w:rFonts w:ascii="宋体" w:cs="宋体"/>
                <w:color w:val="000000"/>
                <w:sz w:val="22"/>
                <w:szCs w:val="22"/>
              </w:rPr>
            </w:pPr>
            <w:r>
              <w:rPr>
                <w:rFonts w:hint="eastAsia"/>
                <w:color w:val="000000"/>
                <w:sz w:val="22"/>
                <w:szCs w:val="22"/>
              </w:rPr>
              <w:t>序号</w:t>
            </w:r>
          </w:p>
        </w:tc>
        <w:tc>
          <w:tcPr>
            <w:tcW w:w="2182" w:type="pct"/>
            <w:tcBorders>
              <w:top w:val="single" w:color="auto" w:sz="4" w:space="0"/>
              <w:left w:val="nil"/>
              <w:bottom w:val="single" w:color="auto" w:sz="4" w:space="0"/>
              <w:right w:val="single" w:color="auto" w:sz="4" w:space="0"/>
            </w:tcBorders>
            <w:noWrap/>
            <w:vAlign w:val="center"/>
          </w:tcPr>
          <w:p>
            <w:pPr>
              <w:jc w:val="center"/>
              <w:rPr>
                <w:rFonts w:ascii="宋体" w:cs="宋体"/>
                <w:color w:val="000000"/>
                <w:sz w:val="22"/>
                <w:szCs w:val="22"/>
              </w:rPr>
            </w:pPr>
            <w:r>
              <w:rPr>
                <w:rFonts w:hint="eastAsia"/>
                <w:color w:val="000000"/>
                <w:sz w:val="22"/>
                <w:szCs w:val="22"/>
              </w:rPr>
              <w:t>项目内容</w:t>
            </w:r>
          </w:p>
        </w:tc>
        <w:tc>
          <w:tcPr>
            <w:tcW w:w="831" w:type="pct"/>
            <w:tcBorders>
              <w:top w:val="single" w:color="auto" w:sz="4" w:space="0"/>
              <w:left w:val="nil"/>
              <w:bottom w:val="single" w:color="auto" w:sz="4" w:space="0"/>
              <w:right w:val="single" w:color="auto" w:sz="4" w:space="0"/>
            </w:tcBorders>
            <w:noWrap/>
            <w:vAlign w:val="center"/>
          </w:tcPr>
          <w:p>
            <w:pPr>
              <w:jc w:val="center"/>
              <w:rPr>
                <w:rFonts w:ascii="宋体" w:cs="宋体"/>
                <w:color w:val="000000"/>
                <w:sz w:val="22"/>
                <w:szCs w:val="22"/>
              </w:rPr>
            </w:pPr>
            <w:r>
              <w:rPr>
                <w:rFonts w:hint="eastAsia"/>
                <w:color w:val="000000"/>
                <w:sz w:val="22"/>
                <w:szCs w:val="22"/>
              </w:rPr>
              <w:t>预算安排金额</w:t>
            </w:r>
          </w:p>
        </w:tc>
      </w:tr>
      <w:tr>
        <w:tblPrEx>
          <w:tblCellMar>
            <w:top w:w="0" w:type="dxa"/>
            <w:left w:w="108" w:type="dxa"/>
            <w:bottom w:w="0" w:type="dxa"/>
            <w:right w:w="108" w:type="dxa"/>
          </w:tblCellMar>
        </w:tblPrEx>
        <w:trPr>
          <w:trHeight w:val="360" w:hRule="atLeast"/>
        </w:trPr>
        <w:tc>
          <w:tcPr>
            <w:tcW w:w="1403" w:type="pct"/>
            <w:gridSpan w:val="2"/>
            <w:vMerge w:val="restart"/>
            <w:tcBorders>
              <w:top w:val="nil"/>
              <w:left w:val="single" w:color="auto" w:sz="4" w:space="0"/>
              <w:bottom w:val="single" w:color="000000"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教体局</w:t>
            </w: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1</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危房改造经费</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196</w:t>
            </w:r>
          </w:p>
        </w:tc>
      </w:tr>
      <w:tr>
        <w:tblPrEx>
          <w:tblCellMar>
            <w:top w:w="0" w:type="dxa"/>
            <w:left w:w="108" w:type="dxa"/>
            <w:bottom w:w="0" w:type="dxa"/>
            <w:right w:w="108" w:type="dxa"/>
          </w:tblCellMar>
        </w:tblPrEx>
        <w:trPr>
          <w:trHeight w:val="360" w:hRule="atLeast"/>
        </w:trPr>
        <w:tc>
          <w:tcPr>
            <w:tcW w:w="1403" w:type="pct"/>
            <w:gridSpan w:val="2"/>
            <w:vMerge w:val="continue"/>
            <w:tcBorders>
              <w:top w:val="nil"/>
              <w:left w:val="single" w:color="auto" w:sz="4" w:space="0"/>
              <w:bottom w:val="single" w:color="000000" w:sz="4" w:space="0"/>
              <w:right w:val="single" w:color="auto" w:sz="4" w:space="0"/>
            </w:tcBorders>
            <w:vAlign w:val="center"/>
          </w:tcPr>
          <w:p>
            <w:pPr>
              <w:rPr>
                <w:rFonts w:ascii="宋体" w:cs="宋体"/>
                <w:color w:val="000000"/>
                <w:sz w:val="22"/>
                <w:szCs w:val="22"/>
              </w:rPr>
            </w:pP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2</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校车配套经费</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180.5</w:t>
            </w:r>
          </w:p>
        </w:tc>
      </w:tr>
      <w:tr>
        <w:tblPrEx>
          <w:tblCellMar>
            <w:top w:w="0" w:type="dxa"/>
            <w:left w:w="108" w:type="dxa"/>
            <w:bottom w:w="0" w:type="dxa"/>
            <w:right w:w="108" w:type="dxa"/>
          </w:tblCellMar>
        </w:tblPrEx>
        <w:trPr>
          <w:trHeight w:val="360" w:hRule="atLeast"/>
        </w:trPr>
        <w:tc>
          <w:tcPr>
            <w:tcW w:w="1403" w:type="pct"/>
            <w:gridSpan w:val="2"/>
            <w:vMerge w:val="continue"/>
            <w:tcBorders>
              <w:top w:val="nil"/>
              <w:left w:val="single" w:color="auto" w:sz="4" w:space="0"/>
              <w:bottom w:val="single" w:color="000000" w:sz="4" w:space="0"/>
              <w:right w:val="single" w:color="auto" w:sz="4" w:space="0"/>
            </w:tcBorders>
            <w:vAlign w:val="center"/>
          </w:tcPr>
          <w:p>
            <w:pPr>
              <w:rPr>
                <w:rFonts w:ascii="宋体" w:cs="宋体"/>
                <w:color w:val="000000"/>
                <w:sz w:val="22"/>
                <w:szCs w:val="22"/>
              </w:rPr>
            </w:pP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3</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幼儿园补助</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44.1</w:t>
            </w:r>
          </w:p>
        </w:tc>
      </w:tr>
      <w:tr>
        <w:tblPrEx>
          <w:tblCellMar>
            <w:top w:w="0" w:type="dxa"/>
            <w:left w:w="108" w:type="dxa"/>
            <w:bottom w:w="0" w:type="dxa"/>
            <w:right w:w="108" w:type="dxa"/>
          </w:tblCellMar>
        </w:tblPrEx>
        <w:trPr>
          <w:trHeight w:val="360" w:hRule="atLeast"/>
        </w:trPr>
        <w:tc>
          <w:tcPr>
            <w:tcW w:w="1403" w:type="pct"/>
            <w:gridSpan w:val="2"/>
            <w:vMerge w:val="continue"/>
            <w:tcBorders>
              <w:top w:val="nil"/>
              <w:left w:val="single" w:color="auto" w:sz="4" w:space="0"/>
              <w:bottom w:val="single" w:color="000000" w:sz="4" w:space="0"/>
              <w:right w:val="single" w:color="auto" w:sz="4" w:space="0"/>
            </w:tcBorders>
            <w:vAlign w:val="center"/>
          </w:tcPr>
          <w:p>
            <w:pPr>
              <w:rPr>
                <w:rFonts w:ascii="宋体" w:cs="宋体"/>
                <w:color w:val="000000"/>
                <w:sz w:val="22"/>
                <w:szCs w:val="22"/>
              </w:rPr>
            </w:pP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4</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中职免学费配套</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210</w:t>
            </w:r>
          </w:p>
        </w:tc>
      </w:tr>
      <w:tr>
        <w:tblPrEx>
          <w:tblCellMar>
            <w:top w:w="0" w:type="dxa"/>
            <w:left w:w="108" w:type="dxa"/>
            <w:bottom w:w="0" w:type="dxa"/>
            <w:right w:w="108" w:type="dxa"/>
          </w:tblCellMar>
        </w:tblPrEx>
        <w:trPr>
          <w:trHeight w:val="360" w:hRule="atLeast"/>
        </w:trPr>
        <w:tc>
          <w:tcPr>
            <w:tcW w:w="1403" w:type="pct"/>
            <w:gridSpan w:val="2"/>
            <w:vMerge w:val="continue"/>
            <w:tcBorders>
              <w:top w:val="nil"/>
              <w:left w:val="single" w:color="auto" w:sz="4" w:space="0"/>
              <w:bottom w:val="single" w:color="000000" w:sz="4" w:space="0"/>
              <w:right w:val="single" w:color="auto" w:sz="4" w:space="0"/>
            </w:tcBorders>
            <w:vAlign w:val="center"/>
          </w:tcPr>
          <w:p>
            <w:pPr>
              <w:rPr>
                <w:rFonts w:ascii="宋体" w:cs="宋体"/>
                <w:color w:val="000000"/>
                <w:sz w:val="22"/>
                <w:szCs w:val="22"/>
              </w:rPr>
            </w:pP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5</w:t>
            </w:r>
          </w:p>
        </w:tc>
        <w:tc>
          <w:tcPr>
            <w:tcW w:w="2182" w:type="pct"/>
            <w:tcBorders>
              <w:top w:val="nil"/>
              <w:left w:val="nil"/>
              <w:bottom w:val="single" w:color="auto" w:sz="4" w:space="0"/>
              <w:right w:val="single" w:color="auto" w:sz="4" w:space="0"/>
            </w:tcBorders>
            <w:shd w:val="clear" w:color="000000" w:fill="FFFFFF"/>
            <w:vAlign w:val="center"/>
          </w:tcPr>
          <w:p>
            <w:pPr>
              <w:jc w:val="center"/>
              <w:rPr>
                <w:rFonts w:ascii="宋体" w:cs="宋体"/>
                <w:color w:val="000000"/>
                <w:sz w:val="22"/>
                <w:szCs w:val="22"/>
              </w:rPr>
            </w:pPr>
            <w:r>
              <w:rPr>
                <w:rFonts w:hint="eastAsia"/>
                <w:color w:val="000000"/>
                <w:sz w:val="22"/>
                <w:szCs w:val="22"/>
              </w:rPr>
              <w:t>义务教育专项经费</w:t>
            </w:r>
          </w:p>
        </w:tc>
        <w:tc>
          <w:tcPr>
            <w:tcW w:w="831"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552</w:t>
            </w:r>
          </w:p>
        </w:tc>
      </w:tr>
      <w:tr>
        <w:tblPrEx>
          <w:tblCellMar>
            <w:top w:w="0" w:type="dxa"/>
            <w:left w:w="108" w:type="dxa"/>
            <w:bottom w:w="0" w:type="dxa"/>
            <w:right w:w="108" w:type="dxa"/>
          </w:tblCellMar>
        </w:tblPrEx>
        <w:trPr>
          <w:trHeight w:val="360" w:hRule="atLeast"/>
        </w:trPr>
        <w:tc>
          <w:tcPr>
            <w:tcW w:w="1403" w:type="pct"/>
            <w:gridSpan w:val="2"/>
            <w:vMerge w:val="continue"/>
            <w:tcBorders>
              <w:top w:val="nil"/>
              <w:left w:val="single" w:color="auto" w:sz="4" w:space="0"/>
              <w:bottom w:val="single" w:color="000000" w:sz="4" w:space="0"/>
              <w:right w:val="single" w:color="auto" w:sz="4" w:space="0"/>
            </w:tcBorders>
            <w:vAlign w:val="center"/>
          </w:tcPr>
          <w:p>
            <w:pPr>
              <w:rPr>
                <w:rFonts w:ascii="宋体" w:cs="宋体"/>
                <w:color w:val="000000"/>
                <w:sz w:val="22"/>
                <w:szCs w:val="22"/>
              </w:rPr>
            </w:pP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6</w:t>
            </w:r>
          </w:p>
        </w:tc>
        <w:tc>
          <w:tcPr>
            <w:tcW w:w="2182" w:type="pct"/>
            <w:tcBorders>
              <w:top w:val="nil"/>
              <w:left w:val="nil"/>
              <w:bottom w:val="single" w:color="auto" w:sz="4" w:space="0"/>
              <w:right w:val="single" w:color="auto" w:sz="4" w:space="0"/>
            </w:tcBorders>
            <w:shd w:val="clear" w:color="000000" w:fill="FFFFFF"/>
            <w:vAlign w:val="center"/>
          </w:tcPr>
          <w:p>
            <w:pPr>
              <w:jc w:val="center"/>
              <w:rPr>
                <w:rFonts w:ascii="宋体" w:cs="宋体"/>
                <w:color w:val="000000"/>
                <w:sz w:val="22"/>
                <w:szCs w:val="22"/>
              </w:rPr>
            </w:pPr>
            <w:r>
              <w:rPr>
                <w:rFonts w:hint="eastAsia"/>
                <w:color w:val="000000"/>
                <w:sz w:val="22"/>
                <w:szCs w:val="22"/>
              </w:rPr>
              <w:t>教师培训费</w:t>
            </w:r>
          </w:p>
        </w:tc>
        <w:tc>
          <w:tcPr>
            <w:tcW w:w="831"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370</w:t>
            </w:r>
          </w:p>
        </w:tc>
      </w:tr>
      <w:tr>
        <w:tblPrEx>
          <w:tblCellMar>
            <w:top w:w="0" w:type="dxa"/>
            <w:left w:w="108" w:type="dxa"/>
            <w:bottom w:w="0" w:type="dxa"/>
            <w:right w:w="108" w:type="dxa"/>
          </w:tblCellMar>
        </w:tblPrEx>
        <w:trPr>
          <w:trHeight w:val="360" w:hRule="atLeast"/>
        </w:trPr>
        <w:tc>
          <w:tcPr>
            <w:tcW w:w="1403" w:type="pct"/>
            <w:gridSpan w:val="2"/>
            <w:vMerge w:val="continue"/>
            <w:tcBorders>
              <w:top w:val="nil"/>
              <w:left w:val="single" w:color="auto" w:sz="4" w:space="0"/>
              <w:bottom w:val="single" w:color="000000" w:sz="4" w:space="0"/>
              <w:right w:val="single" w:color="auto" w:sz="4" w:space="0"/>
            </w:tcBorders>
            <w:vAlign w:val="center"/>
          </w:tcPr>
          <w:p>
            <w:pPr>
              <w:rPr>
                <w:rFonts w:ascii="宋体" w:cs="宋体"/>
                <w:color w:val="000000"/>
                <w:sz w:val="22"/>
                <w:szCs w:val="22"/>
              </w:rPr>
            </w:pP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7</w:t>
            </w:r>
          </w:p>
        </w:tc>
        <w:tc>
          <w:tcPr>
            <w:tcW w:w="2182" w:type="pct"/>
            <w:tcBorders>
              <w:top w:val="nil"/>
              <w:left w:val="nil"/>
              <w:bottom w:val="single" w:color="auto" w:sz="4" w:space="0"/>
              <w:right w:val="single" w:color="auto" w:sz="4" w:space="0"/>
            </w:tcBorders>
            <w:shd w:val="clear" w:color="000000" w:fill="FFFFFF"/>
            <w:vAlign w:val="center"/>
          </w:tcPr>
          <w:p>
            <w:pPr>
              <w:jc w:val="center"/>
              <w:rPr>
                <w:rFonts w:ascii="宋体" w:cs="宋体"/>
                <w:color w:val="000000"/>
                <w:sz w:val="22"/>
                <w:szCs w:val="22"/>
              </w:rPr>
            </w:pPr>
            <w:r>
              <w:rPr>
                <w:rFonts w:hint="eastAsia"/>
                <w:color w:val="000000"/>
                <w:sz w:val="22"/>
                <w:szCs w:val="22"/>
              </w:rPr>
              <w:t>职专教育专项</w:t>
            </w:r>
          </w:p>
        </w:tc>
        <w:tc>
          <w:tcPr>
            <w:tcW w:w="831"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70</w:t>
            </w:r>
          </w:p>
        </w:tc>
      </w:tr>
      <w:tr>
        <w:tblPrEx>
          <w:tblCellMar>
            <w:top w:w="0" w:type="dxa"/>
            <w:left w:w="108" w:type="dxa"/>
            <w:bottom w:w="0" w:type="dxa"/>
            <w:right w:w="108" w:type="dxa"/>
          </w:tblCellMar>
        </w:tblPrEx>
        <w:trPr>
          <w:trHeight w:val="360" w:hRule="atLeast"/>
        </w:trPr>
        <w:tc>
          <w:tcPr>
            <w:tcW w:w="1403" w:type="pct"/>
            <w:gridSpan w:val="2"/>
            <w:vMerge w:val="continue"/>
            <w:tcBorders>
              <w:top w:val="nil"/>
              <w:left w:val="single" w:color="auto" w:sz="4" w:space="0"/>
              <w:bottom w:val="single" w:color="000000" w:sz="4" w:space="0"/>
              <w:right w:val="single" w:color="auto" w:sz="4" w:space="0"/>
            </w:tcBorders>
            <w:vAlign w:val="center"/>
          </w:tcPr>
          <w:p>
            <w:pPr>
              <w:rPr>
                <w:rFonts w:ascii="宋体" w:cs="宋体"/>
                <w:color w:val="000000"/>
                <w:sz w:val="22"/>
                <w:szCs w:val="22"/>
              </w:rPr>
            </w:pP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8</w:t>
            </w:r>
          </w:p>
        </w:tc>
        <w:tc>
          <w:tcPr>
            <w:tcW w:w="2182" w:type="pct"/>
            <w:tcBorders>
              <w:top w:val="nil"/>
              <w:left w:val="nil"/>
              <w:bottom w:val="single" w:color="auto" w:sz="4" w:space="0"/>
              <w:right w:val="single" w:color="auto" w:sz="4" w:space="0"/>
            </w:tcBorders>
            <w:shd w:val="clear" w:color="000000" w:fill="FFFFFF"/>
            <w:vAlign w:val="center"/>
          </w:tcPr>
          <w:p>
            <w:pPr>
              <w:jc w:val="center"/>
              <w:rPr>
                <w:rFonts w:ascii="宋体" w:cs="宋体"/>
                <w:color w:val="000000"/>
                <w:sz w:val="22"/>
                <w:szCs w:val="22"/>
              </w:rPr>
            </w:pPr>
            <w:r>
              <w:rPr>
                <w:rFonts w:hint="eastAsia"/>
                <w:color w:val="000000"/>
                <w:sz w:val="22"/>
                <w:szCs w:val="22"/>
              </w:rPr>
              <w:t>特教专项</w:t>
            </w:r>
          </w:p>
        </w:tc>
        <w:tc>
          <w:tcPr>
            <w:tcW w:w="831"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80</w:t>
            </w:r>
          </w:p>
        </w:tc>
      </w:tr>
      <w:tr>
        <w:tblPrEx>
          <w:tblCellMar>
            <w:top w:w="0" w:type="dxa"/>
            <w:left w:w="108" w:type="dxa"/>
            <w:bottom w:w="0" w:type="dxa"/>
            <w:right w:w="108" w:type="dxa"/>
          </w:tblCellMar>
        </w:tblPrEx>
        <w:trPr>
          <w:trHeight w:val="360" w:hRule="atLeast"/>
        </w:trPr>
        <w:tc>
          <w:tcPr>
            <w:tcW w:w="1403" w:type="pct"/>
            <w:gridSpan w:val="2"/>
            <w:vMerge w:val="continue"/>
            <w:tcBorders>
              <w:top w:val="nil"/>
              <w:left w:val="single" w:color="auto" w:sz="4" w:space="0"/>
              <w:bottom w:val="single" w:color="000000" w:sz="4" w:space="0"/>
              <w:right w:val="single" w:color="auto" w:sz="4" w:space="0"/>
            </w:tcBorders>
            <w:vAlign w:val="center"/>
          </w:tcPr>
          <w:p>
            <w:pPr>
              <w:rPr>
                <w:rFonts w:ascii="宋体" w:cs="宋体"/>
                <w:color w:val="000000"/>
                <w:sz w:val="22"/>
                <w:szCs w:val="22"/>
              </w:rPr>
            </w:pP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9</w:t>
            </w:r>
          </w:p>
        </w:tc>
        <w:tc>
          <w:tcPr>
            <w:tcW w:w="2182" w:type="pct"/>
            <w:tcBorders>
              <w:top w:val="nil"/>
              <w:left w:val="nil"/>
              <w:bottom w:val="single" w:color="auto" w:sz="4" w:space="0"/>
              <w:right w:val="single" w:color="auto" w:sz="4" w:space="0"/>
            </w:tcBorders>
            <w:shd w:val="clear" w:color="000000" w:fill="FFFFFF"/>
            <w:vAlign w:val="center"/>
          </w:tcPr>
          <w:p>
            <w:pPr>
              <w:jc w:val="center"/>
              <w:rPr>
                <w:rFonts w:ascii="宋体" w:cs="宋体"/>
                <w:color w:val="000000"/>
                <w:sz w:val="22"/>
                <w:szCs w:val="22"/>
              </w:rPr>
            </w:pPr>
            <w:r>
              <w:rPr>
                <w:rFonts w:hint="eastAsia"/>
                <w:color w:val="000000"/>
                <w:sz w:val="22"/>
                <w:szCs w:val="22"/>
              </w:rPr>
              <w:t>寄宿生补助</w:t>
            </w:r>
          </w:p>
        </w:tc>
        <w:tc>
          <w:tcPr>
            <w:tcW w:w="831"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91</w:t>
            </w:r>
          </w:p>
        </w:tc>
      </w:tr>
      <w:tr>
        <w:tblPrEx>
          <w:tblCellMar>
            <w:top w:w="0" w:type="dxa"/>
            <w:left w:w="108" w:type="dxa"/>
            <w:bottom w:w="0" w:type="dxa"/>
            <w:right w:w="108" w:type="dxa"/>
          </w:tblCellMar>
        </w:tblPrEx>
        <w:trPr>
          <w:trHeight w:val="360" w:hRule="atLeast"/>
        </w:trPr>
        <w:tc>
          <w:tcPr>
            <w:tcW w:w="1403" w:type="pct"/>
            <w:gridSpan w:val="2"/>
            <w:vMerge w:val="continue"/>
            <w:tcBorders>
              <w:top w:val="nil"/>
              <w:left w:val="single" w:color="auto" w:sz="4" w:space="0"/>
              <w:bottom w:val="single" w:color="000000" w:sz="4" w:space="0"/>
              <w:right w:val="single" w:color="auto" w:sz="4" w:space="0"/>
            </w:tcBorders>
            <w:vAlign w:val="center"/>
          </w:tcPr>
          <w:p>
            <w:pPr>
              <w:rPr>
                <w:rFonts w:ascii="宋体" w:cs="宋体"/>
                <w:color w:val="000000"/>
                <w:sz w:val="22"/>
                <w:szCs w:val="22"/>
              </w:rPr>
            </w:pP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10</w:t>
            </w:r>
          </w:p>
        </w:tc>
        <w:tc>
          <w:tcPr>
            <w:tcW w:w="2182" w:type="pct"/>
            <w:tcBorders>
              <w:top w:val="nil"/>
              <w:left w:val="nil"/>
              <w:bottom w:val="single" w:color="auto" w:sz="4" w:space="0"/>
              <w:right w:val="single" w:color="auto" w:sz="4" w:space="0"/>
            </w:tcBorders>
            <w:shd w:val="clear" w:color="000000" w:fill="FFFFFF"/>
            <w:vAlign w:val="center"/>
          </w:tcPr>
          <w:p>
            <w:pPr>
              <w:jc w:val="center"/>
              <w:rPr>
                <w:rFonts w:ascii="宋体" w:cs="宋体"/>
                <w:color w:val="000000"/>
                <w:sz w:val="22"/>
                <w:szCs w:val="22"/>
              </w:rPr>
            </w:pPr>
            <w:r>
              <w:rPr>
                <w:rFonts w:hint="eastAsia"/>
                <w:color w:val="000000"/>
                <w:sz w:val="22"/>
                <w:szCs w:val="22"/>
              </w:rPr>
              <w:t>城南小学新建</w:t>
            </w:r>
          </w:p>
        </w:tc>
        <w:tc>
          <w:tcPr>
            <w:tcW w:w="831"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2000</w:t>
            </w:r>
          </w:p>
        </w:tc>
      </w:tr>
      <w:tr>
        <w:tblPrEx>
          <w:tblCellMar>
            <w:top w:w="0" w:type="dxa"/>
            <w:left w:w="108" w:type="dxa"/>
            <w:bottom w:w="0" w:type="dxa"/>
            <w:right w:w="108" w:type="dxa"/>
          </w:tblCellMar>
        </w:tblPrEx>
        <w:trPr>
          <w:trHeight w:val="360" w:hRule="atLeast"/>
        </w:trPr>
        <w:tc>
          <w:tcPr>
            <w:tcW w:w="1403" w:type="pct"/>
            <w:gridSpan w:val="2"/>
            <w:vMerge w:val="continue"/>
            <w:tcBorders>
              <w:top w:val="nil"/>
              <w:left w:val="single" w:color="auto" w:sz="4" w:space="0"/>
              <w:bottom w:val="single" w:color="000000" w:sz="4" w:space="0"/>
              <w:right w:val="single" w:color="auto" w:sz="4" w:space="0"/>
            </w:tcBorders>
            <w:vAlign w:val="center"/>
          </w:tcPr>
          <w:p>
            <w:pPr>
              <w:rPr>
                <w:rFonts w:ascii="宋体" w:cs="宋体"/>
                <w:color w:val="000000"/>
                <w:sz w:val="22"/>
                <w:szCs w:val="22"/>
              </w:rPr>
            </w:pP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11</w:t>
            </w:r>
          </w:p>
        </w:tc>
        <w:tc>
          <w:tcPr>
            <w:tcW w:w="2182" w:type="pct"/>
            <w:tcBorders>
              <w:top w:val="nil"/>
              <w:left w:val="nil"/>
              <w:bottom w:val="single" w:color="auto" w:sz="4" w:space="0"/>
              <w:right w:val="single" w:color="auto" w:sz="4" w:space="0"/>
            </w:tcBorders>
            <w:shd w:val="clear" w:color="000000" w:fill="FFFFFF"/>
            <w:vAlign w:val="center"/>
          </w:tcPr>
          <w:p>
            <w:pPr>
              <w:jc w:val="center"/>
              <w:rPr>
                <w:rFonts w:ascii="宋体" w:cs="宋体"/>
                <w:color w:val="000000"/>
                <w:sz w:val="22"/>
                <w:szCs w:val="22"/>
              </w:rPr>
            </w:pPr>
            <w:r>
              <w:rPr>
                <w:rFonts w:hint="eastAsia"/>
                <w:color w:val="000000"/>
                <w:sz w:val="22"/>
                <w:szCs w:val="22"/>
              </w:rPr>
              <w:t>集英学校建设项目</w:t>
            </w:r>
          </w:p>
        </w:tc>
        <w:tc>
          <w:tcPr>
            <w:tcW w:w="831"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1700</w:t>
            </w:r>
          </w:p>
        </w:tc>
      </w:tr>
      <w:tr>
        <w:tblPrEx>
          <w:tblCellMar>
            <w:top w:w="0" w:type="dxa"/>
            <w:left w:w="108" w:type="dxa"/>
            <w:bottom w:w="0" w:type="dxa"/>
            <w:right w:w="108" w:type="dxa"/>
          </w:tblCellMar>
        </w:tblPrEx>
        <w:trPr>
          <w:trHeight w:val="360" w:hRule="atLeast"/>
        </w:trPr>
        <w:tc>
          <w:tcPr>
            <w:tcW w:w="1403" w:type="pct"/>
            <w:gridSpan w:val="2"/>
            <w:vMerge w:val="continue"/>
            <w:tcBorders>
              <w:top w:val="nil"/>
              <w:left w:val="single" w:color="auto" w:sz="4" w:space="0"/>
              <w:bottom w:val="single" w:color="000000" w:sz="4" w:space="0"/>
              <w:right w:val="single" w:color="auto" w:sz="4" w:space="0"/>
            </w:tcBorders>
            <w:vAlign w:val="center"/>
          </w:tcPr>
          <w:p>
            <w:pPr>
              <w:rPr>
                <w:rFonts w:ascii="宋体" w:cs="宋体"/>
                <w:color w:val="000000"/>
                <w:sz w:val="22"/>
                <w:szCs w:val="22"/>
              </w:rPr>
            </w:pP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12</w:t>
            </w:r>
          </w:p>
        </w:tc>
        <w:tc>
          <w:tcPr>
            <w:tcW w:w="2182" w:type="pct"/>
            <w:tcBorders>
              <w:top w:val="nil"/>
              <w:left w:val="nil"/>
              <w:bottom w:val="single" w:color="auto" w:sz="4" w:space="0"/>
              <w:right w:val="single" w:color="auto" w:sz="4" w:space="0"/>
            </w:tcBorders>
            <w:shd w:val="clear" w:color="000000" w:fill="FFFFFF"/>
            <w:vAlign w:val="center"/>
          </w:tcPr>
          <w:p>
            <w:pPr>
              <w:jc w:val="center"/>
              <w:rPr>
                <w:rFonts w:ascii="宋体" w:cs="宋体"/>
                <w:color w:val="000000"/>
                <w:sz w:val="22"/>
                <w:szCs w:val="22"/>
              </w:rPr>
            </w:pPr>
            <w:r>
              <w:rPr>
                <w:rFonts w:hint="eastAsia"/>
                <w:color w:val="000000"/>
                <w:sz w:val="22"/>
                <w:szCs w:val="22"/>
              </w:rPr>
              <w:t>化解大班额</w:t>
            </w:r>
          </w:p>
        </w:tc>
        <w:tc>
          <w:tcPr>
            <w:tcW w:w="831"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2000</w:t>
            </w:r>
          </w:p>
        </w:tc>
      </w:tr>
      <w:tr>
        <w:tblPrEx>
          <w:tblCellMar>
            <w:top w:w="0" w:type="dxa"/>
            <w:left w:w="108" w:type="dxa"/>
            <w:bottom w:w="0" w:type="dxa"/>
            <w:right w:w="108" w:type="dxa"/>
          </w:tblCellMar>
        </w:tblPrEx>
        <w:trPr>
          <w:trHeight w:val="360" w:hRule="atLeast"/>
        </w:trPr>
        <w:tc>
          <w:tcPr>
            <w:tcW w:w="1403" w:type="pct"/>
            <w:gridSpan w:val="2"/>
            <w:vMerge w:val="continue"/>
            <w:tcBorders>
              <w:top w:val="nil"/>
              <w:left w:val="single" w:color="auto" w:sz="4" w:space="0"/>
              <w:bottom w:val="single" w:color="000000" w:sz="4" w:space="0"/>
              <w:right w:val="single" w:color="auto" w:sz="4" w:space="0"/>
            </w:tcBorders>
            <w:vAlign w:val="center"/>
          </w:tcPr>
          <w:p>
            <w:pPr>
              <w:rPr>
                <w:rFonts w:ascii="宋体" w:cs="宋体"/>
                <w:color w:val="000000"/>
                <w:sz w:val="22"/>
                <w:szCs w:val="22"/>
              </w:rPr>
            </w:pP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13</w:t>
            </w:r>
          </w:p>
        </w:tc>
        <w:tc>
          <w:tcPr>
            <w:tcW w:w="2182" w:type="pct"/>
            <w:tcBorders>
              <w:top w:val="nil"/>
              <w:left w:val="nil"/>
              <w:bottom w:val="single" w:color="auto" w:sz="4" w:space="0"/>
              <w:right w:val="single" w:color="auto" w:sz="4" w:space="0"/>
            </w:tcBorders>
            <w:shd w:val="clear" w:color="000000" w:fill="FFFFFF"/>
            <w:vAlign w:val="center"/>
          </w:tcPr>
          <w:p>
            <w:pPr>
              <w:jc w:val="center"/>
              <w:rPr>
                <w:rFonts w:ascii="宋体" w:cs="宋体"/>
                <w:color w:val="000000"/>
                <w:sz w:val="22"/>
                <w:szCs w:val="22"/>
              </w:rPr>
            </w:pPr>
            <w:r>
              <w:rPr>
                <w:rFonts w:hint="eastAsia"/>
                <w:color w:val="000000"/>
                <w:sz w:val="22"/>
                <w:szCs w:val="22"/>
              </w:rPr>
              <w:t>山区教师岗位津贴</w:t>
            </w:r>
          </w:p>
        </w:tc>
        <w:tc>
          <w:tcPr>
            <w:tcW w:w="831"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250</w:t>
            </w:r>
          </w:p>
        </w:tc>
      </w:tr>
      <w:tr>
        <w:tblPrEx>
          <w:tblCellMar>
            <w:top w:w="0" w:type="dxa"/>
            <w:left w:w="108" w:type="dxa"/>
            <w:bottom w:w="0" w:type="dxa"/>
            <w:right w:w="108" w:type="dxa"/>
          </w:tblCellMar>
        </w:tblPrEx>
        <w:trPr>
          <w:trHeight w:val="360" w:hRule="atLeast"/>
        </w:trPr>
        <w:tc>
          <w:tcPr>
            <w:tcW w:w="1403" w:type="pct"/>
            <w:gridSpan w:val="2"/>
            <w:tcBorders>
              <w:top w:val="nil"/>
              <w:left w:val="single" w:color="auto" w:sz="4" w:space="0"/>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科技局</w:t>
            </w: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14</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科技创新服务平台建设项目</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60</w:t>
            </w:r>
          </w:p>
        </w:tc>
      </w:tr>
      <w:tr>
        <w:tblPrEx>
          <w:tblCellMar>
            <w:top w:w="0" w:type="dxa"/>
            <w:left w:w="108" w:type="dxa"/>
            <w:bottom w:w="0" w:type="dxa"/>
            <w:right w:w="108" w:type="dxa"/>
          </w:tblCellMar>
        </w:tblPrEx>
        <w:trPr>
          <w:trHeight w:val="360" w:hRule="atLeast"/>
        </w:trPr>
        <w:tc>
          <w:tcPr>
            <w:tcW w:w="1403" w:type="pct"/>
            <w:gridSpan w:val="2"/>
            <w:tcBorders>
              <w:top w:val="nil"/>
              <w:left w:val="single" w:color="auto" w:sz="4" w:space="0"/>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住建局首创环保公司</w:t>
            </w: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15</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垃圾处理</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1400</w:t>
            </w:r>
          </w:p>
        </w:tc>
      </w:tr>
      <w:tr>
        <w:tblPrEx>
          <w:tblCellMar>
            <w:top w:w="0" w:type="dxa"/>
            <w:left w:w="108" w:type="dxa"/>
            <w:bottom w:w="0" w:type="dxa"/>
            <w:right w:w="108" w:type="dxa"/>
          </w:tblCellMar>
        </w:tblPrEx>
        <w:trPr>
          <w:trHeight w:val="360" w:hRule="atLeast"/>
        </w:trPr>
        <w:tc>
          <w:tcPr>
            <w:tcW w:w="1403" w:type="pct"/>
            <w:gridSpan w:val="2"/>
            <w:vMerge w:val="restart"/>
            <w:tcBorders>
              <w:top w:val="nil"/>
              <w:left w:val="single" w:color="auto" w:sz="4" w:space="0"/>
              <w:bottom w:val="single" w:color="000000"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交通局</w:t>
            </w: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16</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长丰北路拓改</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12000</w:t>
            </w:r>
          </w:p>
        </w:tc>
      </w:tr>
      <w:tr>
        <w:tblPrEx>
          <w:tblCellMar>
            <w:top w:w="0" w:type="dxa"/>
            <w:left w:w="108" w:type="dxa"/>
            <w:bottom w:w="0" w:type="dxa"/>
            <w:right w:w="108" w:type="dxa"/>
          </w:tblCellMar>
        </w:tblPrEx>
        <w:trPr>
          <w:trHeight w:val="360" w:hRule="atLeast"/>
        </w:trPr>
        <w:tc>
          <w:tcPr>
            <w:tcW w:w="1403" w:type="pct"/>
            <w:gridSpan w:val="2"/>
            <w:vMerge w:val="continue"/>
            <w:tcBorders>
              <w:top w:val="nil"/>
              <w:left w:val="single" w:color="auto" w:sz="4" w:space="0"/>
              <w:bottom w:val="single" w:color="000000" w:sz="4" w:space="0"/>
              <w:right w:val="single" w:color="auto" w:sz="4" w:space="0"/>
            </w:tcBorders>
            <w:vAlign w:val="center"/>
          </w:tcPr>
          <w:p>
            <w:pPr>
              <w:rPr>
                <w:rFonts w:ascii="宋体" w:cs="宋体"/>
                <w:color w:val="000000"/>
                <w:sz w:val="22"/>
                <w:szCs w:val="22"/>
              </w:rPr>
            </w:pP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17</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滨水东路南延</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10000</w:t>
            </w:r>
          </w:p>
        </w:tc>
      </w:tr>
      <w:tr>
        <w:tblPrEx>
          <w:tblCellMar>
            <w:top w:w="0" w:type="dxa"/>
            <w:left w:w="108" w:type="dxa"/>
            <w:bottom w:w="0" w:type="dxa"/>
            <w:right w:w="108" w:type="dxa"/>
          </w:tblCellMar>
        </w:tblPrEx>
        <w:trPr>
          <w:trHeight w:val="360" w:hRule="atLeast"/>
        </w:trPr>
        <w:tc>
          <w:tcPr>
            <w:tcW w:w="1403" w:type="pct"/>
            <w:gridSpan w:val="2"/>
            <w:vMerge w:val="continue"/>
            <w:tcBorders>
              <w:top w:val="nil"/>
              <w:left w:val="single" w:color="auto" w:sz="4" w:space="0"/>
              <w:bottom w:val="single" w:color="000000" w:sz="4" w:space="0"/>
              <w:right w:val="single" w:color="auto" w:sz="4" w:space="0"/>
            </w:tcBorders>
            <w:vAlign w:val="center"/>
          </w:tcPr>
          <w:p>
            <w:pPr>
              <w:rPr>
                <w:rFonts w:ascii="宋体" w:cs="宋体"/>
                <w:color w:val="000000"/>
                <w:sz w:val="22"/>
                <w:szCs w:val="22"/>
              </w:rPr>
            </w:pP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18</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农村公路建设</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7900</w:t>
            </w:r>
          </w:p>
        </w:tc>
      </w:tr>
      <w:tr>
        <w:tblPrEx>
          <w:tblCellMar>
            <w:top w:w="0" w:type="dxa"/>
            <w:left w:w="108" w:type="dxa"/>
            <w:bottom w:w="0" w:type="dxa"/>
            <w:right w:w="108" w:type="dxa"/>
          </w:tblCellMar>
        </w:tblPrEx>
        <w:trPr>
          <w:trHeight w:val="360" w:hRule="atLeast"/>
        </w:trPr>
        <w:tc>
          <w:tcPr>
            <w:tcW w:w="1403" w:type="pct"/>
            <w:gridSpan w:val="2"/>
            <w:vMerge w:val="continue"/>
            <w:tcBorders>
              <w:top w:val="nil"/>
              <w:left w:val="single" w:color="auto" w:sz="4" w:space="0"/>
              <w:bottom w:val="single" w:color="000000" w:sz="4" w:space="0"/>
              <w:right w:val="single" w:color="auto" w:sz="4" w:space="0"/>
            </w:tcBorders>
            <w:vAlign w:val="center"/>
          </w:tcPr>
          <w:p>
            <w:pPr>
              <w:rPr>
                <w:rFonts w:ascii="宋体" w:cs="宋体"/>
                <w:color w:val="000000"/>
                <w:sz w:val="22"/>
                <w:szCs w:val="22"/>
              </w:rPr>
            </w:pP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19</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公路养护</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700</w:t>
            </w:r>
          </w:p>
        </w:tc>
      </w:tr>
      <w:tr>
        <w:tblPrEx>
          <w:tblCellMar>
            <w:top w:w="0" w:type="dxa"/>
            <w:left w:w="108" w:type="dxa"/>
            <w:bottom w:w="0" w:type="dxa"/>
            <w:right w:w="108" w:type="dxa"/>
          </w:tblCellMar>
        </w:tblPrEx>
        <w:trPr>
          <w:trHeight w:val="360" w:hRule="atLeast"/>
        </w:trPr>
        <w:tc>
          <w:tcPr>
            <w:tcW w:w="1403" w:type="pct"/>
            <w:gridSpan w:val="2"/>
            <w:tcBorders>
              <w:top w:val="nil"/>
              <w:left w:val="single" w:color="auto" w:sz="4" w:space="0"/>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农业农村局机关</w:t>
            </w: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20</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农村环境整治</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1909</w:t>
            </w:r>
          </w:p>
        </w:tc>
      </w:tr>
      <w:tr>
        <w:tblPrEx>
          <w:tblCellMar>
            <w:top w:w="0" w:type="dxa"/>
            <w:left w:w="108" w:type="dxa"/>
            <w:bottom w:w="0" w:type="dxa"/>
            <w:right w:w="108" w:type="dxa"/>
          </w:tblCellMar>
        </w:tblPrEx>
        <w:trPr>
          <w:trHeight w:val="360" w:hRule="atLeast"/>
        </w:trPr>
        <w:tc>
          <w:tcPr>
            <w:tcW w:w="1403" w:type="pct"/>
            <w:gridSpan w:val="2"/>
            <w:tcBorders>
              <w:top w:val="nil"/>
              <w:left w:val="single" w:color="auto" w:sz="4" w:space="0"/>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扶贫办</w:t>
            </w: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21</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精准扶贫</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3479</w:t>
            </w:r>
          </w:p>
        </w:tc>
      </w:tr>
      <w:tr>
        <w:tblPrEx>
          <w:tblCellMar>
            <w:top w:w="0" w:type="dxa"/>
            <w:left w:w="108" w:type="dxa"/>
            <w:bottom w:w="0" w:type="dxa"/>
            <w:right w:w="108" w:type="dxa"/>
          </w:tblCellMar>
        </w:tblPrEx>
        <w:trPr>
          <w:trHeight w:val="360" w:hRule="atLeast"/>
        </w:trPr>
        <w:tc>
          <w:tcPr>
            <w:tcW w:w="1403" w:type="pct"/>
            <w:gridSpan w:val="2"/>
            <w:tcBorders>
              <w:top w:val="nil"/>
              <w:left w:val="single" w:color="auto" w:sz="4" w:space="0"/>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林业局机关</w:t>
            </w: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22</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森林防火</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35</w:t>
            </w:r>
          </w:p>
        </w:tc>
      </w:tr>
      <w:tr>
        <w:tblPrEx>
          <w:tblCellMar>
            <w:top w:w="0" w:type="dxa"/>
            <w:left w:w="108" w:type="dxa"/>
            <w:bottom w:w="0" w:type="dxa"/>
            <w:right w:w="108" w:type="dxa"/>
          </w:tblCellMar>
        </w:tblPrEx>
        <w:trPr>
          <w:trHeight w:val="360" w:hRule="atLeast"/>
        </w:trPr>
        <w:tc>
          <w:tcPr>
            <w:tcW w:w="1403" w:type="pct"/>
            <w:gridSpan w:val="2"/>
            <w:tcBorders>
              <w:top w:val="nil"/>
              <w:left w:val="single" w:color="auto" w:sz="4" w:space="0"/>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渔政局</w:t>
            </w: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23</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打击非法捕捞</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109</w:t>
            </w:r>
          </w:p>
        </w:tc>
      </w:tr>
      <w:tr>
        <w:tblPrEx>
          <w:tblCellMar>
            <w:top w:w="0" w:type="dxa"/>
            <w:left w:w="108" w:type="dxa"/>
            <w:bottom w:w="0" w:type="dxa"/>
            <w:right w:w="108" w:type="dxa"/>
          </w:tblCellMar>
        </w:tblPrEx>
        <w:trPr>
          <w:trHeight w:val="360" w:hRule="atLeast"/>
        </w:trPr>
        <w:tc>
          <w:tcPr>
            <w:tcW w:w="1403" w:type="pct"/>
            <w:gridSpan w:val="2"/>
            <w:tcBorders>
              <w:top w:val="nil"/>
              <w:left w:val="single" w:color="auto" w:sz="4" w:space="0"/>
              <w:bottom w:val="nil"/>
              <w:right w:val="single" w:color="auto" w:sz="4" w:space="0"/>
            </w:tcBorders>
            <w:vAlign w:val="center"/>
          </w:tcPr>
          <w:p>
            <w:pPr>
              <w:jc w:val="center"/>
              <w:rPr>
                <w:rFonts w:ascii="宋体" w:cs="宋体"/>
                <w:color w:val="000000"/>
                <w:sz w:val="22"/>
                <w:szCs w:val="22"/>
              </w:rPr>
            </w:pPr>
            <w:r>
              <w:rPr>
                <w:rFonts w:hint="eastAsia"/>
                <w:color w:val="000000"/>
                <w:sz w:val="22"/>
                <w:szCs w:val="22"/>
              </w:rPr>
              <w:t>畜牧水产发展服务中心</w:t>
            </w: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24</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病死动物无害化处理运行及补助</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295</w:t>
            </w:r>
          </w:p>
        </w:tc>
      </w:tr>
      <w:tr>
        <w:tblPrEx>
          <w:tblCellMar>
            <w:top w:w="0" w:type="dxa"/>
            <w:left w:w="108" w:type="dxa"/>
            <w:bottom w:w="0" w:type="dxa"/>
            <w:right w:w="108" w:type="dxa"/>
          </w:tblCellMar>
        </w:tblPrEx>
        <w:trPr>
          <w:trHeight w:val="360" w:hRule="atLeast"/>
        </w:trPr>
        <w:tc>
          <w:tcPr>
            <w:tcW w:w="1403" w:type="pct"/>
            <w:gridSpan w:val="2"/>
            <w:tcBorders>
              <w:top w:val="nil"/>
              <w:left w:val="single" w:color="auto" w:sz="4" w:space="0"/>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高新技术产业园</w:t>
            </w: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25</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污水处理厂污水处理费</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699</w:t>
            </w:r>
          </w:p>
        </w:tc>
      </w:tr>
      <w:tr>
        <w:tblPrEx>
          <w:tblCellMar>
            <w:top w:w="0" w:type="dxa"/>
            <w:left w:w="108" w:type="dxa"/>
            <w:bottom w:w="0" w:type="dxa"/>
            <w:right w:w="108" w:type="dxa"/>
          </w:tblCellMar>
        </w:tblPrEx>
        <w:trPr>
          <w:trHeight w:val="360" w:hRule="atLeast"/>
        </w:trPr>
        <w:tc>
          <w:tcPr>
            <w:tcW w:w="1403" w:type="pct"/>
            <w:gridSpan w:val="2"/>
            <w:tcBorders>
              <w:top w:val="nil"/>
              <w:left w:val="single" w:color="auto" w:sz="4" w:space="0"/>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残联</w:t>
            </w: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26</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残疾人就业保障</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380</w:t>
            </w:r>
          </w:p>
        </w:tc>
      </w:tr>
      <w:tr>
        <w:tblPrEx>
          <w:tblCellMar>
            <w:top w:w="0" w:type="dxa"/>
            <w:left w:w="108" w:type="dxa"/>
            <w:bottom w:w="0" w:type="dxa"/>
            <w:right w:w="108" w:type="dxa"/>
          </w:tblCellMar>
        </w:tblPrEx>
        <w:trPr>
          <w:trHeight w:val="360" w:hRule="atLeast"/>
        </w:trPr>
        <w:tc>
          <w:tcPr>
            <w:tcW w:w="1403" w:type="pct"/>
            <w:gridSpan w:val="2"/>
            <w:vMerge w:val="restart"/>
            <w:tcBorders>
              <w:top w:val="nil"/>
              <w:left w:val="single" w:color="auto" w:sz="4" w:space="0"/>
              <w:bottom w:val="single" w:color="000000"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民政局机关</w:t>
            </w: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27</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养老服务补贴</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180</w:t>
            </w:r>
          </w:p>
        </w:tc>
      </w:tr>
      <w:tr>
        <w:tblPrEx>
          <w:tblCellMar>
            <w:top w:w="0" w:type="dxa"/>
            <w:left w:w="108" w:type="dxa"/>
            <w:bottom w:w="0" w:type="dxa"/>
            <w:right w:w="108" w:type="dxa"/>
          </w:tblCellMar>
        </w:tblPrEx>
        <w:trPr>
          <w:trHeight w:val="360" w:hRule="atLeast"/>
        </w:trPr>
        <w:tc>
          <w:tcPr>
            <w:tcW w:w="1403" w:type="pct"/>
            <w:gridSpan w:val="2"/>
            <w:vMerge w:val="continue"/>
            <w:tcBorders>
              <w:top w:val="nil"/>
              <w:left w:val="single" w:color="auto" w:sz="4" w:space="0"/>
              <w:bottom w:val="single" w:color="000000" w:sz="4" w:space="0"/>
              <w:right w:val="single" w:color="auto" w:sz="4" w:space="0"/>
            </w:tcBorders>
            <w:vAlign w:val="center"/>
          </w:tcPr>
          <w:p>
            <w:pPr>
              <w:rPr>
                <w:rFonts w:ascii="宋体" w:cs="宋体"/>
                <w:color w:val="000000"/>
                <w:sz w:val="22"/>
                <w:szCs w:val="22"/>
              </w:rPr>
            </w:pP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28</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残疾人两项补贴</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560</w:t>
            </w:r>
          </w:p>
        </w:tc>
      </w:tr>
      <w:tr>
        <w:tblPrEx>
          <w:tblCellMar>
            <w:top w:w="0" w:type="dxa"/>
            <w:left w:w="108" w:type="dxa"/>
            <w:bottom w:w="0" w:type="dxa"/>
            <w:right w:w="108" w:type="dxa"/>
          </w:tblCellMar>
        </w:tblPrEx>
        <w:trPr>
          <w:trHeight w:val="360" w:hRule="atLeast"/>
        </w:trPr>
        <w:tc>
          <w:tcPr>
            <w:tcW w:w="1403" w:type="pct"/>
            <w:gridSpan w:val="2"/>
            <w:vMerge w:val="continue"/>
            <w:tcBorders>
              <w:top w:val="nil"/>
              <w:left w:val="single" w:color="auto" w:sz="4" w:space="0"/>
              <w:bottom w:val="single" w:color="000000" w:sz="4" w:space="0"/>
              <w:right w:val="single" w:color="auto" w:sz="4" w:space="0"/>
            </w:tcBorders>
            <w:vAlign w:val="center"/>
          </w:tcPr>
          <w:p>
            <w:pPr>
              <w:rPr>
                <w:rFonts w:ascii="宋体" w:cs="宋体"/>
                <w:color w:val="000000"/>
                <w:sz w:val="22"/>
                <w:szCs w:val="22"/>
              </w:rPr>
            </w:pP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29</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殡葬设施建设</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9800</w:t>
            </w:r>
          </w:p>
        </w:tc>
      </w:tr>
      <w:tr>
        <w:tblPrEx>
          <w:tblCellMar>
            <w:top w:w="0" w:type="dxa"/>
            <w:left w:w="108" w:type="dxa"/>
            <w:bottom w:w="0" w:type="dxa"/>
            <w:right w:w="108" w:type="dxa"/>
          </w:tblCellMar>
        </w:tblPrEx>
        <w:trPr>
          <w:trHeight w:val="360" w:hRule="atLeast"/>
        </w:trPr>
        <w:tc>
          <w:tcPr>
            <w:tcW w:w="1403" w:type="pct"/>
            <w:gridSpan w:val="2"/>
            <w:vMerge w:val="continue"/>
            <w:tcBorders>
              <w:top w:val="nil"/>
              <w:left w:val="single" w:color="auto" w:sz="4" w:space="0"/>
              <w:bottom w:val="single" w:color="000000" w:sz="4" w:space="0"/>
              <w:right w:val="single" w:color="auto" w:sz="4" w:space="0"/>
            </w:tcBorders>
            <w:vAlign w:val="center"/>
          </w:tcPr>
          <w:p>
            <w:pPr>
              <w:rPr>
                <w:rFonts w:ascii="宋体" w:cs="宋体"/>
                <w:color w:val="000000"/>
                <w:sz w:val="22"/>
                <w:szCs w:val="22"/>
              </w:rPr>
            </w:pP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30</w:t>
            </w:r>
          </w:p>
        </w:tc>
        <w:tc>
          <w:tcPr>
            <w:tcW w:w="2182" w:type="pct"/>
            <w:tcBorders>
              <w:top w:val="nil"/>
              <w:left w:val="nil"/>
              <w:bottom w:val="single" w:color="auto" w:sz="4" w:space="0"/>
              <w:right w:val="single" w:color="auto" w:sz="4" w:space="0"/>
            </w:tcBorders>
            <w:shd w:val="clear" w:color="000000" w:fill="FFFFFF"/>
            <w:vAlign w:val="center"/>
          </w:tcPr>
          <w:p>
            <w:pPr>
              <w:jc w:val="center"/>
              <w:rPr>
                <w:rFonts w:ascii="宋体" w:cs="宋体"/>
                <w:color w:val="000000"/>
                <w:sz w:val="22"/>
                <w:szCs w:val="22"/>
              </w:rPr>
            </w:pPr>
            <w:r>
              <w:rPr>
                <w:rFonts w:hint="eastAsia"/>
                <w:color w:val="000000"/>
                <w:sz w:val="22"/>
                <w:szCs w:val="22"/>
              </w:rPr>
              <w:t>城市低保</w:t>
            </w:r>
          </w:p>
        </w:tc>
        <w:tc>
          <w:tcPr>
            <w:tcW w:w="831"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199</w:t>
            </w:r>
          </w:p>
        </w:tc>
      </w:tr>
      <w:tr>
        <w:tblPrEx>
          <w:tblCellMar>
            <w:top w:w="0" w:type="dxa"/>
            <w:left w:w="108" w:type="dxa"/>
            <w:bottom w:w="0" w:type="dxa"/>
            <w:right w:w="108" w:type="dxa"/>
          </w:tblCellMar>
        </w:tblPrEx>
        <w:trPr>
          <w:trHeight w:val="360" w:hRule="atLeast"/>
        </w:trPr>
        <w:tc>
          <w:tcPr>
            <w:tcW w:w="1403" w:type="pct"/>
            <w:gridSpan w:val="2"/>
            <w:vMerge w:val="restart"/>
            <w:tcBorders>
              <w:top w:val="nil"/>
              <w:left w:val="single" w:color="auto" w:sz="4" w:space="0"/>
              <w:bottom w:val="nil"/>
              <w:right w:val="single" w:color="auto" w:sz="4" w:space="0"/>
            </w:tcBorders>
            <w:vAlign w:val="center"/>
          </w:tcPr>
          <w:p>
            <w:pPr>
              <w:jc w:val="center"/>
              <w:rPr>
                <w:rFonts w:ascii="宋体" w:cs="宋体"/>
                <w:color w:val="000000"/>
                <w:sz w:val="22"/>
                <w:szCs w:val="22"/>
              </w:rPr>
            </w:pPr>
            <w:r>
              <w:rPr>
                <w:rFonts w:hint="eastAsia"/>
                <w:color w:val="000000"/>
                <w:sz w:val="22"/>
                <w:szCs w:val="22"/>
              </w:rPr>
              <w:t>卫生健康局机关</w:t>
            </w: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31</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基本卫生均等化服务配套经费</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571.7</w:t>
            </w:r>
          </w:p>
        </w:tc>
      </w:tr>
      <w:tr>
        <w:tblPrEx>
          <w:tblCellMar>
            <w:top w:w="0" w:type="dxa"/>
            <w:left w:w="108" w:type="dxa"/>
            <w:bottom w:w="0" w:type="dxa"/>
            <w:right w:w="108" w:type="dxa"/>
          </w:tblCellMar>
        </w:tblPrEx>
        <w:trPr>
          <w:trHeight w:val="360" w:hRule="atLeast"/>
        </w:trPr>
        <w:tc>
          <w:tcPr>
            <w:tcW w:w="1403" w:type="pct"/>
            <w:gridSpan w:val="2"/>
            <w:vMerge w:val="continue"/>
            <w:tcBorders>
              <w:top w:val="nil"/>
              <w:left w:val="single" w:color="auto" w:sz="4" w:space="0"/>
              <w:bottom w:val="nil"/>
              <w:right w:val="single" w:color="auto" w:sz="4" w:space="0"/>
            </w:tcBorders>
            <w:vAlign w:val="center"/>
          </w:tcPr>
          <w:p>
            <w:pPr>
              <w:rPr>
                <w:rFonts w:ascii="宋体" w:cs="宋体"/>
                <w:color w:val="000000"/>
                <w:sz w:val="22"/>
                <w:szCs w:val="22"/>
              </w:rPr>
            </w:pP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32</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城镇独生子女家庭奖励</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406</w:t>
            </w:r>
          </w:p>
        </w:tc>
      </w:tr>
      <w:tr>
        <w:tblPrEx>
          <w:tblCellMar>
            <w:top w:w="0" w:type="dxa"/>
            <w:left w:w="108" w:type="dxa"/>
            <w:bottom w:w="0" w:type="dxa"/>
            <w:right w:w="108" w:type="dxa"/>
          </w:tblCellMar>
        </w:tblPrEx>
        <w:trPr>
          <w:trHeight w:val="360" w:hRule="atLeast"/>
        </w:trPr>
        <w:tc>
          <w:tcPr>
            <w:tcW w:w="1403"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商粮局</w:t>
            </w: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33</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县级粮食储备经费</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170</w:t>
            </w:r>
          </w:p>
        </w:tc>
      </w:tr>
      <w:tr>
        <w:tblPrEx>
          <w:tblCellMar>
            <w:top w:w="0" w:type="dxa"/>
            <w:left w:w="108" w:type="dxa"/>
            <w:bottom w:w="0" w:type="dxa"/>
            <w:right w:w="108" w:type="dxa"/>
          </w:tblCellMar>
        </w:tblPrEx>
        <w:trPr>
          <w:gridBefore w:val="1"/>
          <w:wBefore w:w="7" w:type="dxa"/>
          <w:trHeight w:val="360" w:hRule="atLeast"/>
        </w:trPr>
        <w:tc>
          <w:tcPr>
            <w:tcW w:w="1403" w:type="pct"/>
            <w:tcBorders>
              <w:top w:val="nil"/>
              <w:left w:val="single" w:color="auto" w:sz="4" w:space="0"/>
              <w:bottom w:val="nil"/>
              <w:right w:val="single" w:color="auto" w:sz="4" w:space="0"/>
            </w:tcBorders>
            <w:vAlign w:val="center"/>
          </w:tcPr>
          <w:p>
            <w:pPr>
              <w:jc w:val="center"/>
              <w:rPr>
                <w:rFonts w:ascii="宋体" w:cs="宋体"/>
                <w:color w:val="000000"/>
                <w:sz w:val="22"/>
                <w:szCs w:val="22"/>
              </w:rPr>
            </w:pPr>
            <w:r>
              <w:rPr>
                <w:rFonts w:hint="eastAsia"/>
                <w:color w:val="000000"/>
                <w:sz w:val="22"/>
                <w:szCs w:val="22"/>
              </w:rPr>
              <w:t>组织部</w:t>
            </w: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34</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党员培训</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75</w:t>
            </w:r>
          </w:p>
        </w:tc>
      </w:tr>
      <w:tr>
        <w:tblPrEx>
          <w:tblCellMar>
            <w:top w:w="0" w:type="dxa"/>
            <w:left w:w="108" w:type="dxa"/>
            <w:bottom w:w="0" w:type="dxa"/>
            <w:right w:w="108" w:type="dxa"/>
          </w:tblCellMar>
        </w:tblPrEx>
        <w:trPr>
          <w:gridBefore w:val="1"/>
          <w:wBefore w:w="7" w:type="dxa"/>
          <w:trHeight w:val="360" w:hRule="atLeast"/>
        </w:trPr>
        <w:tc>
          <w:tcPr>
            <w:tcW w:w="1403" w:type="pct"/>
            <w:tcBorders>
              <w:top w:val="single" w:color="auto" w:sz="4" w:space="0"/>
              <w:left w:val="single" w:color="auto" w:sz="4" w:space="0"/>
              <w:bottom w:val="nil"/>
              <w:right w:val="single" w:color="auto" w:sz="4" w:space="0"/>
            </w:tcBorders>
            <w:vAlign w:val="center"/>
          </w:tcPr>
          <w:p>
            <w:pPr>
              <w:jc w:val="center"/>
              <w:rPr>
                <w:rFonts w:ascii="宋体" w:cs="宋体"/>
                <w:color w:val="000000"/>
                <w:sz w:val="22"/>
                <w:szCs w:val="22"/>
              </w:rPr>
            </w:pPr>
            <w:r>
              <w:rPr>
                <w:rFonts w:hint="eastAsia"/>
                <w:color w:val="000000"/>
                <w:sz w:val="22"/>
                <w:szCs w:val="22"/>
              </w:rPr>
              <w:t>宣传部</w:t>
            </w: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35</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文明创建</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30</w:t>
            </w:r>
          </w:p>
        </w:tc>
      </w:tr>
      <w:tr>
        <w:tblPrEx>
          <w:tblCellMar>
            <w:top w:w="0" w:type="dxa"/>
            <w:left w:w="108" w:type="dxa"/>
            <w:bottom w:w="0" w:type="dxa"/>
            <w:right w:w="108" w:type="dxa"/>
          </w:tblCellMar>
        </w:tblPrEx>
        <w:trPr>
          <w:gridBefore w:val="1"/>
          <w:wBefore w:w="7" w:type="dxa"/>
          <w:trHeight w:val="360" w:hRule="atLeast"/>
        </w:trPr>
        <w:tc>
          <w:tcPr>
            <w:tcW w:w="1403" w:type="pct"/>
            <w:tcBorders>
              <w:top w:val="single" w:color="auto" w:sz="4" w:space="0"/>
              <w:left w:val="single" w:color="auto" w:sz="4" w:space="0"/>
              <w:bottom w:val="nil"/>
              <w:right w:val="single" w:color="auto" w:sz="4" w:space="0"/>
            </w:tcBorders>
            <w:vAlign w:val="center"/>
          </w:tcPr>
          <w:p>
            <w:pPr>
              <w:jc w:val="center"/>
              <w:rPr>
                <w:rFonts w:ascii="宋体" w:cs="宋体"/>
                <w:color w:val="000000"/>
                <w:sz w:val="22"/>
                <w:szCs w:val="22"/>
              </w:rPr>
            </w:pPr>
            <w:r>
              <w:rPr>
                <w:rFonts w:hint="eastAsia"/>
                <w:color w:val="000000"/>
                <w:sz w:val="22"/>
                <w:szCs w:val="22"/>
              </w:rPr>
              <w:t>党校</w:t>
            </w: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36</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主体培训</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89</w:t>
            </w:r>
          </w:p>
        </w:tc>
      </w:tr>
      <w:tr>
        <w:tblPrEx>
          <w:tblCellMar>
            <w:top w:w="0" w:type="dxa"/>
            <w:left w:w="108" w:type="dxa"/>
            <w:bottom w:w="0" w:type="dxa"/>
            <w:right w:w="108" w:type="dxa"/>
          </w:tblCellMar>
        </w:tblPrEx>
        <w:trPr>
          <w:gridBefore w:val="1"/>
          <w:wBefore w:w="7" w:type="dxa"/>
          <w:trHeight w:val="360" w:hRule="atLeast"/>
        </w:trPr>
        <w:tc>
          <w:tcPr>
            <w:tcW w:w="1403" w:type="pct"/>
            <w:tcBorders>
              <w:top w:val="single" w:color="auto" w:sz="4" w:space="0"/>
              <w:left w:val="single" w:color="auto" w:sz="4" w:space="0"/>
              <w:bottom w:val="nil"/>
              <w:right w:val="single" w:color="auto" w:sz="4" w:space="0"/>
            </w:tcBorders>
            <w:vAlign w:val="center"/>
          </w:tcPr>
          <w:p>
            <w:pPr>
              <w:jc w:val="center"/>
              <w:rPr>
                <w:rFonts w:ascii="宋体" w:cs="宋体"/>
                <w:color w:val="000000"/>
                <w:sz w:val="22"/>
                <w:szCs w:val="22"/>
              </w:rPr>
            </w:pPr>
            <w:r>
              <w:rPr>
                <w:rFonts w:hint="eastAsia"/>
                <w:color w:val="000000"/>
                <w:sz w:val="22"/>
                <w:szCs w:val="22"/>
              </w:rPr>
              <w:t>政务中心</w:t>
            </w: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37</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电子政务专项</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240</w:t>
            </w:r>
          </w:p>
        </w:tc>
      </w:tr>
      <w:tr>
        <w:tblPrEx>
          <w:tblCellMar>
            <w:top w:w="0" w:type="dxa"/>
            <w:left w:w="108" w:type="dxa"/>
            <w:bottom w:w="0" w:type="dxa"/>
            <w:right w:w="108" w:type="dxa"/>
          </w:tblCellMar>
        </w:tblPrEx>
        <w:trPr>
          <w:gridBefore w:val="1"/>
          <w:wBefore w:w="7" w:type="dxa"/>
          <w:trHeight w:val="360" w:hRule="atLeast"/>
        </w:trPr>
        <w:tc>
          <w:tcPr>
            <w:tcW w:w="1403" w:type="pct"/>
            <w:tcBorders>
              <w:top w:val="single" w:color="auto" w:sz="4" w:space="0"/>
              <w:left w:val="single" w:color="auto" w:sz="4" w:space="0"/>
              <w:bottom w:val="nil"/>
              <w:right w:val="single" w:color="auto" w:sz="4" w:space="0"/>
            </w:tcBorders>
            <w:vAlign w:val="center"/>
          </w:tcPr>
          <w:p>
            <w:pPr>
              <w:jc w:val="center"/>
              <w:rPr>
                <w:rFonts w:ascii="宋体" w:cs="宋体"/>
                <w:color w:val="000000"/>
                <w:sz w:val="22"/>
                <w:szCs w:val="22"/>
              </w:rPr>
            </w:pPr>
            <w:r>
              <w:rPr>
                <w:rFonts w:hint="eastAsia"/>
                <w:color w:val="000000"/>
                <w:sz w:val="22"/>
                <w:szCs w:val="22"/>
              </w:rPr>
              <w:t>应急管理局</w:t>
            </w: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38</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打非执法</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52</w:t>
            </w:r>
          </w:p>
        </w:tc>
      </w:tr>
      <w:tr>
        <w:tblPrEx>
          <w:tblCellMar>
            <w:top w:w="0" w:type="dxa"/>
            <w:left w:w="108" w:type="dxa"/>
            <w:bottom w:w="0" w:type="dxa"/>
            <w:right w:w="108" w:type="dxa"/>
          </w:tblCellMar>
        </w:tblPrEx>
        <w:trPr>
          <w:gridBefore w:val="1"/>
          <w:wBefore w:w="7" w:type="dxa"/>
          <w:trHeight w:val="360" w:hRule="atLeast"/>
        </w:trPr>
        <w:tc>
          <w:tcPr>
            <w:tcW w:w="1403" w:type="pct"/>
            <w:tcBorders>
              <w:top w:val="single" w:color="auto" w:sz="4" w:space="0"/>
              <w:left w:val="single" w:color="auto" w:sz="4" w:space="0"/>
              <w:bottom w:val="nil"/>
              <w:right w:val="single" w:color="auto" w:sz="4" w:space="0"/>
            </w:tcBorders>
            <w:vAlign w:val="center"/>
          </w:tcPr>
          <w:p>
            <w:pPr>
              <w:jc w:val="center"/>
              <w:rPr>
                <w:rFonts w:ascii="宋体" w:cs="宋体"/>
                <w:color w:val="000000"/>
                <w:sz w:val="22"/>
                <w:szCs w:val="22"/>
              </w:rPr>
            </w:pPr>
            <w:r>
              <w:rPr>
                <w:rFonts w:hint="eastAsia"/>
                <w:color w:val="000000"/>
                <w:sz w:val="22"/>
                <w:szCs w:val="22"/>
              </w:rPr>
              <w:t>退役军人事务局</w:t>
            </w: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39</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义务兵优待金</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157</w:t>
            </w:r>
          </w:p>
        </w:tc>
      </w:tr>
      <w:tr>
        <w:tblPrEx>
          <w:tblCellMar>
            <w:top w:w="0" w:type="dxa"/>
            <w:left w:w="108" w:type="dxa"/>
            <w:bottom w:w="0" w:type="dxa"/>
            <w:right w:w="108" w:type="dxa"/>
          </w:tblCellMar>
        </w:tblPrEx>
        <w:trPr>
          <w:gridBefore w:val="1"/>
          <w:wBefore w:w="7" w:type="dxa"/>
          <w:trHeight w:val="360" w:hRule="atLeast"/>
        </w:trPr>
        <w:tc>
          <w:tcPr>
            <w:tcW w:w="1403" w:type="pct"/>
            <w:tcBorders>
              <w:top w:val="single" w:color="auto" w:sz="4" w:space="0"/>
              <w:left w:val="single" w:color="auto" w:sz="4" w:space="0"/>
              <w:bottom w:val="nil"/>
              <w:right w:val="single" w:color="auto" w:sz="4" w:space="0"/>
            </w:tcBorders>
            <w:vAlign w:val="center"/>
          </w:tcPr>
          <w:p>
            <w:pPr>
              <w:jc w:val="center"/>
              <w:rPr>
                <w:rFonts w:ascii="宋体" w:cs="宋体"/>
                <w:color w:val="000000"/>
                <w:sz w:val="22"/>
                <w:szCs w:val="22"/>
              </w:rPr>
            </w:pPr>
            <w:r>
              <w:rPr>
                <w:rFonts w:hint="eastAsia"/>
                <w:color w:val="000000"/>
                <w:sz w:val="22"/>
                <w:szCs w:val="22"/>
              </w:rPr>
              <w:t>县纪委</w:t>
            </w: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40</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办案经费</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270</w:t>
            </w:r>
          </w:p>
        </w:tc>
      </w:tr>
      <w:tr>
        <w:tblPrEx>
          <w:tblCellMar>
            <w:top w:w="0" w:type="dxa"/>
            <w:left w:w="108" w:type="dxa"/>
            <w:bottom w:w="0" w:type="dxa"/>
            <w:right w:w="108" w:type="dxa"/>
          </w:tblCellMar>
        </w:tblPrEx>
        <w:trPr>
          <w:gridBefore w:val="1"/>
          <w:wBefore w:w="7" w:type="dxa"/>
          <w:trHeight w:val="360" w:hRule="atLeast"/>
        </w:trPr>
        <w:tc>
          <w:tcPr>
            <w:tcW w:w="1403" w:type="pct"/>
            <w:tcBorders>
              <w:top w:val="single" w:color="auto" w:sz="4" w:space="0"/>
              <w:left w:val="single" w:color="auto" w:sz="4" w:space="0"/>
              <w:bottom w:val="nil"/>
              <w:right w:val="single" w:color="auto" w:sz="4" w:space="0"/>
            </w:tcBorders>
            <w:vAlign w:val="center"/>
          </w:tcPr>
          <w:p>
            <w:pPr>
              <w:jc w:val="center"/>
              <w:rPr>
                <w:rFonts w:ascii="宋体" w:cs="宋体"/>
                <w:color w:val="000000"/>
                <w:sz w:val="22"/>
                <w:szCs w:val="22"/>
              </w:rPr>
            </w:pPr>
            <w:r>
              <w:rPr>
                <w:rFonts w:hint="eastAsia"/>
                <w:color w:val="000000"/>
                <w:sz w:val="22"/>
                <w:szCs w:val="22"/>
              </w:rPr>
              <w:t>政法委</w:t>
            </w: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41</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保平安经费</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754</w:t>
            </w:r>
          </w:p>
        </w:tc>
      </w:tr>
      <w:tr>
        <w:tblPrEx>
          <w:tblCellMar>
            <w:top w:w="0" w:type="dxa"/>
            <w:left w:w="108" w:type="dxa"/>
            <w:bottom w:w="0" w:type="dxa"/>
            <w:right w:w="108" w:type="dxa"/>
          </w:tblCellMar>
        </w:tblPrEx>
        <w:trPr>
          <w:gridBefore w:val="1"/>
          <w:wBefore w:w="7" w:type="dxa"/>
          <w:trHeight w:val="360" w:hRule="atLeast"/>
        </w:trPr>
        <w:tc>
          <w:tcPr>
            <w:tcW w:w="1403" w:type="pct"/>
            <w:tcBorders>
              <w:top w:val="single" w:color="auto" w:sz="4" w:space="0"/>
              <w:left w:val="single" w:color="auto" w:sz="4" w:space="0"/>
              <w:bottom w:val="nil"/>
              <w:right w:val="single" w:color="auto" w:sz="4" w:space="0"/>
            </w:tcBorders>
            <w:vAlign w:val="center"/>
          </w:tcPr>
          <w:p>
            <w:pPr>
              <w:jc w:val="center"/>
              <w:rPr>
                <w:rFonts w:ascii="宋体" w:cs="宋体"/>
                <w:color w:val="000000"/>
                <w:sz w:val="22"/>
                <w:szCs w:val="22"/>
              </w:rPr>
            </w:pPr>
            <w:r>
              <w:rPr>
                <w:rFonts w:hint="eastAsia"/>
                <w:color w:val="000000"/>
                <w:sz w:val="22"/>
                <w:szCs w:val="22"/>
              </w:rPr>
              <w:t>铁山水资源保护局</w:t>
            </w: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42</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两保专项</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31</w:t>
            </w:r>
          </w:p>
        </w:tc>
      </w:tr>
      <w:tr>
        <w:tblPrEx>
          <w:tblCellMar>
            <w:top w:w="0" w:type="dxa"/>
            <w:left w:w="108" w:type="dxa"/>
            <w:bottom w:w="0" w:type="dxa"/>
            <w:right w:w="108" w:type="dxa"/>
          </w:tblCellMar>
        </w:tblPrEx>
        <w:trPr>
          <w:gridBefore w:val="1"/>
          <w:wBefore w:w="7" w:type="dxa"/>
          <w:trHeight w:val="360" w:hRule="atLeast"/>
        </w:trPr>
        <w:tc>
          <w:tcPr>
            <w:tcW w:w="1403"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司法局</w:t>
            </w: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43</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社区矫正</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45</w:t>
            </w:r>
          </w:p>
        </w:tc>
      </w:tr>
      <w:tr>
        <w:tblPrEx>
          <w:tblCellMar>
            <w:top w:w="0" w:type="dxa"/>
            <w:left w:w="108" w:type="dxa"/>
            <w:bottom w:w="0" w:type="dxa"/>
            <w:right w:w="108" w:type="dxa"/>
          </w:tblCellMar>
        </w:tblPrEx>
        <w:trPr>
          <w:gridBefore w:val="1"/>
          <w:wBefore w:w="7" w:type="dxa"/>
          <w:trHeight w:val="360" w:hRule="atLeast"/>
        </w:trPr>
        <w:tc>
          <w:tcPr>
            <w:tcW w:w="1403" w:type="pct"/>
            <w:vMerge w:val="restart"/>
            <w:tcBorders>
              <w:top w:val="nil"/>
              <w:left w:val="single" w:color="auto" w:sz="4" w:space="0"/>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市场局</w:t>
            </w: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44</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食品药品监管、检验及打假</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144</w:t>
            </w:r>
          </w:p>
        </w:tc>
      </w:tr>
      <w:tr>
        <w:tblPrEx>
          <w:tblCellMar>
            <w:top w:w="0" w:type="dxa"/>
            <w:left w:w="108" w:type="dxa"/>
            <w:bottom w:w="0" w:type="dxa"/>
            <w:right w:w="108" w:type="dxa"/>
          </w:tblCellMar>
        </w:tblPrEx>
        <w:trPr>
          <w:gridBefore w:val="1"/>
          <w:wBefore w:w="7" w:type="dxa"/>
          <w:trHeight w:val="360" w:hRule="atLeast"/>
        </w:trPr>
        <w:tc>
          <w:tcPr>
            <w:tcW w:w="1403" w:type="pct"/>
            <w:vMerge w:val="continue"/>
            <w:tcBorders>
              <w:top w:val="nil"/>
              <w:left w:val="single" w:color="auto" w:sz="4" w:space="0"/>
              <w:bottom w:val="single" w:color="auto" w:sz="4" w:space="0"/>
              <w:right w:val="single" w:color="auto" w:sz="4" w:space="0"/>
            </w:tcBorders>
            <w:vAlign w:val="center"/>
          </w:tcPr>
          <w:p>
            <w:pPr>
              <w:rPr>
                <w:rFonts w:ascii="宋体" w:cs="宋体"/>
                <w:color w:val="000000"/>
                <w:sz w:val="22"/>
                <w:szCs w:val="22"/>
              </w:rPr>
            </w:pPr>
          </w:p>
        </w:tc>
        <w:tc>
          <w:tcPr>
            <w:tcW w:w="584"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color w:val="000000"/>
                <w:sz w:val="22"/>
                <w:szCs w:val="22"/>
              </w:rPr>
              <w:t>45</w:t>
            </w:r>
          </w:p>
        </w:tc>
        <w:tc>
          <w:tcPr>
            <w:tcW w:w="2182" w:type="pct"/>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color w:val="000000"/>
                <w:sz w:val="22"/>
                <w:szCs w:val="22"/>
              </w:rPr>
              <w:t>省级食品安全示范县创建专项</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300</w:t>
            </w:r>
          </w:p>
        </w:tc>
      </w:tr>
      <w:tr>
        <w:tblPrEx>
          <w:tblCellMar>
            <w:top w:w="0" w:type="dxa"/>
            <w:left w:w="108" w:type="dxa"/>
            <w:bottom w:w="0" w:type="dxa"/>
            <w:right w:w="108" w:type="dxa"/>
          </w:tblCellMar>
        </w:tblPrEx>
        <w:trPr>
          <w:gridBefore w:val="1"/>
          <w:wBefore w:w="7" w:type="dxa"/>
          <w:trHeight w:val="360" w:hRule="atLeast"/>
        </w:trPr>
        <w:tc>
          <w:tcPr>
            <w:tcW w:w="1403" w:type="pct"/>
            <w:tcBorders>
              <w:top w:val="nil"/>
              <w:left w:val="single" w:color="auto" w:sz="4" w:space="0"/>
              <w:bottom w:val="single" w:color="auto" w:sz="4" w:space="0"/>
              <w:right w:val="single" w:color="auto" w:sz="4" w:space="0"/>
            </w:tcBorders>
            <w:noWrap/>
            <w:vAlign w:val="center"/>
          </w:tcPr>
          <w:p>
            <w:pPr>
              <w:jc w:val="center"/>
              <w:rPr>
                <w:rFonts w:ascii="宋体" w:cs="宋体"/>
                <w:color w:val="000000"/>
                <w:sz w:val="22"/>
                <w:szCs w:val="22"/>
              </w:rPr>
            </w:pPr>
            <w:r>
              <w:rPr>
                <w:rFonts w:hint="eastAsia"/>
                <w:color w:val="000000"/>
                <w:sz w:val="22"/>
                <w:szCs w:val="22"/>
              </w:rPr>
              <w:t>合</w:t>
            </w:r>
            <w:r>
              <w:rPr>
                <w:color w:val="000000"/>
                <w:sz w:val="22"/>
                <w:szCs w:val="22"/>
              </w:rPr>
              <w:t xml:space="preserve">  </w:t>
            </w:r>
            <w:r>
              <w:rPr>
                <w:rFonts w:hint="eastAsia"/>
                <w:color w:val="000000"/>
                <w:sz w:val="22"/>
                <w:szCs w:val="22"/>
              </w:rPr>
              <w:t>计</w:t>
            </w:r>
          </w:p>
        </w:tc>
        <w:tc>
          <w:tcPr>
            <w:tcW w:w="584"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rFonts w:hint="eastAsia"/>
                <w:color w:val="000000"/>
                <w:sz w:val="22"/>
                <w:szCs w:val="22"/>
              </w:rPr>
              <w:t>　</w:t>
            </w:r>
          </w:p>
        </w:tc>
        <w:tc>
          <w:tcPr>
            <w:tcW w:w="2182"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rFonts w:hint="eastAsia"/>
                <w:color w:val="000000"/>
                <w:sz w:val="22"/>
                <w:szCs w:val="22"/>
              </w:rPr>
              <w:t>　</w:t>
            </w:r>
          </w:p>
        </w:tc>
        <w:tc>
          <w:tcPr>
            <w:tcW w:w="831" w:type="pct"/>
            <w:tcBorders>
              <w:top w:val="nil"/>
              <w:left w:val="nil"/>
              <w:bottom w:val="single" w:color="auto" w:sz="4" w:space="0"/>
              <w:right w:val="single" w:color="auto" w:sz="4" w:space="0"/>
            </w:tcBorders>
            <w:noWrap/>
            <w:vAlign w:val="center"/>
          </w:tcPr>
          <w:p>
            <w:pPr>
              <w:jc w:val="center"/>
              <w:rPr>
                <w:rFonts w:ascii="宋体" w:cs="宋体"/>
                <w:color w:val="000000"/>
                <w:sz w:val="22"/>
                <w:szCs w:val="22"/>
              </w:rPr>
            </w:pPr>
            <w:r>
              <w:rPr>
                <w:color w:val="000000"/>
                <w:sz w:val="22"/>
                <w:szCs w:val="22"/>
              </w:rPr>
              <w:t>60783.3</w:t>
            </w:r>
          </w:p>
        </w:tc>
      </w:tr>
    </w:tbl>
    <w:p>
      <w:pPr>
        <w:adjustRightInd w:val="0"/>
        <w:snapToGrid w:val="0"/>
        <w:spacing w:line="200" w:lineRule="exact"/>
        <w:jc w:val="right"/>
        <w:rPr>
          <w:rFonts w:eastAsia="仿宋_GB2312"/>
          <w:sz w:val="32"/>
        </w:rPr>
      </w:pPr>
    </w:p>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7"/>
      <w:lvlText w:val="%1."/>
      <w:lvlJc w:val="left"/>
      <w:pPr>
        <w:tabs>
          <w:tab w:val="left" w:pos="780"/>
        </w:tabs>
        <w:ind w:left="780" w:hanging="360"/>
      </w:pPr>
      <w:rPr>
        <w:rFonts w:cs="Times New Roman"/>
      </w:rPr>
    </w:lvl>
  </w:abstractNum>
  <w:abstractNum w:abstractNumId="1">
    <w:nsid w:val="00000008"/>
    <w:multiLevelType w:val="singleLevel"/>
    <w:tmpl w:val="00000008"/>
    <w:lvl w:ilvl="0" w:tentative="0">
      <w:start w:val="1"/>
      <w:numFmt w:val="chineseCounting"/>
      <w:suff w:val="nothing"/>
      <w:lvlText w:val="（%1）"/>
      <w:lvlJc w:val="left"/>
      <w:rPr>
        <w:rFonts w:cs="Times New Roman"/>
      </w:rPr>
    </w:lvl>
  </w:abstractNum>
  <w:abstractNum w:abstractNumId="2">
    <w:nsid w:val="0000000A"/>
    <w:multiLevelType w:val="singleLevel"/>
    <w:tmpl w:val="0000000A"/>
    <w:lvl w:ilvl="0" w:tentative="0">
      <w:start w:val="2"/>
      <w:numFmt w:val="chineseCounting"/>
      <w:suff w:val="nothing"/>
      <w:lvlText w:val="（%1）"/>
      <w:lvlJc w:val="left"/>
      <w:rPr>
        <w:rFonts w:cs="Times New Roman"/>
      </w:rPr>
    </w:lvl>
  </w:abstractNum>
  <w:abstractNum w:abstractNumId="3">
    <w:nsid w:val="0000000C"/>
    <w:multiLevelType w:val="singleLevel"/>
    <w:tmpl w:val="0000000C"/>
    <w:lvl w:ilvl="0" w:tentative="0">
      <w:start w:val="3"/>
      <w:numFmt w:val="decimal"/>
      <w:suff w:val="nothing"/>
      <w:lvlText w:val="%1、"/>
      <w:lvlJc w:val="left"/>
      <w:rPr>
        <w:rFonts w:cs="Times New Roman"/>
      </w:rPr>
    </w:lvl>
  </w:abstractNum>
  <w:abstractNum w:abstractNumId="4">
    <w:nsid w:val="0000000D"/>
    <w:multiLevelType w:val="singleLevel"/>
    <w:tmpl w:val="0000000D"/>
    <w:lvl w:ilvl="0" w:tentative="0">
      <w:start w:val="2"/>
      <w:numFmt w:val="decimal"/>
      <w:suff w:val="nothing"/>
      <w:lvlText w:val="%1、"/>
      <w:lvlJc w:val="left"/>
      <w:rPr>
        <w:rFonts w:cs="Times New Roman"/>
      </w:rPr>
    </w:lvl>
  </w:abstractNum>
  <w:num w:numId="1">
    <w:abstractNumId w:val="0"/>
    <w:lvlOverride w:ilvl="0">
      <w:startOverride w:val="1"/>
    </w:lvlOverride>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4FD"/>
    <w:rsid w:val="0000241F"/>
    <w:rsid w:val="000056A6"/>
    <w:rsid w:val="00005A3B"/>
    <w:rsid w:val="00005BA8"/>
    <w:rsid w:val="0000610C"/>
    <w:rsid w:val="00014921"/>
    <w:rsid w:val="00036EA4"/>
    <w:rsid w:val="0005701C"/>
    <w:rsid w:val="00073AAF"/>
    <w:rsid w:val="000757F8"/>
    <w:rsid w:val="00090417"/>
    <w:rsid w:val="00093B20"/>
    <w:rsid w:val="000A0E5C"/>
    <w:rsid w:val="000B33C3"/>
    <w:rsid w:val="000B4BEB"/>
    <w:rsid w:val="000B7DCB"/>
    <w:rsid w:val="000E3309"/>
    <w:rsid w:val="00100175"/>
    <w:rsid w:val="00107CC6"/>
    <w:rsid w:val="00122C2E"/>
    <w:rsid w:val="0014350A"/>
    <w:rsid w:val="001442A2"/>
    <w:rsid w:val="00146C23"/>
    <w:rsid w:val="00151B82"/>
    <w:rsid w:val="00157862"/>
    <w:rsid w:val="001634CA"/>
    <w:rsid w:val="00165E89"/>
    <w:rsid w:val="0017192D"/>
    <w:rsid w:val="001977ED"/>
    <w:rsid w:val="001A21D5"/>
    <w:rsid w:val="001A709B"/>
    <w:rsid w:val="001B0CF4"/>
    <w:rsid w:val="001B1869"/>
    <w:rsid w:val="001B2F7F"/>
    <w:rsid w:val="001B4EA7"/>
    <w:rsid w:val="001C4AD7"/>
    <w:rsid w:val="001C5954"/>
    <w:rsid w:val="001E26FB"/>
    <w:rsid w:val="001E39C6"/>
    <w:rsid w:val="001F2104"/>
    <w:rsid w:val="001F4F64"/>
    <w:rsid w:val="002318F0"/>
    <w:rsid w:val="00232EF8"/>
    <w:rsid w:val="00235B3A"/>
    <w:rsid w:val="00240F9A"/>
    <w:rsid w:val="00242262"/>
    <w:rsid w:val="00250D52"/>
    <w:rsid w:val="00253B1F"/>
    <w:rsid w:val="00254CF8"/>
    <w:rsid w:val="00255404"/>
    <w:rsid w:val="00257206"/>
    <w:rsid w:val="00292AC1"/>
    <w:rsid w:val="0029605B"/>
    <w:rsid w:val="002969D6"/>
    <w:rsid w:val="002A1388"/>
    <w:rsid w:val="002B26F1"/>
    <w:rsid w:val="002B569D"/>
    <w:rsid w:val="002B7EF4"/>
    <w:rsid w:val="002C4D24"/>
    <w:rsid w:val="002D5840"/>
    <w:rsid w:val="002F0D7B"/>
    <w:rsid w:val="00312339"/>
    <w:rsid w:val="00315C29"/>
    <w:rsid w:val="00317858"/>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3358D"/>
    <w:rsid w:val="00440BD4"/>
    <w:rsid w:val="004503BD"/>
    <w:rsid w:val="00461395"/>
    <w:rsid w:val="00466871"/>
    <w:rsid w:val="00477933"/>
    <w:rsid w:val="004A44EA"/>
    <w:rsid w:val="004A51DC"/>
    <w:rsid w:val="004A671C"/>
    <w:rsid w:val="004B76D6"/>
    <w:rsid w:val="004C73DE"/>
    <w:rsid w:val="004E0A8E"/>
    <w:rsid w:val="004E3BE9"/>
    <w:rsid w:val="005072C9"/>
    <w:rsid w:val="00513037"/>
    <w:rsid w:val="00516F00"/>
    <w:rsid w:val="005210E6"/>
    <w:rsid w:val="00530E15"/>
    <w:rsid w:val="005314BA"/>
    <w:rsid w:val="005422E5"/>
    <w:rsid w:val="0054679D"/>
    <w:rsid w:val="005477E5"/>
    <w:rsid w:val="00560BC9"/>
    <w:rsid w:val="00563755"/>
    <w:rsid w:val="00566F17"/>
    <w:rsid w:val="0058432F"/>
    <w:rsid w:val="005865B1"/>
    <w:rsid w:val="005954F8"/>
    <w:rsid w:val="005A3532"/>
    <w:rsid w:val="005B4076"/>
    <w:rsid w:val="005C1690"/>
    <w:rsid w:val="005C50B2"/>
    <w:rsid w:val="005C68D7"/>
    <w:rsid w:val="005E2BC7"/>
    <w:rsid w:val="005F6DB6"/>
    <w:rsid w:val="005F7931"/>
    <w:rsid w:val="00607401"/>
    <w:rsid w:val="006320B1"/>
    <w:rsid w:val="0064544F"/>
    <w:rsid w:val="00664E76"/>
    <w:rsid w:val="006841C9"/>
    <w:rsid w:val="00684E4B"/>
    <w:rsid w:val="00690485"/>
    <w:rsid w:val="00696545"/>
    <w:rsid w:val="006A5D82"/>
    <w:rsid w:val="006B6330"/>
    <w:rsid w:val="006D65AD"/>
    <w:rsid w:val="006E7307"/>
    <w:rsid w:val="006F5735"/>
    <w:rsid w:val="006F5FD4"/>
    <w:rsid w:val="007204BA"/>
    <w:rsid w:val="007225D2"/>
    <w:rsid w:val="00735258"/>
    <w:rsid w:val="00742DAE"/>
    <w:rsid w:val="007461B3"/>
    <w:rsid w:val="00764B34"/>
    <w:rsid w:val="00774D83"/>
    <w:rsid w:val="007829F0"/>
    <w:rsid w:val="007865A2"/>
    <w:rsid w:val="007C77EE"/>
    <w:rsid w:val="007D5B9F"/>
    <w:rsid w:val="007E1392"/>
    <w:rsid w:val="007E6513"/>
    <w:rsid w:val="007F487F"/>
    <w:rsid w:val="00815FBF"/>
    <w:rsid w:val="00840351"/>
    <w:rsid w:val="00841CD0"/>
    <w:rsid w:val="00847D60"/>
    <w:rsid w:val="00860AFD"/>
    <w:rsid w:val="00873CD8"/>
    <w:rsid w:val="008A2E6B"/>
    <w:rsid w:val="008A7515"/>
    <w:rsid w:val="008C039F"/>
    <w:rsid w:val="008E1F76"/>
    <w:rsid w:val="008E2ACB"/>
    <w:rsid w:val="008E57E1"/>
    <w:rsid w:val="008F5E0B"/>
    <w:rsid w:val="009006A1"/>
    <w:rsid w:val="00900E3F"/>
    <w:rsid w:val="00925486"/>
    <w:rsid w:val="00952065"/>
    <w:rsid w:val="00956508"/>
    <w:rsid w:val="00957360"/>
    <w:rsid w:val="00962EF0"/>
    <w:rsid w:val="00970A24"/>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A13259"/>
    <w:rsid w:val="00A16D05"/>
    <w:rsid w:val="00A30E83"/>
    <w:rsid w:val="00A4501D"/>
    <w:rsid w:val="00A51AA2"/>
    <w:rsid w:val="00A54BCA"/>
    <w:rsid w:val="00A61FD7"/>
    <w:rsid w:val="00A726C3"/>
    <w:rsid w:val="00A76673"/>
    <w:rsid w:val="00A87BCE"/>
    <w:rsid w:val="00A94900"/>
    <w:rsid w:val="00A96DDC"/>
    <w:rsid w:val="00AA3FFE"/>
    <w:rsid w:val="00AA565C"/>
    <w:rsid w:val="00AA68AE"/>
    <w:rsid w:val="00AB7085"/>
    <w:rsid w:val="00AD4448"/>
    <w:rsid w:val="00AE1B6C"/>
    <w:rsid w:val="00AE1CEC"/>
    <w:rsid w:val="00AE3F46"/>
    <w:rsid w:val="00AF11BE"/>
    <w:rsid w:val="00AF1FC0"/>
    <w:rsid w:val="00AF38EC"/>
    <w:rsid w:val="00B0185B"/>
    <w:rsid w:val="00B15F92"/>
    <w:rsid w:val="00B161A4"/>
    <w:rsid w:val="00B21CFD"/>
    <w:rsid w:val="00B41813"/>
    <w:rsid w:val="00B427C3"/>
    <w:rsid w:val="00B43845"/>
    <w:rsid w:val="00B608DB"/>
    <w:rsid w:val="00B92E17"/>
    <w:rsid w:val="00B9518E"/>
    <w:rsid w:val="00BA392F"/>
    <w:rsid w:val="00BB1C78"/>
    <w:rsid w:val="00BB378C"/>
    <w:rsid w:val="00BB3C71"/>
    <w:rsid w:val="00BB6CF4"/>
    <w:rsid w:val="00BD02C0"/>
    <w:rsid w:val="00BD1DDD"/>
    <w:rsid w:val="00C11953"/>
    <w:rsid w:val="00C12B4A"/>
    <w:rsid w:val="00C32332"/>
    <w:rsid w:val="00C3281A"/>
    <w:rsid w:val="00C33347"/>
    <w:rsid w:val="00C354BD"/>
    <w:rsid w:val="00C37D62"/>
    <w:rsid w:val="00C704A3"/>
    <w:rsid w:val="00C71B07"/>
    <w:rsid w:val="00C74701"/>
    <w:rsid w:val="00C81D9F"/>
    <w:rsid w:val="00C854FD"/>
    <w:rsid w:val="00C873D8"/>
    <w:rsid w:val="00C8756E"/>
    <w:rsid w:val="00C87FDB"/>
    <w:rsid w:val="00C921BC"/>
    <w:rsid w:val="00C94085"/>
    <w:rsid w:val="00C971C1"/>
    <w:rsid w:val="00C97C43"/>
    <w:rsid w:val="00CA1CF9"/>
    <w:rsid w:val="00CA6065"/>
    <w:rsid w:val="00CB088C"/>
    <w:rsid w:val="00CB1A56"/>
    <w:rsid w:val="00CB4149"/>
    <w:rsid w:val="00CC00C8"/>
    <w:rsid w:val="00CD1CCF"/>
    <w:rsid w:val="00CE54A6"/>
    <w:rsid w:val="00CE5516"/>
    <w:rsid w:val="00D22353"/>
    <w:rsid w:val="00D255AA"/>
    <w:rsid w:val="00D2793C"/>
    <w:rsid w:val="00D37C32"/>
    <w:rsid w:val="00D42C80"/>
    <w:rsid w:val="00D523D6"/>
    <w:rsid w:val="00D54888"/>
    <w:rsid w:val="00D54CCA"/>
    <w:rsid w:val="00D57623"/>
    <w:rsid w:val="00D77EE9"/>
    <w:rsid w:val="00D81B1D"/>
    <w:rsid w:val="00D96AE9"/>
    <w:rsid w:val="00DA0456"/>
    <w:rsid w:val="00DB5442"/>
    <w:rsid w:val="00DB7907"/>
    <w:rsid w:val="00DC10F5"/>
    <w:rsid w:val="00DD1EB3"/>
    <w:rsid w:val="00DF1C77"/>
    <w:rsid w:val="00E142CB"/>
    <w:rsid w:val="00E35E48"/>
    <w:rsid w:val="00E40ED6"/>
    <w:rsid w:val="00E4198B"/>
    <w:rsid w:val="00E63914"/>
    <w:rsid w:val="00E95B71"/>
    <w:rsid w:val="00EB35F4"/>
    <w:rsid w:val="00EC40AF"/>
    <w:rsid w:val="00EC4115"/>
    <w:rsid w:val="00EC6E79"/>
    <w:rsid w:val="00EC6F27"/>
    <w:rsid w:val="00ED7ACA"/>
    <w:rsid w:val="00EE315F"/>
    <w:rsid w:val="00EE67E1"/>
    <w:rsid w:val="00F435F8"/>
    <w:rsid w:val="00F46C79"/>
    <w:rsid w:val="00F60EC8"/>
    <w:rsid w:val="00F61205"/>
    <w:rsid w:val="00F766DE"/>
    <w:rsid w:val="00F81CBB"/>
    <w:rsid w:val="00F947E3"/>
    <w:rsid w:val="00FA6EE7"/>
    <w:rsid w:val="00FB16AF"/>
    <w:rsid w:val="00FB2BA1"/>
    <w:rsid w:val="00FD21C0"/>
    <w:rsid w:val="00FD708D"/>
    <w:rsid w:val="00FF2D16"/>
    <w:rsid w:val="00FF3258"/>
    <w:rsid w:val="00FF541B"/>
    <w:rsid w:val="00FF605E"/>
    <w:rsid w:val="520A4F12"/>
    <w:rsid w:val="60CE6DBB"/>
    <w:rsid w:val="7C8A0A2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name="Body Text Indent 2"/>
    <w:lsdException w:uiPriority="99" w:name="Body Text Indent 3"/>
    <w:lsdException w:uiPriority="99" w:name="Block Text"/>
    <w:lsdException w:qFormat="1" w:unhideWhenUsed="0" w:uiPriority="99" w:name="Hyperlink"/>
    <w:lsdException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qFormat/>
    <w:uiPriority w:val="99"/>
    <w:pPr>
      <w:ind w:left="100" w:leftChars="2500"/>
    </w:pPr>
  </w:style>
  <w:style w:type="paragraph" w:styleId="3">
    <w:name w:val="Body Text Indent 2"/>
    <w:basedOn w:val="1"/>
    <w:link w:val="14"/>
    <w:semiHidden/>
    <w:uiPriority w:val="99"/>
    <w:pPr>
      <w:ind w:firstLine="588" w:firstLineChars="200"/>
    </w:pPr>
    <w:rPr>
      <w:rFonts w:ascii="仿宋_GB2312" w:hAnsi="Calibri" w:eastAsia="仿宋_GB2312"/>
      <w:sz w:val="32"/>
    </w:rPr>
  </w:style>
  <w:style w:type="paragraph" w:styleId="4">
    <w:name w:val="footer"/>
    <w:basedOn w:val="1"/>
    <w:link w:val="12"/>
    <w:semiHidden/>
    <w:qFormat/>
    <w:uiPriority w:val="99"/>
    <w:pPr>
      <w:tabs>
        <w:tab w:val="center" w:pos="4153"/>
        <w:tab w:val="right" w:pos="8306"/>
      </w:tabs>
      <w:snapToGrid w:val="0"/>
      <w:jc w:val="left"/>
    </w:pPr>
    <w:rPr>
      <w:kern w:val="0"/>
      <w:sz w:val="18"/>
      <w:szCs w:val="18"/>
    </w:rPr>
  </w:style>
  <w:style w:type="paragraph" w:styleId="5">
    <w:name w:val="header"/>
    <w:basedOn w:val="1"/>
    <w:link w:val="10"/>
    <w:semiHidden/>
    <w:qFormat/>
    <w:uiPriority w:val="99"/>
    <w:pPr>
      <w:tabs>
        <w:tab w:val="center" w:pos="4153"/>
        <w:tab w:val="right" w:pos="8306"/>
      </w:tabs>
      <w:snapToGrid w:val="0"/>
      <w:jc w:val="center"/>
    </w:pPr>
    <w:rPr>
      <w:sz w:val="18"/>
      <w:szCs w:val="18"/>
    </w:rPr>
  </w:style>
  <w:style w:type="character" w:styleId="8">
    <w:name w:val="FollowedHyperlink"/>
    <w:basedOn w:val="7"/>
    <w:semiHidden/>
    <w:uiPriority w:val="99"/>
    <w:rPr>
      <w:rFonts w:cs="Times New Roman"/>
      <w:color w:val="800080"/>
      <w:u w:val="single"/>
    </w:rPr>
  </w:style>
  <w:style w:type="character" w:styleId="9">
    <w:name w:val="Hyperlink"/>
    <w:basedOn w:val="7"/>
    <w:semiHidden/>
    <w:qFormat/>
    <w:uiPriority w:val="99"/>
    <w:rPr>
      <w:rFonts w:cs="Times New Roman"/>
      <w:color w:val="0000FF"/>
      <w:u w:val="single"/>
    </w:rPr>
  </w:style>
  <w:style w:type="character" w:customStyle="1" w:styleId="10">
    <w:name w:val="Header Char"/>
    <w:basedOn w:val="7"/>
    <w:link w:val="5"/>
    <w:semiHidden/>
    <w:qFormat/>
    <w:locked/>
    <w:uiPriority w:val="99"/>
    <w:rPr>
      <w:rFonts w:ascii="Times New Roman" w:hAnsi="Times New Roman" w:eastAsia="宋体" w:cs="Times New Roman"/>
      <w:sz w:val="18"/>
      <w:szCs w:val="18"/>
    </w:rPr>
  </w:style>
  <w:style w:type="character" w:customStyle="1" w:styleId="11">
    <w:name w:val="Footer Char"/>
    <w:basedOn w:val="7"/>
    <w:link w:val="4"/>
    <w:semiHidden/>
    <w:qFormat/>
    <w:locked/>
    <w:uiPriority w:val="99"/>
    <w:rPr>
      <w:rFonts w:ascii="Times New Roman" w:hAnsi="Times New Roman" w:eastAsia="宋体" w:cs="Times New Roman"/>
      <w:kern w:val="0"/>
      <w:sz w:val="18"/>
      <w:szCs w:val="18"/>
    </w:rPr>
  </w:style>
  <w:style w:type="character" w:customStyle="1" w:styleId="12">
    <w:name w:val="页脚 Char"/>
    <w:basedOn w:val="7"/>
    <w:link w:val="4"/>
    <w:semiHidden/>
    <w:qFormat/>
    <w:locked/>
    <w:uiPriority w:val="99"/>
    <w:rPr>
      <w:rFonts w:ascii="Times New Roman" w:hAnsi="Times New Roman" w:eastAsia="宋体" w:cs="Times New Roman"/>
      <w:sz w:val="18"/>
      <w:szCs w:val="18"/>
    </w:rPr>
  </w:style>
  <w:style w:type="character" w:customStyle="1" w:styleId="13">
    <w:name w:val="Date Char"/>
    <w:basedOn w:val="7"/>
    <w:link w:val="2"/>
    <w:semiHidden/>
    <w:qFormat/>
    <w:locked/>
    <w:uiPriority w:val="99"/>
    <w:rPr>
      <w:rFonts w:ascii="Times New Roman" w:hAnsi="Times New Roman" w:eastAsia="宋体" w:cs="Times New Roman"/>
      <w:sz w:val="24"/>
      <w:szCs w:val="24"/>
    </w:rPr>
  </w:style>
  <w:style w:type="character" w:customStyle="1" w:styleId="14">
    <w:name w:val="Body Text Indent 2 Char"/>
    <w:basedOn w:val="7"/>
    <w:link w:val="3"/>
    <w:semiHidden/>
    <w:qFormat/>
    <w:locked/>
    <w:uiPriority w:val="99"/>
    <w:rPr>
      <w:rFonts w:ascii="仿宋_GB2312" w:hAnsi="Calibri" w:eastAsia="仿宋_GB2312" w:cs="Times New Roman"/>
      <w:sz w:val="24"/>
      <w:szCs w:val="24"/>
    </w:rPr>
  </w:style>
  <w:style w:type="paragraph" w:customStyle="1" w:styleId="15">
    <w:name w:val="Char"/>
    <w:basedOn w:val="1"/>
    <w:qFormat/>
    <w:uiPriority w:val="99"/>
    <w:pPr>
      <w:autoSpaceDE w:val="0"/>
      <w:autoSpaceDN w:val="0"/>
      <w:adjustRightInd w:val="0"/>
    </w:pPr>
    <w:rPr>
      <w:rFonts w:ascii="宋体" w:cs="宋体"/>
      <w:kern w:val="0"/>
      <w:sz w:val="20"/>
      <w:szCs w:val="20"/>
      <w:lang w:val="zh-CN"/>
    </w:rPr>
  </w:style>
  <w:style w:type="paragraph" w:customStyle="1" w:styleId="16">
    <w:name w:val="Char1"/>
    <w:basedOn w:val="1"/>
    <w:qFormat/>
    <w:uiPriority w:val="99"/>
    <w:rPr>
      <w:rFonts w:ascii="仿宋_GB2312" w:eastAsia="仿宋_GB2312"/>
      <w:sz w:val="32"/>
    </w:rPr>
  </w:style>
  <w:style w:type="paragraph" w:customStyle="1" w:styleId="17">
    <w:name w:val="Char Char Char Char Char Char Char Char Char Char Char Char1 Char Char Char Char"/>
    <w:basedOn w:val="1"/>
    <w:qFormat/>
    <w:uiPriority w:val="99"/>
    <w:pPr>
      <w:numPr>
        <w:ilvl w:val="0"/>
        <w:numId w:val="1"/>
      </w:numPr>
      <w:tabs>
        <w:tab w:val="left" w:pos="720"/>
      </w:tabs>
    </w:pPr>
    <w:rPr>
      <w:szCs w:val="20"/>
    </w:rPr>
  </w:style>
  <w:style w:type="character" w:customStyle="1" w:styleId="18">
    <w:name w:val="标题 3 Char Char"/>
    <w:qFormat/>
    <w:uiPriority w:val="99"/>
    <w:rPr>
      <w:rFonts w:ascii="楷体_GB2312" w:eastAsia="楷体_GB2312"/>
      <w:b/>
      <w:kern w:val="2"/>
      <w:sz w:val="24"/>
      <w:lang w:val="en-US" w:eastAsia="zh-CN"/>
    </w:rPr>
  </w:style>
  <w:style w:type="paragraph" w:customStyle="1" w:styleId="19">
    <w:name w:val="默认段落字体 Para Char Char Char Char Char Char Char"/>
    <w:basedOn w:val="1"/>
    <w:qFormat/>
    <w:uiPriority w:val="99"/>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21</Pages>
  <Words>10112</Words>
  <Characters>10789</Characters>
  <Lines>0</Lines>
  <Paragraphs>0</Paragraphs>
  <TotalTime>1</TotalTime>
  <ScaleCrop>false</ScaleCrop>
  <LinksUpToDate>false</LinksUpToDate>
  <CharactersWithSpaces>11372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大鹏展翅</cp:lastModifiedBy>
  <dcterms:modified xsi:type="dcterms:W3CDTF">2022-08-29T01:01:06Z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9B4D6C3E1C244FA4B2A48ECB47E01316</vt:lpwstr>
  </property>
</Properties>
</file>