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毛田镇人民政府</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713001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eastAsia="zh-CN"/>
        </w:rPr>
        <w:t>：</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20</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万德龙</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15074045678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政府具有党委和政府两种职能，党委领导政府工作。主要是政治思想和方针政策的领导，干部的选拔，考核和监督，经济和行政工作中重大问题的决策。镇政府是基层国家行政机关，行使本行政区的行政职能。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稳打稳扎，确保综合实力稳步提升</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决战决胜，确保脱贫攻坚圆满收官</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聚焦聚力，确保疫情防控成效显著</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4：加力加速，确保城乡建设提质增效</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任务5：应保尽保，确保民生保障不断增强</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任务6：善作善成，确保自身建设不断加强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本年度财政拨款收入</w:t>
            </w:r>
            <w:r>
              <w:rPr>
                <w:rFonts w:hint="eastAsia" w:ascii="仿宋_GB2312" w:hAnsi="仿宋_GB2312" w:eastAsia="仿宋_GB2312" w:cs="仿宋_GB2312"/>
                <w:color w:val="000000"/>
                <w:sz w:val="24"/>
                <w:lang w:val="en-US" w:eastAsia="zh-CN"/>
              </w:rPr>
              <w:t>2399.32万元，其中上级补助收入2030.03万元，地方公共财政收入369.29万元。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本年支出合计2399.32万元，其中基本支出976万元，项目支出1423.32万元。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vAlign w:val="center"/>
          </w:tcPr>
          <w:p>
            <w:pPr>
              <w:widowControl/>
              <w:jc w:val="left"/>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2399.32</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2399.32</w:t>
            </w: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2399.32</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2399.32</w:t>
            </w: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2399.32</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1503.32</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1259</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244.32</w:t>
            </w: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896</w:t>
            </w: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2399.32</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1503.32</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1259</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244.32</w:t>
            </w: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896</w:t>
            </w: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896.77</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896.77</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896.77</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896.77</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3774" w:type="dxa"/>
            <w:gridSpan w:val="7"/>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精准扶贫扎实开展</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积极应对疫情防控</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加强城乡基层设施建设</w:t>
            </w:r>
          </w:p>
        </w:tc>
        <w:tc>
          <w:tcPr>
            <w:tcW w:w="4585" w:type="dxa"/>
            <w:gridSpan w:val="9"/>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lang w:eastAsia="zh-CN"/>
              </w:rPr>
              <w:t>我们把圆满收官作为硬任务，“零问题”完成脱贫攻坚普查。</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lang w:eastAsia="zh-CN"/>
              </w:rPr>
              <w:t>面对新冠疫情，我们第一时间启动最严格、最紧急、最深入、最广泛的排查、隔离、检测和防控。</w:t>
            </w:r>
            <w:r>
              <w:rPr>
                <w:rFonts w:hint="eastAsia" w:ascii="仿宋_GB2312" w:hAnsi="仿宋_GB2312" w:eastAsia="仿宋_GB2312" w:cs="仿宋_GB2312"/>
                <w:color w:val="000000"/>
                <w:sz w:val="24"/>
                <w:lang w:val="en-US" w:eastAsia="zh-CN"/>
              </w:rPr>
              <w:t>3.优化环境整治、加强生态保护、严格土地管理。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无重大安全生产事故</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争当全市信访工作“三无”乡镇</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全镇</w:t>
            </w:r>
            <w:r>
              <w:rPr>
                <w:rFonts w:hint="eastAsia" w:ascii="仿宋_GB2312" w:hAnsi="仿宋_GB2312" w:eastAsia="仿宋_GB2312" w:cs="仿宋_GB2312"/>
                <w:color w:val="000000"/>
                <w:sz w:val="24"/>
                <w:lang w:val="en-US" w:eastAsia="zh-CN"/>
              </w:rPr>
              <w:t>18个村（居）进行扶贫资金清查整改</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县、乡公路维护改造</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按质按量</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按质按量</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产业帮扶投入</w:t>
            </w:r>
            <w:r>
              <w:rPr>
                <w:rFonts w:hint="eastAsia" w:ascii="仿宋_GB2312" w:hAnsi="仿宋_GB2312" w:eastAsia="仿宋_GB2312" w:cs="仿宋_GB2312"/>
                <w:color w:val="000000"/>
                <w:sz w:val="24"/>
                <w:lang w:val="en-US" w:eastAsia="zh-CN"/>
              </w:rPr>
              <w:t>360万提高产业奖补</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投入</w:t>
            </w:r>
            <w:r>
              <w:rPr>
                <w:rFonts w:hint="eastAsia" w:ascii="仿宋_GB2312" w:hAnsi="仿宋_GB2312" w:eastAsia="仿宋_GB2312" w:cs="仿宋_GB2312"/>
                <w:color w:val="000000"/>
                <w:sz w:val="24"/>
                <w:lang w:val="en-US" w:eastAsia="zh-CN"/>
              </w:rPr>
              <w:t>600万元基层设施建设</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做好生活保障、提升幸福感</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推进环境整治、改善全镇人民的生活质量</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3：修建城乡道路、提高交通便利</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给社会群众带来直接或间接的生活便利，提高全镇人民生活质量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改善全镇人民的生活质量</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带动全镇经济发展</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3：提高人均收入水平</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提升全镇</w:t>
            </w:r>
            <w:r>
              <w:rPr>
                <w:rFonts w:hint="eastAsia" w:ascii="仿宋_GB2312" w:hAnsi="仿宋_GB2312" w:eastAsia="仿宋_GB2312" w:cs="仿宋_GB2312"/>
                <w:b/>
                <w:color w:val="000000"/>
                <w:sz w:val="24"/>
                <w:lang w:val="en-US" w:eastAsia="zh-CN"/>
              </w:rPr>
              <w:t>5.6万人生活水平，带动全镇经济发展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推进镇对环保整治</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做好人居环境可持续发展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长期目标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全镇百姓对镇政府及工作成效满意度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许维</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纪委书记</w:t>
            </w:r>
          </w:p>
        </w:tc>
        <w:tc>
          <w:tcPr>
            <w:tcW w:w="1479" w:type="dxa"/>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毛田镇人民政府</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卢水波</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党政办主任</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毛田镇人民政府</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万德龙</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财政所长</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毛田镇人民政府</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w:t>
      </w:r>
      <w:r>
        <w:rPr>
          <w:rFonts w:hint="eastAsia" w:eastAsia="仿宋_GB2312" w:cs="仿宋_GB2312"/>
          <w:bCs/>
          <w:sz w:val="28"/>
          <w:szCs w:val="28"/>
          <w:lang w:eastAsia="zh-CN"/>
        </w:rPr>
        <w:t>：殷焱佳</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13575029600</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80" w:lineRule="exact"/>
              <w:ind w:firstLine="723" w:firstLineChars="200"/>
              <w:jc w:val="center"/>
              <w:rPr>
                <w:rFonts w:hint="eastAsia" w:ascii="仿宋_GB2312" w:eastAsia="仿宋_GB2312"/>
                <w:b/>
                <w:bCs/>
                <w:sz w:val="36"/>
                <w:szCs w:val="36"/>
              </w:rPr>
            </w:pPr>
            <w:r>
              <w:rPr>
                <w:rFonts w:hint="eastAsia" w:ascii="仿宋_GB2312" w:eastAsia="仿宋_GB2312"/>
                <w:b/>
                <w:bCs/>
                <w:sz w:val="36"/>
                <w:szCs w:val="36"/>
              </w:rPr>
              <w:t>五、评价报告综述（文字部分）</w:t>
            </w:r>
          </w:p>
          <w:p>
            <w:pPr>
              <w:spacing w:line="440" w:lineRule="exact"/>
              <w:ind w:firstLine="640" w:firstLineChars="200"/>
              <w:jc w:val="center"/>
              <w:rPr>
                <w:rFonts w:eastAsia="仿宋_GB2312"/>
                <w:sz w:val="32"/>
                <w:szCs w:val="32"/>
              </w:rPr>
            </w:pP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w:t>
            </w:r>
            <w:r>
              <w:rPr>
                <w:rFonts w:hint="eastAsia" w:ascii="黑体" w:hAnsi="黑体" w:eastAsia="黑体" w:cs="黑体"/>
                <w:bCs/>
                <w:sz w:val="32"/>
                <w:szCs w:val="32"/>
                <w:lang w:eastAsia="zh-CN"/>
              </w:rPr>
              <w:t>毛田镇人民政府</w:t>
            </w:r>
            <w:r>
              <w:rPr>
                <w:rFonts w:hint="eastAsia" w:ascii="黑体" w:hAnsi="黑体" w:eastAsia="黑体" w:cs="黑体"/>
                <w:bCs/>
                <w:sz w:val="32"/>
                <w:szCs w:val="32"/>
              </w:rPr>
              <w:t>概况</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我单位包含政府机关及3个二级机构。全部为财政全额拨款单位，执行行政单位会计制度，在职干部102人、退休48人。</w:t>
            </w:r>
          </w:p>
          <w:p>
            <w:pPr>
              <w:spacing w:line="580" w:lineRule="exact"/>
              <w:ind w:firstLine="560" w:firstLineChars="200"/>
              <w:rPr>
                <w:rFonts w:hint="eastAsia" w:ascii="仿宋_GB2312" w:hAnsi="仿宋_GB2312" w:eastAsia="仿宋_GB2312" w:cs="仿宋_GB2312"/>
                <w:bCs/>
                <w:sz w:val="28"/>
                <w:szCs w:val="28"/>
                <w:lang w:eastAsia="zh-CN"/>
              </w:rPr>
            </w:pP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）关于毛田镇人民政府2020年度收入支出决算总体情况说明： 2020年镇财政决算收支总计2399.32万元比比上年决算减少245.31万元。减少原因是将上级专项追加指标计入决算收支。</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）关于毛田镇人民政府2020年度收入决算情况说明 ：2020年公共财政决算收入共2399.32万元。其中上级财政补助收入2030.03 万元占收入84.61%，地方公共财政收入369.29 万元占收入的15.39%。</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）、关于毛田镇人民政府2020年度支出决算情况说明： 2020年公共财政决算支出2399.32万元，其中一般公共服务支出976万元，国防支出4万元占，公共安全支出27万元，教育支出7万元，文化体育与传媒支出12万元，社会保障和就业支出196万元，医疗卫生与计划生育支出125万元，节能环保支出43万元，城乡社区支出167万元，农林水支出727万元，交通运输支出23万元，资源勘探信息(安全生产)等支出20万元，住房保障支出72.32万元。</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）、关于毛田镇人民政府2020年度一般公共预算财政拨款“三公”经费支出决算情况说明：</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1、“三公”经费财政拨款支出决算总体情况说明。 2020年三公经费支出总额为10万元其中：因公出国（境）费用0万元、公务接待费用3万元、公务用车费7万元（其中公务用车运行维护费7万元、公务用车购置0万元。）三公经费比上年减少9万元，减少原因是严格控制接待标准。</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2、“三公”经费财政拨款支出决算具体情况说明。 2020年毛田镇公务接待费3万元，主要是公务接待用餐支出，公务用车7万元主要用于公务用车的维护费用，镇机关集镇垃圾车、机关洒水车的维护及维修。</w:t>
            </w:r>
          </w:p>
          <w:p>
            <w:pPr>
              <w:spacing w:line="560" w:lineRule="exact"/>
              <w:ind w:firstLine="560" w:firstLineChars="200"/>
              <w:rPr>
                <w:rFonts w:ascii="仿宋_GB2312" w:hAnsi="仿宋_GB2312" w:eastAsia="仿宋_GB2312" w:cs="仿宋_GB2312"/>
                <w:bCs/>
                <w:sz w:val="28"/>
                <w:szCs w:val="28"/>
              </w:rPr>
            </w:pP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我单位申报的资金项目均从2020年初计划实施，并于2020年底前完成年度绩效目标。我镇年度专项支出共384万元，主要用于农村基础设施、道路、水利、环境等方面支出。我镇制定了机关财务管理制定，明确了专项支出审批程序，严格加强对专项资金的监管。</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2、严格对专项资金报账的审核制度。专项资金必须与申报项目相符，村级代理记账必须附四议两公开、会议记录、事前事中事后相关照片记录，超过规定金额必须走政府采购或招投标手续方可进行报账。</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（二）专项管理情况分析</w:t>
            </w:r>
          </w:p>
          <w:p>
            <w:pPr>
              <w:spacing w:line="560" w:lineRule="exact"/>
              <w:ind w:firstLine="640" w:firstLineChars="200"/>
              <w:rPr>
                <w:rFonts w:hint="eastAsia" w:ascii="黑体" w:hAnsi="黑体" w:eastAsia="黑体" w:cs="黑体"/>
                <w:bCs/>
                <w:sz w:val="32"/>
                <w:szCs w:val="32"/>
                <w:lang w:eastAsia="zh-CN"/>
              </w:rPr>
            </w:pP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按照财政预算绩效管理工作的总体要求，2020年我单位整体支出2399.32万元全部实行整体支出绩效目标管理，整体支出绩效目标基本完成。</w:t>
            </w:r>
          </w:p>
          <w:p>
            <w:pPr>
              <w:spacing w:line="560" w:lineRule="exact"/>
              <w:ind w:firstLine="560" w:firstLineChars="200"/>
              <w:rPr>
                <w:rFonts w:hint="eastAsia" w:ascii="仿宋_GB2312" w:hAnsi="仿宋_GB2312" w:eastAsia="仿宋_GB2312" w:cs="仿宋_GB2312"/>
                <w:bCs/>
                <w:sz w:val="28"/>
                <w:szCs w:val="28"/>
                <w:lang w:val="en-US" w:eastAsia="zh-CN"/>
              </w:rPr>
            </w:pPr>
          </w:p>
          <w:p>
            <w:pPr>
              <w:numPr>
                <w:numId w:val="0"/>
              </w:numPr>
              <w:spacing w:line="560" w:lineRule="exact"/>
              <w:ind w:left="210" w:leftChars="0" w:firstLine="320" w:firstLineChars="100"/>
              <w:rPr>
                <w:rFonts w:hint="eastAsia" w:ascii="黑体" w:hAnsi="黑体" w:eastAsia="黑体" w:cs="黑体"/>
                <w:bCs/>
                <w:sz w:val="32"/>
                <w:szCs w:val="32"/>
                <w:lang w:eastAsia="zh-CN"/>
              </w:rPr>
            </w:pPr>
          </w:p>
          <w:p>
            <w:pPr>
              <w:numPr>
                <w:numId w:val="0"/>
              </w:numPr>
              <w:spacing w:line="560" w:lineRule="exact"/>
              <w:ind w:left="210" w:leftChars="0" w:firstLine="320" w:firstLineChars="100"/>
              <w:rPr>
                <w:rFonts w:hint="eastAsia" w:ascii="黑体" w:hAnsi="黑体" w:eastAsia="黑体" w:cs="黑体"/>
                <w:bCs/>
                <w:sz w:val="32"/>
                <w:szCs w:val="32"/>
                <w:lang w:eastAsia="zh-CN"/>
              </w:rPr>
            </w:pPr>
          </w:p>
          <w:p>
            <w:pPr>
              <w:numPr>
                <w:numId w:val="0"/>
              </w:numPr>
              <w:spacing w:line="560" w:lineRule="exact"/>
              <w:ind w:left="210" w:leftChars="0" w:firstLine="320" w:firstLineChars="100"/>
              <w:rPr>
                <w:rFonts w:hint="eastAsia" w:ascii="黑体" w:hAnsi="黑体" w:eastAsia="黑体" w:cs="黑体"/>
                <w:bCs/>
                <w:sz w:val="32"/>
                <w:szCs w:val="32"/>
                <w:lang w:eastAsia="zh-CN"/>
              </w:rPr>
            </w:pPr>
          </w:p>
          <w:p>
            <w:pPr>
              <w:numPr>
                <w:numId w:val="0"/>
              </w:numPr>
              <w:spacing w:line="560" w:lineRule="exact"/>
              <w:ind w:left="210" w:leftChars="0" w:firstLine="320" w:firstLineChars="100"/>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存在的主要问题</w:t>
            </w:r>
          </w:p>
          <w:p>
            <w:pPr>
              <w:numPr>
                <w:numId w:val="0"/>
              </w:numPr>
              <w:spacing w:line="560" w:lineRule="exact"/>
              <w:rPr>
                <w:rFonts w:hint="eastAsia"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w:t>
            </w:r>
            <w:r>
              <w:rPr>
                <w:rFonts w:hint="eastAsia" w:ascii="仿宋_GB2312" w:hAnsi="仿宋_GB2312" w:eastAsia="仿宋_GB2312" w:cs="仿宋_GB2312"/>
                <w:bCs/>
                <w:sz w:val="28"/>
                <w:szCs w:val="28"/>
                <w:lang w:val="en-US" w:eastAsia="zh-CN"/>
              </w:rPr>
              <w:t>绩效开展持久，但实际效果一般，有的目标细化、量化难度大，成果较难评估。</w:t>
            </w:r>
          </w:p>
          <w:p>
            <w:pPr>
              <w:numPr>
                <w:numId w:val="0"/>
              </w:numPr>
              <w:spacing w:line="560" w:lineRule="exact"/>
              <w:rPr>
                <w:rFonts w:hint="default" w:ascii="仿宋_GB2312" w:hAnsi="仿宋_GB2312" w:eastAsia="仿宋_GB2312" w:cs="仿宋_GB2312"/>
                <w:bCs/>
                <w:sz w:val="28"/>
                <w:szCs w:val="28"/>
                <w:lang w:val="en-US" w:eastAsia="zh-CN"/>
              </w:rPr>
            </w:pPr>
          </w:p>
          <w:p>
            <w:pPr>
              <w:numPr>
                <w:numId w:val="0"/>
              </w:numPr>
              <w:spacing w:line="560" w:lineRule="exact"/>
              <w:ind w:left="210" w:leftChars="0"/>
              <w:rPr>
                <w:rFonts w:hint="eastAsia" w:ascii="黑体" w:hAnsi="黑体" w:eastAsia="黑体" w:cs="黑体"/>
                <w:bCs/>
                <w:sz w:val="32"/>
                <w:szCs w:val="32"/>
              </w:rPr>
            </w:pPr>
            <w:r>
              <w:rPr>
                <w:rFonts w:hint="eastAsia" w:ascii="黑体" w:hAnsi="黑体" w:eastAsia="黑体" w:cs="黑体"/>
                <w:bCs/>
                <w:sz w:val="32"/>
                <w:szCs w:val="32"/>
                <w:lang w:val="en-US" w:eastAsia="zh-CN"/>
              </w:rPr>
              <w:t xml:space="preserve">    五、</w:t>
            </w:r>
            <w:r>
              <w:rPr>
                <w:rFonts w:hint="eastAsia" w:ascii="黑体" w:hAnsi="黑体" w:eastAsia="黑体" w:cs="黑体"/>
                <w:bCs/>
                <w:sz w:val="32"/>
                <w:szCs w:val="32"/>
              </w:rPr>
              <w:t>改进措施和有关建议</w:t>
            </w:r>
          </w:p>
          <w:p>
            <w:pPr>
              <w:numPr>
                <w:numId w:val="0"/>
              </w:numPr>
              <w:spacing w:line="560" w:lineRule="exact"/>
              <w:ind w:leftChars="200"/>
              <w:rPr>
                <w:rFonts w:hint="default"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1</w:t>
            </w:r>
            <w:r>
              <w:rPr>
                <w:rFonts w:hint="eastAsia" w:ascii="仿宋_GB2312" w:hAnsi="仿宋_GB2312" w:eastAsia="仿宋_GB2312" w:cs="仿宋_GB2312"/>
                <w:bCs/>
                <w:sz w:val="28"/>
                <w:szCs w:val="28"/>
                <w:lang w:val="en-US" w:eastAsia="zh-CN"/>
              </w:rPr>
              <w:t>、进一步化解绩效目标，把绩效目标融入到政府日常工作中。2、进一步严格预算编制、执行及管理，对新增财政支出、一般性支出等严格控制。3、绩效的执行情况及政策效果项目支出的管理、使用、效益情况进行严格的跟踪。</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w:t>
      </w:r>
      <w:r>
        <w:rPr>
          <w:rFonts w:ascii="黑体" w:hAnsi="黑体" w:eastAsia="黑体"/>
          <w:sz w:val="32"/>
          <w:szCs w:val="32"/>
        </w:rPr>
        <w:t>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p>
            <w:pPr>
              <w:widowControl/>
              <w:spacing w:line="240" w:lineRule="exact"/>
              <w:jc w:val="left"/>
              <w:rPr>
                <w:rFonts w:hint="eastAsia" w:ascii="仿宋_GB2312" w:hAnsi="宋体" w:eastAsia="仿宋_GB2312" w:cs="宋体"/>
                <w:color w:val="000000"/>
                <w:kern w:val="0"/>
                <w:sz w:val="18"/>
                <w:szCs w:val="18"/>
                <w:lang w:val="en-US" w:eastAsia="zh-CN"/>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根据岳县办发（</w:t>
            </w:r>
            <w:r>
              <w:rPr>
                <w:rFonts w:ascii="仿宋_GB2312" w:hAnsi="宋体" w:eastAsia="仿宋_GB2312" w:cs="宋体"/>
                <w:color w:val="000000"/>
                <w:kern w:val="0"/>
                <w:sz w:val="18"/>
                <w:szCs w:val="18"/>
              </w:rPr>
              <w:t>2021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p>
            <w:pPr>
              <w:widowControl/>
              <w:spacing w:line="240" w:lineRule="exact"/>
              <w:jc w:val="center"/>
              <w:rPr>
                <w:rFonts w:hint="eastAsia" w:ascii="仿宋_GB2312" w:hAnsi="宋体" w:eastAsia="仿宋_GB2312" w:cs="宋体"/>
                <w:kern w:val="0"/>
                <w:sz w:val="18"/>
                <w:szCs w:val="18"/>
                <w:lang w:val="en-US" w:eastAsia="zh-CN"/>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bookmarkStart w:id="0" w:name="_GoBack"/>
            <w:bookmarkEnd w:id="0"/>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MzZDBmYjA4ZmQ1MDU4MDViZTFmOTljNjdlZDYzZDI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368C"/>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36844"/>
    <w:rsid w:val="00240F9A"/>
    <w:rsid w:val="00242262"/>
    <w:rsid w:val="00253B1F"/>
    <w:rsid w:val="00254CF8"/>
    <w:rsid w:val="00255404"/>
    <w:rsid w:val="00257206"/>
    <w:rsid w:val="00292AC1"/>
    <w:rsid w:val="0029605B"/>
    <w:rsid w:val="002969D6"/>
    <w:rsid w:val="002B26F1"/>
    <w:rsid w:val="002B569D"/>
    <w:rsid w:val="002B7EF4"/>
    <w:rsid w:val="002C0D36"/>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3855"/>
    <w:rsid w:val="003B7876"/>
    <w:rsid w:val="003E4F5E"/>
    <w:rsid w:val="004036B5"/>
    <w:rsid w:val="004222D1"/>
    <w:rsid w:val="00422E14"/>
    <w:rsid w:val="00430153"/>
    <w:rsid w:val="00432C79"/>
    <w:rsid w:val="004503BD"/>
    <w:rsid w:val="00461395"/>
    <w:rsid w:val="00477933"/>
    <w:rsid w:val="004A44EA"/>
    <w:rsid w:val="004A51DC"/>
    <w:rsid w:val="004A671C"/>
    <w:rsid w:val="004B27D9"/>
    <w:rsid w:val="004C73DE"/>
    <w:rsid w:val="004E0A8E"/>
    <w:rsid w:val="004E3BE9"/>
    <w:rsid w:val="005072C9"/>
    <w:rsid w:val="00513037"/>
    <w:rsid w:val="005210E6"/>
    <w:rsid w:val="00530E15"/>
    <w:rsid w:val="005314BA"/>
    <w:rsid w:val="005422E5"/>
    <w:rsid w:val="0054679D"/>
    <w:rsid w:val="005477E5"/>
    <w:rsid w:val="00566F17"/>
    <w:rsid w:val="00582936"/>
    <w:rsid w:val="005864BC"/>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7F62AF"/>
    <w:rsid w:val="00815FBF"/>
    <w:rsid w:val="00841CD0"/>
    <w:rsid w:val="00847D60"/>
    <w:rsid w:val="00860AFD"/>
    <w:rsid w:val="008750DA"/>
    <w:rsid w:val="008A2E6B"/>
    <w:rsid w:val="008A7515"/>
    <w:rsid w:val="008C039F"/>
    <w:rsid w:val="008C33E9"/>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388E"/>
    <w:rsid w:val="009E5A8A"/>
    <w:rsid w:val="009F3479"/>
    <w:rsid w:val="00A13259"/>
    <w:rsid w:val="00A16D05"/>
    <w:rsid w:val="00A30E83"/>
    <w:rsid w:val="00A4501D"/>
    <w:rsid w:val="00A51AA2"/>
    <w:rsid w:val="00A54BCA"/>
    <w:rsid w:val="00A61FD7"/>
    <w:rsid w:val="00A67A48"/>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D48AB"/>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67F74"/>
    <w:rsid w:val="00E95B71"/>
    <w:rsid w:val="00EB35F4"/>
    <w:rsid w:val="00EC40AF"/>
    <w:rsid w:val="00EC6F27"/>
    <w:rsid w:val="00ED7ACA"/>
    <w:rsid w:val="00EE315F"/>
    <w:rsid w:val="00EE67E1"/>
    <w:rsid w:val="00F37D73"/>
    <w:rsid w:val="00F435F8"/>
    <w:rsid w:val="00F60EC8"/>
    <w:rsid w:val="00F61205"/>
    <w:rsid w:val="00F766DE"/>
    <w:rsid w:val="00F81CBB"/>
    <w:rsid w:val="00F8501A"/>
    <w:rsid w:val="00F947E3"/>
    <w:rsid w:val="00FA6EE7"/>
    <w:rsid w:val="00FB16AF"/>
    <w:rsid w:val="00FB2BA1"/>
    <w:rsid w:val="00FD21C0"/>
    <w:rsid w:val="00FD708D"/>
    <w:rsid w:val="00FF3258"/>
    <w:rsid w:val="00FF605E"/>
    <w:rsid w:val="01E14C8F"/>
    <w:rsid w:val="0A030A34"/>
    <w:rsid w:val="0AE71698"/>
    <w:rsid w:val="29315E51"/>
    <w:rsid w:val="29793438"/>
    <w:rsid w:val="2ECC6CF5"/>
    <w:rsid w:val="2F302D5E"/>
    <w:rsid w:val="30B915C1"/>
    <w:rsid w:val="3D7D3613"/>
    <w:rsid w:val="429513FF"/>
    <w:rsid w:val="4AAE2E99"/>
    <w:rsid w:val="50B96C00"/>
    <w:rsid w:val="51F15F26"/>
    <w:rsid w:val="564C5E20"/>
    <w:rsid w:val="5BDC26BF"/>
    <w:rsid w:val="61D45989"/>
    <w:rsid w:val="64446389"/>
    <w:rsid w:val="68AA4C39"/>
    <w:rsid w:val="6AD76980"/>
    <w:rsid w:val="6FF46EB5"/>
    <w:rsid w:val="732561B0"/>
    <w:rsid w:val="74CE5F27"/>
    <w:rsid w:val="75F61BD9"/>
    <w:rsid w:val="7A920274"/>
    <w:rsid w:val="7CFD6D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qFormat/>
    <w:uiPriority w:val="99"/>
    <w:pPr>
      <w:ind w:left="100" w:leftChars="2500"/>
    </w:pPr>
  </w:style>
  <w:style w:type="paragraph" w:styleId="3">
    <w:name w:val="Body Text Indent 2"/>
    <w:basedOn w:val="1"/>
    <w:link w:val="11"/>
    <w:semiHidden/>
    <w:qFormat/>
    <w:uiPriority w:val="99"/>
    <w:pPr>
      <w:ind w:firstLine="588" w:firstLineChars="200"/>
    </w:pPr>
    <w:rPr>
      <w:rFonts w:ascii="仿宋_GB2312" w:hAnsi="Calibri" w:eastAsia="仿宋_GB2312"/>
      <w:sz w:val="32"/>
    </w:rPr>
  </w:style>
  <w:style w:type="paragraph" w:styleId="4">
    <w:name w:val="footer"/>
    <w:basedOn w:val="1"/>
    <w:link w:val="14"/>
    <w:semiHidden/>
    <w:qFormat/>
    <w:uiPriority w:val="99"/>
    <w:pPr>
      <w:tabs>
        <w:tab w:val="center" w:pos="4153"/>
        <w:tab w:val="right" w:pos="8306"/>
      </w:tabs>
      <w:snapToGrid w:val="0"/>
      <w:jc w:val="left"/>
    </w:pPr>
    <w:rPr>
      <w:kern w:val="0"/>
      <w:sz w:val="18"/>
      <w:szCs w:val="18"/>
    </w:rPr>
  </w:style>
  <w:style w:type="paragraph" w:styleId="5">
    <w:name w:val="header"/>
    <w:basedOn w:val="1"/>
    <w:link w:val="13"/>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Date Char"/>
    <w:basedOn w:val="7"/>
    <w:link w:val="2"/>
    <w:semiHidden/>
    <w:qFormat/>
    <w:locked/>
    <w:uiPriority w:val="99"/>
    <w:rPr>
      <w:rFonts w:ascii="Times New Roman" w:hAnsi="Times New Roman" w:eastAsia="宋体" w:cs="Times New Roman"/>
      <w:sz w:val="24"/>
      <w:szCs w:val="24"/>
    </w:rPr>
  </w:style>
  <w:style w:type="character" w:customStyle="1" w:styleId="11">
    <w:name w:val="Body Text Indent 2 Char"/>
    <w:basedOn w:val="7"/>
    <w:link w:val="3"/>
    <w:semiHidden/>
    <w:qFormat/>
    <w:locked/>
    <w:uiPriority w:val="99"/>
    <w:rPr>
      <w:rFonts w:ascii="仿宋_GB2312" w:hAnsi="Calibri" w:eastAsia="仿宋_GB2312" w:cs="Times New Roman"/>
      <w:sz w:val="24"/>
      <w:szCs w:val="24"/>
    </w:rPr>
  </w:style>
  <w:style w:type="character" w:customStyle="1" w:styleId="12">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3">
    <w:name w:val="Header Char"/>
    <w:basedOn w:val="7"/>
    <w:link w:val="5"/>
    <w:semiHidden/>
    <w:qFormat/>
    <w:locked/>
    <w:uiPriority w:val="99"/>
    <w:rPr>
      <w:rFonts w:ascii="Times New Roman" w:hAnsi="Times New Roman" w:eastAsia="宋体" w:cs="Times New Roman"/>
      <w:sz w:val="18"/>
      <w:szCs w:val="18"/>
    </w:rPr>
  </w:style>
  <w:style w:type="character" w:customStyle="1" w:styleId="14">
    <w:name w:val="页脚 Char"/>
    <w:basedOn w:val="7"/>
    <w:link w:val="4"/>
    <w:semiHidden/>
    <w:qFormat/>
    <w:locked/>
    <w:uiPriority w:val="99"/>
    <w:rPr>
      <w:rFonts w:ascii="Times New Roman" w:hAnsi="Times New Roman" w:eastAsia="宋体" w:cs="Times New Roman"/>
      <w:sz w:val="18"/>
      <w:szCs w:val="18"/>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character" w:customStyle="1" w:styleId="19">
    <w:name w:val="font11"/>
    <w:basedOn w:val="7"/>
    <w:qFormat/>
    <w:uiPriority w:val="99"/>
    <w:rPr>
      <w:rFonts w:ascii="宋体" w:hAnsi="宋体" w:eastAsia="宋体" w:cs="宋体"/>
      <w:b/>
      <w:bCs/>
      <w:color w:val="000000"/>
      <w:sz w:val="36"/>
      <w:szCs w:val="36"/>
      <w:u w:val="none"/>
    </w:rPr>
  </w:style>
  <w:style w:type="character" w:customStyle="1" w:styleId="20">
    <w:name w:val="font51"/>
    <w:basedOn w:val="7"/>
    <w:qFormat/>
    <w:uiPriority w:val="99"/>
    <w:rPr>
      <w:rFonts w:ascii="宋体" w:hAnsi="宋体" w:eastAsia="宋体" w:cs="宋体"/>
      <w:color w:val="000000"/>
      <w:sz w:val="20"/>
      <w:szCs w:val="20"/>
      <w:u w:val="none"/>
    </w:rPr>
  </w:style>
  <w:style w:type="character" w:customStyle="1" w:styleId="21">
    <w:name w:val="font91"/>
    <w:basedOn w:val="7"/>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23</Pages>
  <Words>6618</Words>
  <Characters>7554</Characters>
  <Lines>0</Lines>
  <Paragraphs>0</Paragraphs>
  <TotalTime>4</TotalTime>
  <ScaleCrop>false</ScaleCrop>
  <LinksUpToDate>false</LinksUpToDate>
  <CharactersWithSpaces>8031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2022-08-28T03:43:27Z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D437A7A720334F978D14FA794832065D</vt:lpwstr>
  </property>
</Properties>
</file>