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岳阳县殡葬事务中心</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sz w:val="72"/>
          <w:szCs w:val="72"/>
        </w:rPr>
      </w:pPr>
      <w:r>
        <w:rPr>
          <w:rFonts w:hint="eastAsia"/>
          <w:sz w:val="84"/>
          <w:szCs w:val="84"/>
        </w:rPr>
        <w:t>第一部分</w:t>
      </w:r>
      <w:r>
        <w:rPr>
          <w:sz w:val="84"/>
          <w:szCs w:val="84"/>
        </w:rPr>
        <w:t xml:space="preserve"> </w:t>
      </w:r>
      <w:r>
        <w:rPr>
          <w:rFonts w:hint="eastAsia"/>
          <w:sz w:val="84"/>
          <w:szCs w:val="84"/>
        </w:rPr>
        <w:t>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947" w:firstLineChars="296"/>
        <w:jc w:val="left"/>
        <w:rPr>
          <w:rFonts w:hint="eastAsia" w:eastAsia="仿宋_GB2312"/>
          <w:sz w:val="32"/>
          <w:szCs w:val="32"/>
        </w:rPr>
      </w:pPr>
      <w:r>
        <w:rPr>
          <w:rFonts w:hint="eastAsia" w:eastAsia="仿宋_GB2312"/>
          <w:sz w:val="32"/>
          <w:szCs w:val="32"/>
        </w:rPr>
        <w:t>1、承担宣传贯彻落实国家、省、市、县有关殡葬改革和管理的方针、政策、法规和规章相关事务性工作，承担宣传和推进殡葬改革工作相关事务性工作。</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2、承担调查摸底全县殡葬改革相关情况，提出建议，并拟订殡葬改革规划和措施。</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3、协调有关部门齐抓共管，逐步推行遗体火化和公墓集中安葬，不断提高遗体火化率和公墓安葬率。</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4、协助督促检查全县殡葬改革和殡葬法规的执行情况，并对违反殡葬法规的行为提出行政处罚初步意见。</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5、做好遗体火化、公墓、丧事管理等相关事务性工作，协助丧葬用品市场管理工作。</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6、做好殡葬改革的宣传工作，协助乡（镇）制止和处理丧事中的封建迷信活动。</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7、做好殡葬服务、殡葬管理培训等工作。</w:t>
      </w:r>
    </w:p>
    <w:p>
      <w:pPr>
        <w:jc w:val="left"/>
        <w:rPr>
          <w:rFonts w:ascii="仿宋_GB2312" w:eastAsia="仿宋_GB2312" w:hAnsiTheme="minorEastAsia"/>
          <w:sz w:val="28"/>
          <w:szCs w:val="32"/>
        </w:rPr>
      </w:pPr>
      <w:r>
        <w:rPr>
          <w:rFonts w:hint="eastAsia" w:eastAsia="仿宋_GB2312"/>
          <w:sz w:val="32"/>
          <w:szCs w:val="32"/>
        </w:rPr>
        <w:t>8、承办县民政局交办的其他工作。</w:t>
      </w: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pPr>
        <w:widowControl/>
        <w:numPr>
          <w:ilvl w:val="0"/>
          <w:numId w:val="0"/>
        </w:numPr>
        <w:spacing w:line="600" w:lineRule="exact"/>
        <w:rPr>
          <w:rFonts w:hint="eastAsia" w:ascii="黑体" w:hAnsi="黑体" w:eastAsia="黑体"/>
          <w:bCs/>
          <w:kern w:val="0"/>
          <w:sz w:val="32"/>
          <w:szCs w:val="32"/>
        </w:rPr>
      </w:pPr>
    </w:p>
    <w:p>
      <w:pPr>
        <w:jc w:val="lef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本单位</w:t>
      </w:r>
      <w:r>
        <w:rPr>
          <w:rFonts w:hint="eastAsia" w:eastAsia="仿宋_GB2312"/>
          <w:sz w:val="32"/>
          <w:szCs w:val="32"/>
          <w:lang w:val="en-US" w:eastAsia="zh-CN"/>
        </w:rPr>
        <w:t>系岳阳县民政局属二级机构，内设 5个股室，分别是：办公室、殡葬执法室、殡葬服务室、殡葬事务管理室、财务室。年末实有在职人数20人。</w:t>
      </w:r>
    </w:p>
    <w:p>
      <w:pPr>
        <w:jc w:val="center"/>
        <w:rPr>
          <w:rFonts w:ascii="黑体" w:hAnsi="黑体" w:eastAsia="黑体"/>
          <w:sz w:val="28"/>
          <w:szCs w:val="28"/>
        </w:rPr>
      </w:pPr>
      <w:r>
        <w:rPr>
          <w:rFonts w:hint="eastAsia" w:eastAsia="仿宋_GB2312"/>
          <w:sz w:val="32"/>
          <w:szCs w:val="32"/>
          <w:lang w:val="en-US" w:eastAsia="zh-CN"/>
        </w:rPr>
        <w:t xml:space="preserve"> </w:t>
      </w: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2020年度收入总计</w:t>
      </w:r>
      <w:r>
        <w:rPr>
          <w:rFonts w:hint="eastAsia" w:ascii="宋体" w:hAnsi="宋体" w:eastAsia="宋体"/>
          <w:sz w:val="32"/>
          <w:szCs w:val="32"/>
          <w:lang w:val="en-US" w:eastAsia="zh-CN"/>
        </w:rPr>
        <w:t>342.33</w:t>
      </w:r>
      <w:r>
        <w:rPr>
          <w:rFonts w:hint="eastAsia" w:ascii="宋体" w:hAnsi="宋体" w:eastAsia="宋体"/>
          <w:sz w:val="32"/>
          <w:szCs w:val="32"/>
        </w:rPr>
        <w:t>万</w:t>
      </w:r>
      <w:r>
        <w:rPr>
          <w:rFonts w:hint="eastAsia" w:ascii="宋体" w:hAnsi="宋体" w:eastAsia="宋体"/>
          <w:sz w:val="32"/>
          <w:szCs w:val="32"/>
          <w:lang w:val="en-US" w:eastAsia="zh-CN"/>
        </w:rPr>
        <w:t>元（含年初结转和结余资金102.81万元），与上年相比，减少138.2万元，减少28.75%，主要是疫情影响；2020年度支出总计342.33万元（含年末结转和结余资金10.85万元），与</w:t>
      </w:r>
      <w:r>
        <w:rPr>
          <w:rFonts w:hint="eastAsia" w:ascii="宋体" w:hAnsi="宋体" w:eastAsia="宋体"/>
          <w:sz w:val="32"/>
          <w:szCs w:val="32"/>
        </w:rPr>
        <w:t>上年相比，</w:t>
      </w:r>
      <w:r>
        <w:rPr>
          <w:rFonts w:hint="eastAsia" w:ascii="宋体" w:hAnsi="宋体" w:eastAsia="宋体"/>
          <w:sz w:val="32"/>
          <w:szCs w:val="32"/>
          <w:lang w:val="en-US" w:eastAsia="zh-CN"/>
        </w:rPr>
        <w:t>减少138.2</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减少28.75</w:t>
      </w:r>
      <w:r>
        <w:rPr>
          <w:rFonts w:hint="eastAsia" w:ascii="宋体" w:hAnsi="宋体" w:eastAsia="宋体"/>
          <w:sz w:val="32"/>
          <w:szCs w:val="32"/>
        </w:rPr>
        <w:t>%，主要是</w:t>
      </w:r>
      <w:r>
        <w:rPr>
          <w:rFonts w:hint="eastAsia" w:ascii="宋体" w:hAnsi="宋体" w:eastAsia="宋体"/>
          <w:sz w:val="32"/>
          <w:szCs w:val="32"/>
          <w:lang w:val="en-US" w:eastAsia="zh-CN"/>
        </w:rPr>
        <w:t>疫情影响所致</w:t>
      </w:r>
      <w:r>
        <w:rPr>
          <w:rFonts w:hint="eastAsia" w:ascii="宋体" w:hAnsi="宋体" w:eastAsia="宋体"/>
          <w:sz w:val="32"/>
          <w:szCs w:val="32"/>
        </w:rPr>
        <w:t>。</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239.52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137.72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57.5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101.8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42.5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331.48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166.14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50.12</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165.35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49.88</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Theme="minorEastAsia" w:hAnsiTheme="minorEastAsia" w:eastAsiaTheme="minorEastAsia"/>
          <w:sz w:val="32"/>
          <w:szCs w:val="32"/>
          <w:lang w:val="en-US" w:eastAsia="zh-CN"/>
        </w:rPr>
        <w:t>137.72</w:t>
      </w:r>
      <w:r>
        <w:rPr>
          <w:rFonts w:hint="eastAsia" w:ascii="宋体" w:hAnsi="宋体" w:eastAsia="宋体"/>
          <w:sz w:val="32"/>
          <w:szCs w:val="32"/>
        </w:rPr>
        <w:t>万元（不含年初财政拨款结转和结余资金），与上年相比，</w:t>
      </w:r>
      <w:r>
        <w:rPr>
          <w:rFonts w:hint="eastAsia" w:ascii="宋体" w:hAnsi="宋体" w:eastAsia="宋体"/>
          <w:sz w:val="32"/>
          <w:szCs w:val="32"/>
          <w:lang w:val="en-US" w:eastAsia="zh-CN"/>
        </w:rPr>
        <w:t>减少40.2</w:t>
      </w:r>
      <w:r>
        <w:rPr>
          <w:rFonts w:hint="eastAsia" w:ascii="宋体" w:hAnsi="宋体" w:eastAsia="宋体"/>
          <w:sz w:val="32"/>
          <w:szCs w:val="32"/>
        </w:rPr>
        <w:t>万元,</w:t>
      </w:r>
      <w:r>
        <w:rPr>
          <w:rFonts w:hint="eastAsia" w:ascii="宋体" w:hAnsi="宋体" w:eastAsia="宋体"/>
          <w:sz w:val="32"/>
          <w:szCs w:val="32"/>
          <w:lang w:val="en-US" w:eastAsia="zh-CN"/>
        </w:rPr>
        <w:t>减少22.6</w:t>
      </w:r>
      <w:r>
        <w:rPr>
          <w:rFonts w:hint="eastAsia" w:ascii="宋体" w:hAnsi="宋体" w:eastAsia="宋体"/>
          <w:sz w:val="32"/>
          <w:szCs w:val="32"/>
        </w:rPr>
        <w:t>%，主要是因为</w:t>
      </w:r>
      <w:r>
        <w:rPr>
          <w:rFonts w:hint="eastAsia" w:ascii="宋体" w:hAnsi="宋体" w:eastAsia="宋体"/>
          <w:sz w:val="32"/>
          <w:szCs w:val="32"/>
          <w:lang w:val="en-US" w:eastAsia="zh-CN"/>
        </w:rPr>
        <w:t>人员调出所致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136.28</w:t>
      </w:r>
      <w:r>
        <w:rPr>
          <w:rFonts w:hint="eastAsia" w:ascii="宋体" w:hAnsi="宋体" w:eastAsia="宋体"/>
          <w:sz w:val="32"/>
          <w:szCs w:val="32"/>
        </w:rPr>
        <w:t>万元（不含年末财政拨款结转和结余资金），与上年相比，</w:t>
      </w:r>
      <w:r>
        <w:rPr>
          <w:rFonts w:hint="eastAsia" w:ascii="宋体" w:hAnsi="宋体" w:eastAsia="宋体"/>
          <w:sz w:val="32"/>
          <w:szCs w:val="32"/>
          <w:lang w:val="en-US" w:eastAsia="zh-CN"/>
        </w:rPr>
        <w:t>减少38.2</w:t>
      </w:r>
      <w:r>
        <w:rPr>
          <w:rFonts w:hint="eastAsia" w:ascii="宋体" w:hAnsi="宋体" w:eastAsia="宋体"/>
          <w:sz w:val="32"/>
          <w:szCs w:val="32"/>
        </w:rPr>
        <w:t>万元,</w:t>
      </w:r>
      <w:r>
        <w:rPr>
          <w:rFonts w:hint="eastAsia" w:ascii="宋体" w:hAnsi="宋体" w:eastAsia="宋体"/>
          <w:sz w:val="32"/>
          <w:szCs w:val="32"/>
          <w:lang w:val="en-US" w:eastAsia="zh-CN"/>
        </w:rPr>
        <w:t>减少21.6</w:t>
      </w:r>
      <w:r>
        <w:rPr>
          <w:rFonts w:hint="eastAsia" w:ascii="宋体" w:hAnsi="宋体" w:eastAsia="宋体"/>
          <w:sz w:val="32"/>
          <w:szCs w:val="32"/>
        </w:rPr>
        <w:t>%，主要是因为</w:t>
      </w:r>
      <w:r>
        <w:rPr>
          <w:rFonts w:hint="eastAsia" w:ascii="宋体" w:hAnsi="宋体" w:eastAsia="宋体"/>
          <w:sz w:val="32"/>
          <w:szCs w:val="32"/>
          <w:lang w:val="en-US" w:eastAsia="zh-CN"/>
        </w:rPr>
        <w:t>人员调出所致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136.28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41.11</w:t>
      </w:r>
      <w:r>
        <w:rPr>
          <w:rFonts w:hint="eastAsia" w:asciiTheme="minorEastAsia" w:hAnsiTheme="minorEastAsia" w:eastAsiaTheme="minorEastAsia"/>
          <w:sz w:val="32"/>
          <w:szCs w:val="32"/>
        </w:rPr>
        <w:t>%，</w:t>
      </w:r>
      <w:r>
        <w:rPr>
          <w:rFonts w:hint="eastAsia" w:ascii="宋体" w:hAnsi="宋体" w:eastAsia="宋体"/>
          <w:sz w:val="32"/>
          <w:szCs w:val="32"/>
        </w:rPr>
        <w:t>与上年相比，</w:t>
      </w:r>
      <w:r>
        <w:rPr>
          <w:rFonts w:hint="eastAsia" w:ascii="宋体" w:hAnsi="宋体" w:eastAsia="宋体"/>
          <w:sz w:val="32"/>
          <w:szCs w:val="32"/>
          <w:lang w:val="en-US" w:eastAsia="zh-CN"/>
        </w:rPr>
        <w:t>减少38.2</w:t>
      </w:r>
      <w:r>
        <w:rPr>
          <w:rFonts w:hint="eastAsia" w:ascii="宋体" w:hAnsi="宋体" w:eastAsia="宋体"/>
          <w:sz w:val="32"/>
          <w:szCs w:val="32"/>
        </w:rPr>
        <w:t>万元,</w:t>
      </w:r>
      <w:r>
        <w:rPr>
          <w:rFonts w:hint="eastAsia" w:ascii="宋体" w:hAnsi="宋体" w:eastAsia="宋体"/>
          <w:sz w:val="32"/>
          <w:szCs w:val="32"/>
          <w:lang w:val="en-US" w:eastAsia="zh-CN"/>
        </w:rPr>
        <w:t>减少21.6</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136.28</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社会保障和就业支出136.28万元，占比100%。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137.72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136.28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98.95</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社会保障和就业支出（类）民政管理事务（款）行政运行（项）年初预算为96.28万元，支出决算81.89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完成年初预算的85.05%。</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优先使用上年度结余资金原因。</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社会保障和就业支出（类）社会福利（款）殡葬（项）年初预算为30万元，支出决算54.39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完成年初预算的181.3%。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Theme="minorEastAsia" w:hAnsiTheme="minorEastAsia" w:eastAsiaTheme="minorEastAsia"/>
          <w:sz w:val="32"/>
          <w:szCs w:val="32"/>
          <w:lang w:val="en-US" w:eastAsia="zh-CN"/>
        </w:rPr>
        <w:t>136.28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87.17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63.96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49.11万元，占比36.04%，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95.63</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95.63</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万元，占XX%,公务用车购置费及运行维护费支出决算</w:t>
      </w:r>
      <w:r>
        <w:rPr>
          <w:rFonts w:hint="eastAsia" w:asciiTheme="minorEastAsia" w:hAnsiTheme="minorEastAsia" w:eastAsiaTheme="minorEastAsia"/>
          <w:sz w:val="32"/>
          <w:szCs w:val="32"/>
          <w:lang w:val="en-US" w:eastAsia="zh-CN"/>
        </w:rPr>
        <w:t>1.53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1.53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1.53</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15.43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1.81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10.36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47.95万元，其中:办公费0万元、印刷费0万元、咨询费0万元、水费0.86万元、电费1.06万元、邮电费0.43万元、取暖费0万元、物业管理费0万元、差旅费0.46万元、因公出国（境）费用0万元、维修（护）费37.02万元、租赁费0.76万元、会议费0万元、</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1.15</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殡葬业务技能</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val="en-US" w:eastAsia="zh-CN"/>
        </w:rPr>
        <w:t>殡葬行业业务培训、公务接待费0万元、被装购置费0万元、劳务费0万元、委托业务费4.68万元、公务用车运行维护费1.53万元、其他交通费用0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3.15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3.15</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3.15</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3.15</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94</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项目支出绩效自评得分</w:t>
      </w:r>
      <w:r>
        <w:rPr>
          <w:rFonts w:hint="eastAsia" w:ascii="宋体" w:hAnsi="宋体" w:eastAsia="宋体"/>
          <w:sz w:val="32"/>
          <w:szCs w:val="32"/>
          <w:lang w:val="en-US" w:eastAsia="zh-CN"/>
        </w:rPr>
        <w:t>90.56</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财政局统一要求随同</w:t>
      </w:r>
      <w:r>
        <w:rPr>
          <w:rFonts w:hint="eastAsia" w:asciiTheme="minorEastAsia" w:hAnsiTheme="minorEastAsia" w:eastAsiaTheme="minorEastAsia"/>
          <w:sz w:val="32"/>
          <w:szCs w:val="32"/>
        </w:rPr>
        <w:t>部门决算作为附件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bookmarkStart w:id="0" w:name="_GoBack"/>
      <w:bookmarkEnd w:id="0"/>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06760"/>
    <w:multiLevelType w:val="singleLevel"/>
    <w:tmpl w:val="0F70676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3594520"/>
    <w:rsid w:val="04425CF9"/>
    <w:rsid w:val="05A8427F"/>
    <w:rsid w:val="06261BF8"/>
    <w:rsid w:val="08434D5B"/>
    <w:rsid w:val="0E0F0E0B"/>
    <w:rsid w:val="16D87E2F"/>
    <w:rsid w:val="17652B7D"/>
    <w:rsid w:val="1C200EAE"/>
    <w:rsid w:val="20E87E26"/>
    <w:rsid w:val="22D16A5E"/>
    <w:rsid w:val="259E2C1C"/>
    <w:rsid w:val="262242A9"/>
    <w:rsid w:val="2C4924E0"/>
    <w:rsid w:val="2DA61AD6"/>
    <w:rsid w:val="2DBA096C"/>
    <w:rsid w:val="2F1108D1"/>
    <w:rsid w:val="2FDC02A8"/>
    <w:rsid w:val="30F0331D"/>
    <w:rsid w:val="314B49A0"/>
    <w:rsid w:val="34785D9A"/>
    <w:rsid w:val="35944047"/>
    <w:rsid w:val="35B33C82"/>
    <w:rsid w:val="35B6266C"/>
    <w:rsid w:val="3AF34484"/>
    <w:rsid w:val="3DDD2818"/>
    <w:rsid w:val="3F4A39FA"/>
    <w:rsid w:val="42B4772B"/>
    <w:rsid w:val="42FB18B9"/>
    <w:rsid w:val="44DC3315"/>
    <w:rsid w:val="4C850C43"/>
    <w:rsid w:val="53FE2CA7"/>
    <w:rsid w:val="572C3772"/>
    <w:rsid w:val="584077D3"/>
    <w:rsid w:val="5CE40B61"/>
    <w:rsid w:val="5EFA0B0F"/>
    <w:rsid w:val="629A14FB"/>
    <w:rsid w:val="636546AB"/>
    <w:rsid w:val="645F74A2"/>
    <w:rsid w:val="65754FEF"/>
    <w:rsid w:val="6817003C"/>
    <w:rsid w:val="6C4B78AA"/>
    <w:rsid w:val="6CC83B51"/>
    <w:rsid w:val="6DFD24DE"/>
    <w:rsid w:val="6FE74857"/>
    <w:rsid w:val="71ED0493"/>
    <w:rsid w:val="734D5C00"/>
    <w:rsid w:val="736C646F"/>
    <w:rsid w:val="75C37EE2"/>
    <w:rsid w:val="7A7B3B55"/>
    <w:rsid w:val="7AE77462"/>
    <w:rsid w:val="7B25768F"/>
    <w:rsid w:val="7B6F4DBA"/>
    <w:rsid w:val="7DF7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3602</Words>
  <Characters>3986</Characters>
  <Lines>62</Lines>
  <Paragraphs>17</Paragraphs>
  <TotalTime>2</TotalTime>
  <ScaleCrop>false</ScaleCrop>
  <LinksUpToDate>false</LinksUpToDate>
  <CharactersWithSpaces>4003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2022-08-29T06:56:22Z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