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val="en-US" w:eastAsia="zh-CN"/>
        </w:rPr>
        <w:t>岳阳县民政局婚姻登记中心</w:t>
      </w:r>
      <w:r>
        <w:rPr>
          <w:rFonts w:hint="eastAsia"/>
          <w:sz w:val="84"/>
          <w:szCs w:val="84"/>
        </w:rPr>
        <w:t>部门（单位）部门决算</w:t>
      </w: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hint="eastAsia" w:ascii="微软雅黑" w:hAnsi="微软雅黑" w:eastAsia="微软雅黑" w:cs="微软雅黑"/>
          <w:i w:val="0"/>
          <w:iCs w:val="0"/>
          <w:caps w:val="0"/>
          <w:color w:val="555555"/>
          <w:spacing w:val="0"/>
          <w:sz w:val="16"/>
          <w:szCs w:val="16"/>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黑体"/>
          <w:b/>
          <w:color w:val="000000"/>
          <w:kern w:val="0"/>
          <w:sz w:val="28"/>
          <w:szCs w:val="28"/>
        </w:rPr>
      </w:pP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72"/>
          <w:szCs w:val="72"/>
        </w:rPr>
      </w:pPr>
      <w:r>
        <w:rPr>
          <w:rFonts w:hint="eastAsia"/>
          <w:sz w:val="84"/>
          <w:szCs w:val="84"/>
        </w:rPr>
        <w:t>第一部分</w:t>
      </w:r>
      <w:r>
        <w:rPr>
          <w:rFonts w:hint="eastAsia"/>
          <w:sz w:val="84"/>
          <w:szCs w:val="84"/>
          <w:lang w:val="en-US" w:eastAsia="zh-CN"/>
        </w:rPr>
        <w:t xml:space="preserve"> </w:t>
      </w:r>
      <w:r>
        <w:rPr>
          <w:rFonts w:hint="eastAsia"/>
          <w:sz w:val="84"/>
          <w:szCs w:val="84"/>
        </w:rPr>
        <w:t>单位概况</w:t>
      </w: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960" w:firstLineChars="300"/>
        <w:jc w:val="left"/>
        <w:rPr>
          <w:rFonts w:hint="eastAsia" w:eastAsia="仿宋_GB2312"/>
          <w:sz w:val="32"/>
          <w:szCs w:val="32"/>
          <w:lang w:val="en-US" w:eastAsia="zh-CN"/>
        </w:rPr>
      </w:pPr>
      <w:r>
        <w:rPr>
          <w:rFonts w:hint="eastAsia" w:eastAsia="仿宋_GB2312"/>
          <w:sz w:val="32"/>
          <w:szCs w:val="32"/>
          <w:lang w:val="en-US" w:eastAsia="zh-CN"/>
        </w:rPr>
        <w:t>1、办理婚姻登记。</w:t>
      </w:r>
    </w:p>
    <w:p>
      <w:pPr>
        <w:widowControl/>
        <w:spacing w:line="600" w:lineRule="exact"/>
        <w:ind w:firstLine="960" w:firstLineChars="300"/>
        <w:jc w:val="left"/>
        <w:rPr>
          <w:rFonts w:hint="eastAsia" w:eastAsia="仿宋_GB2312"/>
          <w:sz w:val="32"/>
          <w:szCs w:val="32"/>
          <w:lang w:val="en-US" w:eastAsia="zh-CN"/>
        </w:rPr>
      </w:pPr>
      <w:r>
        <w:rPr>
          <w:rFonts w:hint="eastAsia" w:eastAsia="仿宋_GB2312"/>
          <w:sz w:val="32"/>
          <w:szCs w:val="32"/>
          <w:lang w:val="en-US" w:eastAsia="zh-CN"/>
        </w:rPr>
        <w:t>2、补发婚姻登记证。</w:t>
      </w:r>
    </w:p>
    <w:p>
      <w:pPr>
        <w:widowControl/>
        <w:spacing w:line="600" w:lineRule="exact"/>
        <w:ind w:firstLine="960" w:firstLineChars="300"/>
        <w:jc w:val="left"/>
        <w:rPr>
          <w:rFonts w:hint="eastAsia" w:eastAsia="仿宋_GB2312"/>
          <w:sz w:val="32"/>
          <w:szCs w:val="32"/>
          <w:lang w:val="en-US" w:eastAsia="zh-CN"/>
        </w:rPr>
      </w:pPr>
      <w:r>
        <w:rPr>
          <w:rFonts w:hint="eastAsia" w:eastAsia="仿宋_GB2312"/>
          <w:sz w:val="32"/>
          <w:szCs w:val="32"/>
          <w:lang w:val="en-US" w:eastAsia="zh-CN"/>
        </w:rPr>
        <w:t>3、撤销受胁迫的婚姻。</w:t>
      </w:r>
    </w:p>
    <w:p>
      <w:pPr>
        <w:widowControl/>
        <w:spacing w:line="600" w:lineRule="exact"/>
        <w:ind w:firstLine="960" w:firstLineChars="300"/>
        <w:jc w:val="left"/>
        <w:rPr>
          <w:rFonts w:hint="eastAsia" w:eastAsia="仿宋_GB2312"/>
          <w:sz w:val="32"/>
          <w:szCs w:val="32"/>
          <w:lang w:val="en-US" w:eastAsia="zh-CN"/>
        </w:rPr>
      </w:pPr>
      <w:r>
        <w:rPr>
          <w:rFonts w:hint="eastAsia" w:eastAsia="仿宋_GB2312"/>
          <w:sz w:val="32"/>
          <w:szCs w:val="32"/>
          <w:lang w:val="en-US" w:eastAsia="zh-CN"/>
        </w:rPr>
        <w:t>4、建立和管理婚姻登记档案。</w:t>
      </w:r>
    </w:p>
    <w:p>
      <w:pPr>
        <w:ind w:firstLine="960" w:firstLineChars="300"/>
        <w:jc w:val="left"/>
        <w:rPr>
          <w:rFonts w:hint="default" w:asciiTheme="minorEastAsia" w:hAnsiTheme="minorEastAsia" w:eastAsiaTheme="minorEastAsia"/>
          <w:sz w:val="32"/>
          <w:szCs w:val="32"/>
          <w:lang w:val="en-US" w:eastAsia="zh-CN"/>
        </w:rPr>
      </w:pPr>
      <w:r>
        <w:rPr>
          <w:rFonts w:hint="eastAsia" w:eastAsia="仿宋_GB2312"/>
          <w:sz w:val="32"/>
          <w:szCs w:val="32"/>
          <w:lang w:val="en-US" w:eastAsia="zh-CN"/>
        </w:rPr>
        <w:t>5、宣传婚姻法律法规，倡导文明婚俗。</w:t>
      </w:r>
    </w:p>
    <w:p>
      <w:pPr>
        <w:jc w:val="left"/>
        <w:rPr>
          <w:rFonts w:ascii="仿宋_GB2312" w:eastAsia="仿宋_GB2312" w:hAnsiTheme="minorEastAsia"/>
          <w:sz w:val="28"/>
          <w:szCs w:val="32"/>
        </w:rPr>
      </w:pPr>
    </w:p>
    <w:p>
      <w:pPr>
        <w:widowControl/>
        <w:numPr>
          <w:ilvl w:val="0"/>
          <w:numId w:val="2"/>
        </w:numPr>
        <w:spacing w:line="600" w:lineRule="exact"/>
        <w:rPr>
          <w:rFonts w:hint="eastAsia" w:ascii="黑体" w:hAnsi="黑体" w:eastAsia="黑体"/>
          <w:bCs/>
          <w:kern w:val="0"/>
          <w:sz w:val="32"/>
          <w:szCs w:val="32"/>
        </w:rPr>
      </w:pPr>
      <w:r>
        <w:rPr>
          <w:rFonts w:hint="eastAsia" w:ascii="黑体" w:hAnsi="黑体" w:eastAsia="黑体"/>
          <w:bCs/>
          <w:kern w:val="0"/>
          <w:sz w:val="32"/>
          <w:szCs w:val="32"/>
        </w:rPr>
        <w:t>机构设置及决算单位构成</w:t>
      </w:r>
    </w:p>
    <w:p>
      <w:pPr>
        <w:widowControl/>
        <w:numPr>
          <w:ilvl w:val="0"/>
          <w:numId w:val="0"/>
        </w:numPr>
        <w:spacing w:line="600" w:lineRule="exact"/>
        <w:rPr>
          <w:rFonts w:hint="eastAsia" w:ascii="黑体" w:hAnsi="黑体" w:eastAsia="黑体"/>
          <w:bCs/>
          <w:kern w:val="0"/>
          <w:sz w:val="32"/>
          <w:szCs w:val="32"/>
        </w:rPr>
      </w:pPr>
    </w:p>
    <w:p>
      <w:pPr>
        <w:jc w:val="left"/>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rPr>
        <w:t>本单位</w:t>
      </w:r>
      <w:r>
        <w:rPr>
          <w:rFonts w:hint="eastAsia" w:eastAsia="仿宋_GB2312"/>
          <w:sz w:val="32"/>
          <w:szCs w:val="32"/>
          <w:lang w:val="en-US" w:eastAsia="zh-CN"/>
        </w:rPr>
        <w:t>系岳阳县民政局属二级机构，</w:t>
      </w:r>
      <w:r>
        <w:rPr>
          <w:rFonts w:hint="eastAsia" w:eastAsia="仿宋_GB2312"/>
          <w:sz w:val="32"/>
          <w:szCs w:val="32"/>
        </w:rPr>
        <w:t>内设 6个股室，分别是：办公室、结婚登记室，离婚登记室，补领结婚登记室，补领离婚登记室，审核证件室。年末实有在职人数</w:t>
      </w:r>
      <w:r>
        <w:rPr>
          <w:rFonts w:hint="eastAsia" w:eastAsia="仿宋_GB2312"/>
          <w:sz w:val="32"/>
          <w:szCs w:val="32"/>
          <w:lang w:val="en-US" w:eastAsia="zh-CN"/>
        </w:rPr>
        <w:t>5</w:t>
      </w:r>
      <w:bookmarkStart w:id="0" w:name="_GoBack"/>
      <w:bookmarkEnd w:id="0"/>
      <w:r>
        <w:rPr>
          <w:rFonts w:hint="eastAsia" w:eastAsia="仿宋_GB2312"/>
          <w:sz w:val="32"/>
          <w:szCs w:val="32"/>
        </w:rPr>
        <w:t>人</w:t>
      </w:r>
      <w:r>
        <w:rPr>
          <w:rFonts w:hint="eastAsia" w:eastAsia="仿宋_GB2312"/>
          <w:sz w:val="32"/>
          <w:szCs w:val="32"/>
          <w:lang w:eastAsia="zh-CN"/>
        </w:rPr>
        <w:t>。</w:t>
      </w:r>
    </w:p>
    <w:p>
      <w:pPr>
        <w:jc w:val="center"/>
        <w:rPr>
          <w:rFonts w:ascii="黑体" w:hAnsi="黑体" w:eastAsia="黑体"/>
          <w:sz w:val="28"/>
          <w:szCs w:val="28"/>
        </w:rPr>
      </w:pPr>
      <w:r>
        <w:rPr>
          <w:rFonts w:hint="eastAsia" w:eastAsia="仿宋_GB2312"/>
          <w:sz w:val="32"/>
          <w:szCs w:val="32"/>
          <w:lang w:val="en-US" w:eastAsia="zh-CN"/>
        </w:rPr>
        <w:t xml:space="preserve"> </w:t>
      </w: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tbl>
      <w:tblPr>
        <w:tblStyle w:val="6"/>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60" w:hRule="atLeast"/>
        </w:trPr>
        <w:tc>
          <w:tcPr>
            <w:tcW w:w="14081" w:type="dxa"/>
            <w:tcBorders>
              <w:top w:val="nil"/>
              <w:left w:val="nil"/>
              <w:bottom w:val="nil"/>
              <w:right w:val="nil"/>
            </w:tcBorders>
            <w:shd w:val="clear" w:color="auto" w:fill="auto"/>
            <w:noWrap/>
            <w:vAlign w:val="center"/>
          </w:tcPr>
          <w:p>
            <w:pPr>
              <w:ind w:firstLine="1440" w:firstLineChars="200"/>
              <w:jc w:val="both"/>
              <w:rPr>
                <w:rFonts w:ascii="华文中宋" w:hAnsi="华文中宋" w:eastAsia="华文中宋" w:cs="宋体"/>
                <w:color w:val="000000"/>
                <w:kern w:val="0"/>
                <w:sz w:val="32"/>
                <w:szCs w:val="32"/>
              </w:rPr>
            </w:pPr>
            <w:r>
              <w:rPr>
                <w:rFonts w:hint="eastAsia"/>
                <w:sz w:val="72"/>
                <w:szCs w:val="72"/>
              </w:rPr>
              <w:t>部门决算表</w:t>
            </w:r>
            <w:r>
              <w:rPr>
                <w:rFonts w:hint="eastAsia"/>
                <w:sz w:val="72"/>
                <w:szCs w:val="72"/>
                <w:lang w:eastAsia="zh-CN"/>
              </w:rPr>
              <w:t>（</w:t>
            </w:r>
            <w:r>
              <w:rPr>
                <w:rFonts w:hint="eastAsia"/>
                <w:sz w:val="72"/>
                <w:szCs w:val="72"/>
                <w:lang w:val="en-US" w:eastAsia="zh-CN"/>
              </w:rPr>
              <w:t>见附表</w:t>
            </w:r>
            <w:r>
              <w:rPr>
                <w:rFonts w:hint="eastAsia"/>
                <w:sz w:val="72"/>
                <w:szCs w:val="72"/>
                <w:lang w:eastAsia="zh-CN"/>
              </w:rPr>
              <w:t>）</w:t>
            </w:r>
          </w:p>
        </w:tc>
      </w:tr>
    </w:tbl>
    <w:p>
      <w:pPr>
        <w:pStyle w:val="10"/>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eastAsia="宋体"/>
          <w:sz w:val="32"/>
          <w:szCs w:val="32"/>
          <w:lang w:val="en-US" w:eastAsia="zh-CN"/>
        </w:rPr>
      </w:pPr>
      <w:r>
        <w:rPr>
          <w:rFonts w:hint="eastAsia" w:ascii="宋体" w:hAnsi="宋体" w:eastAsia="宋体"/>
          <w:sz w:val="32"/>
          <w:szCs w:val="32"/>
        </w:rPr>
        <w:t>2020年度收入总计</w:t>
      </w:r>
      <w:r>
        <w:rPr>
          <w:rFonts w:hint="eastAsia" w:ascii="宋体" w:hAnsi="宋体" w:eastAsia="宋体"/>
          <w:sz w:val="32"/>
          <w:szCs w:val="32"/>
          <w:lang w:val="en-US" w:eastAsia="zh-CN"/>
        </w:rPr>
        <w:t>121.13</w:t>
      </w:r>
      <w:r>
        <w:rPr>
          <w:rFonts w:hint="eastAsia" w:ascii="宋体" w:hAnsi="宋体" w:eastAsia="宋体"/>
          <w:sz w:val="32"/>
          <w:szCs w:val="32"/>
        </w:rPr>
        <w:t>万元（含年初结转和结余资金</w:t>
      </w:r>
      <w:r>
        <w:rPr>
          <w:rFonts w:hint="eastAsia" w:ascii="宋体" w:hAnsi="宋体" w:eastAsia="宋体"/>
          <w:sz w:val="32"/>
          <w:szCs w:val="32"/>
          <w:lang w:val="en-US" w:eastAsia="zh-CN"/>
        </w:rPr>
        <w:t>36.84</w:t>
      </w:r>
      <w:r>
        <w:rPr>
          <w:rFonts w:hint="eastAsia" w:ascii="宋体" w:hAnsi="宋体" w:eastAsia="宋体"/>
          <w:sz w:val="32"/>
          <w:szCs w:val="32"/>
        </w:rPr>
        <w:t>万元），与上年相比，增长</w:t>
      </w:r>
      <w:r>
        <w:rPr>
          <w:rFonts w:hint="eastAsia" w:ascii="宋体" w:hAnsi="宋体" w:eastAsia="宋体"/>
          <w:sz w:val="32"/>
          <w:szCs w:val="32"/>
          <w:lang w:val="en-US" w:eastAsia="zh-CN"/>
        </w:rPr>
        <w:t>1.86</w:t>
      </w:r>
      <w:r>
        <w:rPr>
          <w:rFonts w:hint="eastAsia" w:ascii="宋体" w:hAnsi="宋体" w:eastAsia="宋体"/>
          <w:sz w:val="32"/>
          <w:szCs w:val="32"/>
        </w:rPr>
        <w:t>万元，增长</w:t>
      </w:r>
      <w:r>
        <w:rPr>
          <w:rFonts w:hint="eastAsia" w:ascii="宋体" w:hAnsi="宋体" w:eastAsia="宋体"/>
          <w:sz w:val="32"/>
          <w:szCs w:val="32"/>
          <w:lang w:val="en-US" w:eastAsia="zh-CN"/>
        </w:rPr>
        <w:t>1.64</w:t>
      </w:r>
      <w:r>
        <w:rPr>
          <w:rFonts w:hint="eastAsia" w:ascii="宋体" w:hAnsi="宋体" w:eastAsia="宋体"/>
          <w:sz w:val="32"/>
          <w:szCs w:val="32"/>
        </w:rPr>
        <w:t>%，主要是因为</w:t>
      </w:r>
      <w:r>
        <w:rPr>
          <w:rFonts w:hint="eastAsia" w:ascii="宋体" w:hAnsi="宋体" w:eastAsia="宋体"/>
          <w:sz w:val="32"/>
          <w:szCs w:val="32"/>
          <w:lang w:val="en-US" w:eastAsia="zh-CN"/>
        </w:rPr>
        <w:t>工资正常调资所致。</w:t>
      </w:r>
    </w:p>
    <w:p>
      <w:pPr>
        <w:pStyle w:val="10"/>
        <w:ind w:firstLine="640" w:firstLineChars="200"/>
        <w:rPr>
          <w:rFonts w:hint="eastAsia" w:ascii="宋体" w:hAnsi="宋体" w:eastAsia="宋体"/>
          <w:sz w:val="32"/>
          <w:szCs w:val="32"/>
        </w:rPr>
      </w:pPr>
      <w:r>
        <w:rPr>
          <w:rFonts w:hint="eastAsia" w:ascii="宋体" w:hAnsi="宋体" w:eastAsia="宋体"/>
          <w:sz w:val="32"/>
          <w:szCs w:val="32"/>
        </w:rPr>
        <w:t>2020年度支出总计</w:t>
      </w:r>
      <w:r>
        <w:rPr>
          <w:rFonts w:hint="eastAsia" w:ascii="宋体" w:hAnsi="宋体" w:eastAsia="宋体"/>
          <w:sz w:val="32"/>
          <w:szCs w:val="32"/>
          <w:lang w:val="en-US" w:eastAsia="zh-CN"/>
        </w:rPr>
        <w:t>121.13</w:t>
      </w:r>
      <w:r>
        <w:rPr>
          <w:rFonts w:hint="eastAsia" w:ascii="宋体" w:hAnsi="宋体" w:eastAsia="宋体"/>
          <w:sz w:val="32"/>
          <w:szCs w:val="32"/>
        </w:rPr>
        <w:t>万元（含年末结转和结余资金</w:t>
      </w:r>
      <w:r>
        <w:rPr>
          <w:rFonts w:hint="eastAsia" w:ascii="宋体" w:hAnsi="宋体" w:eastAsia="宋体"/>
          <w:sz w:val="32"/>
          <w:szCs w:val="32"/>
          <w:lang w:val="en-US" w:eastAsia="zh-CN"/>
        </w:rPr>
        <w:t>47.09</w:t>
      </w:r>
      <w:r>
        <w:rPr>
          <w:rFonts w:hint="eastAsia" w:ascii="宋体" w:hAnsi="宋体" w:eastAsia="宋体"/>
          <w:sz w:val="32"/>
          <w:szCs w:val="32"/>
        </w:rPr>
        <w:t>万元），与上年相比，增长</w:t>
      </w:r>
      <w:r>
        <w:rPr>
          <w:rFonts w:hint="eastAsia" w:ascii="宋体" w:hAnsi="宋体" w:eastAsia="宋体"/>
          <w:sz w:val="32"/>
          <w:szCs w:val="32"/>
          <w:lang w:val="en-US" w:eastAsia="zh-CN"/>
        </w:rPr>
        <w:t>1.86</w:t>
      </w:r>
      <w:r>
        <w:rPr>
          <w:rFonts w:hint="eastAsia" w:ascii="宋体" w:hAnsi="宋体" w:eastAsia="宋体"/>
          <w:sz w:val="32"/>
          <w:szCs w:val="32"/>
        </w:rPr>
        <w:t>万元，增长</w:t>
      </w:r>
      <w:r>
        <w:rPr>
          <w:rFonts w:hint="eastAsia" w:ascii="宋体" w:hAnsi="宋体" w:eastAsia="宋体"/>
          <w:sz w:val="32"/>
          <w:szCs w:val="32"/>
          <w:lang w:val="en-US" w:eastAsia="zh-CN"/>
        </w:rPr>
        <w:t>1.64</w:t>
      </w:r>
      <w:r>
        <w:rPr>
          <w:rFonts w:hint="eastAsia" w:ascii="宋体" w:hAnsi="宋体" w:eastAsia="宋体"/>
          <w:sz w:val="32"/>
          <w:szCs w:val="32"/>
        </w:rPr>
        <w:t>%，主要是因为</w:t>
      </w:r>
      <w:r>
        <w:rPr>
          <w:rFonts w:hint="eastAsia" w:ascii="宋体" w:hAnsi="宋体" w:eastAsia="宋体"/>
          <w:sz w:val="32"/>
          <w:szCs w:val="32"/>
          <w:lang w:val="en-US" w:eastAsia="zh-CN"/>
        </w:rPr>
        <w:t>工资正常调资所致。</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84.28</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38.76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45.99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45.52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54.01</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74.03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54.41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73.5</w:t>
      </w:r>
      <w:r>
        <w:rPr>
          <w:rFonts w:hint="eastAsia" w:asciiTheme="minorEastAsia" w:hAnsiTheme="minorEastAsia" w:eastAsiaTheme="minorEastAsia"/>
          <w:sz w:val="32"/>
          <w:szCs w:val="32"/>
        </w:rPr>
        <w:t>%；项目支</w:t>
      </w:r>
      <w:r>
        <w:rPr>
          <w:rFonts w:hint="eastAsia" w:asciiTheme="minorEastAsia" w:hAnsiTheme="minorEastAsia" w:eastAsiaTheme="minorEastAsia"/>
          <w:sz w:val="32"/>
          <w:szCs w:val="32"/>
          <w:lang w:val="en-US" w:eastAsia="zh-CN"/>
        </w:rPr>
        <w:t>19.2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26.5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Theme="minorEastAsia" w:hAnsiTheme="minorEastAsia" w:eastAsiaTheme="minorEastAsia"/>
          <w:sz w:val="32"/>
          <w:szCs w:val="32"/>
          <w:lang w:val="en-US" w:eastAsia="zh-CN"/>
        </w:rPr>
        <w:t>38.76</w:t>
      </w:r>
      <w:r>
        <w:rPr>
          <w:rFonts w:hint="eastAsia" w:ascii="宋体" w:hAnsi="宋体" w:eastAsia="宋体"/>
          <w:sz w:val="32"/>
          <w:szCs w:val="32"/>
        </w:rPr>
        <w:t>万元（不含年初财政拨款结转和结余资金），与上年相比，增加</w:t>
      </w:r>
      <w:r>
        <w:rPr>
          <w:rFonts w:hint="eastAsia" w:ascii="宋体" w:hAnsi="宋体" w:eastAsia="宋体"/>
          <w:sz w:val="32"/>
          <w:szCs w:val="32"/>
          <w:lang w:val="en-US" w:eastAsia="zh-CN"/>
        </w:rPr>
        <w:t>1.2</w:t>
      </w:r>
      <w:r>
        <w:rPr>
          <w:rFonts w:hint="eastAsia" w:ascii="宋体" w:hAnsi="宋体" w:eastAsia="宋体"/>
          <w:sz w:val="32"/>
          <w:szCs w:val="32"/>
        </w:rPr>
        <w:t>万元,增长</w:t>
      </w:r>
      <w:r>
        <w:rPr>
          <w:rFonts w:hint="eastAsia" w:ascii="宋体" w:hAnsi="宋体" w:eastAsia="宋体"/>
          <w:sz w:val="32"/>
          <w:szCs w:val="32"/>
          <w:lang w:val="en-US" w:eastAsia="zh-CN"/>
        </w:rPr>
        <w:t>1.16</w:t>
      </w:r>
      <w:r>
        <w:rPr>
          <w:rFonts w:hint="eastAsia" w:ascii="宋体" w:hAnsi="宋体" w:eastAsia="宋体"/>
          <w:sz w:val="32"/>
          <w:szCs w:val="32"/>
        </w:rPr>
        <w:t>%，主要是因为</w:t>
      </w:r>
      <w:r>
        <w:rPr>
          <w:rFonts w:hint="eastAsia" w:ascii="宋体" w:hAnsi="宋体" w:eastAsia="宋体"/>
          <w:sz w:val="32"/>
          <w:szCs w:val="32"/>
          <w:lang w:val="en-US" w:eastAsia="zh-CN"/>
        </w:rPr>
        <w:t>人员工资正常调增所致</w:t>
      </w:r>
      <w:r>
        <w:rPr>
          <w:rFonts w:hint="eastAsia" w:ascii="宋体" w:hAnsi="宋体" w:eastAsia="宋体"/>
          <w:sz w:val="32"/>
          <w:szCs w:val="32"/>
        </w:rPr>
        <w:t>。</w:t>
      </w:r>
    </w:p>
    <w:p>
      <w:pPr>
        <w:pStyle w:val="10"/>
        <w:ind w:firstLine="640"/>
        <w:rPr>
          <w:rFonts w:hint="eastAsia" w:ascii="宋体" w:hAnsi="宋体" w:eastAsia="宋体"/>
          <w:b/>
          <w:bCs/>
          <w:color w:val="FF0000"/>
          <w:sz w:val="28"/>
          <w:szCs w:val="28"/>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44.92</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3.29</w:t>
      </w:r>
      <w:r>
        <w:rPr>
          <w:rFonts w:hint="eastAsia" w:ascii="宋体" w:hAnsi="宋体" w:eastAsia="宋体"/>
          <w:sz w:val="32"/>
          <w:szCs w:val="32"/>
        </w:rPr>
        <w:t>万元,增长</w:t>
      </w:r>
      <w:r>
        <w:rPr>
          <w:rFonts w:hint="eastAsia" w:ascii="宋体" w:hAnsi="宋体" w:eastAsia="宋体"/>
          <w:sz w:val="32"/>
          <w:szCs w:val="32"/>
          <w:lang w:val="en-US" w:eastAsia="zh-CN"/>
        </w:rPr>
        <w:t>3.49</w:t>
      </w:r>
      <w:r>
        <w:rPr>
          <w:rFonts w:hint="eastAsia" w:ascii="宋体" w:hAnsi="宋体" w:eastAsia="宋体"/>
          <w:sz w:val="32"/>
          <w:szCs w:val="32"/>
        </w:rPr>
        <w:t>%，主要是因为</w:t>
      </w:r>
      <w:r>
        <w:rPr>
          <w:rFonts w:hint="eastAsia" w:ascii="宋体" w:hAnsi="宋体" w:eastAsia="宋体"/>
          <w:sz w:val="32"/>
          <w:szCs w:val="32"/>
          <w:lang w:val="en-US" w:eastAsia="zh-CN"/>
        </w:rPr>
        <w:t>人员工资正常调增所致</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rPr>
          <w:rFonts w:hint="eastAsia" w:ascii="宋体" w:hAnsi="宋体" w:eastAsia="宋体"/>
          <w:b/>
          <w:bCs/>
          <w:color w:val="FF0000"/>
          <w:sz w:val="28"/>
          <w:szCs w:val="28"/>
        </w:rPr>
      </w:pPr>
      <w:r>
        <w:rPr>
          <w:rFonts w:hint="eastAsia" w:asciiTheme="minorEastAsia" w:hAnsiTheme="minorEastAsia" w:eastAsiaTheme="minorEastAsia"/>
          <w:sz w:val="32"/>
          <w:szCs w:val="32"/>
        </w:rPr>
        <w:t>2020年度财政拨款支出</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60.68</w:t>
      </w:r>
      <w:r>
        <w:rPr>
          <w:rFonts w:hint="eastAsia" w:asciiTheme="minorEastAsia" w:hAnsiTheme="minorEastAsia" w:eastAsiaTheme="minorEastAsia"/>
          <w:sz w:val="32"/>
          <w:szCs w:val="32"/>
        </w:rPr>
        <w:t>%，与上年相比，财政拨款支出增加</w:t>
      </w:r>
      <w:r>
        <w:rPr>
          <w:rFonts w:hint="eastAsia" w:ascii="宋体" w:hAnsi="宋体" w:eastAsia="宋体"/>
          <w:sz w:val="32"/>
          <w:szCs w:val="32"/>
        </w:rPr>
        <w:t>增加</w:t>
      </w:r>
      <w:r>
        <w:rPr>
          <w:rFonts w:hint="eastAsia" w:ascii="宋体" w:hAnsi="宋体" w:eastAsia="宋体"/>
          <w:sz w:val="32"/>
          <w:szCs w:val="32"/>
          <w:lang w:val="en-US" w:eastAsia="zh-CN"/>
        </w:rPr>
        <w:t>3.29</w:t>
      </w:r>
      <w:r>
        <w:rPr>
          <w:rFonts w:hint="eastAsia" w:ascii="宋体" w:hAnsi="宋体" w:eastAsia="宋体"/>
          <w:sz w:val="32"/>
          <w:szCs w:val="32"/>
        </w:rPr>
        <w:t>万元,增长</w:t>
      </w:r>
      <w:r>
        <w:rPr>
          <w:rFonts w:hint="eastAsia" w:ascii="宋体" w:hAnsi="宋体" w:eastAsia="宋体"/>
          <w:sz w:val="32"/>
          <w:szCs w:val="32"/>
          <w:lang w:val="en-US" w:eastAsia="zh-CN"/>
        </w:rPr>
        <w:t>3.49</w:t>
      </w:r>
      <w:r>
        <w:rPr>
          <w:rFonts w:hint="eastAsia" w:ascii="宋体" w:hAnsi="宋体" w:eastAsia="宋体"/>
          <w:sz w:val="32"/>
          <w:szCs w:val="32"/>
        </w:rPr>
        <w:t>%，主要是因为</w:t>
      </w:r>
      <w:r>
        <w:rPr>
          <w:rFonts w:hint="eastAsia" w:ascii="宋体" w:hAnsi="宋体" w:eastAsia="宋体"/>
          <w:sz w:val="32"/>
          <w:szCs w:val="32"/>
          <w:lang w:val="en-US" w:eastAsia="zh-CN"/>
        </w:rPr>
        <w:t>人员工资正常调增所致</w:t>
      </w:r>
      <w:r>
        <w:rPr>
          <w:rFonts w:hint="eastAsia" w:ascii="宋体" w:hAnsi="宋体" w:eastAsia="宋体"/>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社会保障和就业支出</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lang w:val="en-US" w:eastAsia="zh-CN"/>
        </w:rPr>
        <w:t>万元，占比100%。</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38.76</w:t>
      </w:r>
      <w:r>
        <w:rPr>
          <w:rFonts w:hint="eastAsia" w:asciiTheme="minorEastAsia" w:hAnsiTheme="minorEastAsia" w:eastAsiaTheme="minorEastAsia"/>
          <w:sz w:val="32"/>
          <w:szCs w:val="32"/>
        </w:rPr>
        <w:t>万元，支出决算数为</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115.89</w:t>
      </w:r>
      <w:r>
        <w:rPr>
          <w:rFonts w:hint="eastAsia" w:asciiTheme="minorEastAsia" w:hAnsiTheme="minorEastAsia" w:eastAsiaTheme="minorEastAsia"/>
          <w:sz w:val="32"/>
          <w:szCs w:val="32"/>
        </w:rPr>
        <w:t>%，其中：</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社会保障和就业支出（类）民政管理事务（款）行政运行（项）年初预算为28.76万元，支出决算30.07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完成年初预算的104.55%。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上年度部份支出在本年度结算。</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社会保障和就业支出（类）社会福利（款）社会福利事业单位（项）年初预算为10万元，支出决算14.85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完成年初预算的148.5%。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val="en-US" w:eastAsia="zh-CN"/>
        </w:rPr>
        <w:t>当年度项目支出增加及结算时间差异原因。</w:t>
      </w:r>
    </w:p>
    <w:p>
      <w:pPr>
        <w:pStyle w:val="10"/>
        <w:ind w:firstLine="800" w:firstLineChars="250"/>
        <w:rPr>
          <w:rFonts w:hint="eastAsia"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w:t>
      </w:r>
      <w:r>
        <w:rPr>
          <w:rFonts w:hint="eastAsia" w:ascii="宋体" w:hAnsi="宋体" w:eastAsia="宋体"/>
          <w:sz w:val="32"/>
          <w:szCs w:val="32"/>
          <w:lang w:val="en-US" w:eastAsia="zh-CN"/>
        </w:rPr>
        <w:t>44.92</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17.24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38.38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日常公用经费25.52万元，占比56.71%，主要包括：办公费、印刷费、水费、电费、咨询费、邮电费、物业管理费、差旅费、维修（护）费、租赁费、培训费、劳务费、工会经费、其他交通费用、其他商品和服务支出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万元，占XX%。其中：</w:t>
      </w:r>
    </w:p>
    <w:p>
      <w:pPr>
        <w:pStyle w:val="10"/>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本单位无政府性基金收支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12.83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w:t>
      </w:r>
      <w:r>
        <w:rPr>
          <w:rFonts w:hint="eastAsia" w:asciiTheme="minorEastAsia" w:hAnsiTheme="minorEastAsia" w:eastAsiaTheme="minorEastAsia"/>
          <w:sz w:val="32"/>
          <w:szCs w:val="32"/>
          <w:lang w:eastAsia="zh-CN"/>
        </w:rPr>
        <w:t>上</w:t>
      </w:r>
      <w:r>
        <w:rPr>
          <w:rFonts w:hint="eastAsia" w:asciiTheme="minorEastAsia" w:hAnsiTheme="minorEastAsia" w:eastAsiaTheme="minorEastAsia"/>
          <w:sz w:val="32"/>
          <w:szCs w:val="32"/>
        </w:rPr>
        <w:t>年减少</w:t>
      </w:r>
      <w:r>
        <w:rPr>
          <w:rFonts w:hint="eastAsia" w:asciiTheme="minorEastAsia" w:hAnsiTheme="minorEastAsia" w:eastAsiaTheme="minorEastAsia"/>
          <w:sz w:val="32"/>
          <w:szCs w:val="32"/>
          <w:lang w:val="en-US" w:eastAsia="zh-CN"/>
        </w:rPr>
        <w:t>1.81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10.86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本年度一般性支出决算共计20.42万元，其中:办公费4.89万元、印刷费3万元、手续费0.02万元、咨询费0万元、水费0万元、电费0万元、邮电费0.75万元、取暖费0万元、物业管理费0万元、差旅费0.01万元、因公出国（境）费用0万元、维修（护）费0万元、租赁费0万元、会议费0万元、培训费0.13万元、公务接待费0万元、被装购置费0万元、劳务费11.62万元、委托业务费0万元、公务用车运行维护费0万元、其他交通费用0万元、房屋建筑物构建0万元、办公设备购置0万元、公务用车购置0万元及其他交通工具购置0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7.22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7.22</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7.22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7.22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为进一步规范财政资金管理，强化绩效和责任意识，切实提高财政资金使用效益，我单位对2020年度部门整体支出、单位项目支出、重点（专项）项目支出进行了绩效自评。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94</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项目支出绩效自评得分</w:t>
      </w:r>
      <w:r>
        <w:rPr>
          <w:rFonts w:hint="eastAsia" w:ascii="宋体" w:hAnsi="宋体" w:eastAsia="宋体"/>
          <w:sz w:val="32"/>
          <w:szCs w:val="32"/>
          <w:lang w:val="en-US" w:eastAsia="zh-CN"/>
        </w:rPr>
        <w:t>99.5</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lang w:val="en-US" w:eastAsia="zh-Hans"/>
        </w:rPr>
        <w:t>县</w:t>
      </w:r>
      <w:r>
        <w:rPr>
          <w:rFonts w:hint="eastAsia" w:ascii="宋体" w:hAnsi="宋体" w:eastAsia="宋体"/>
          <w:sz w:val="32"/>
          <w:szCs w:val="32"/>
        </w:rPr>
        <w:t>财政局统一要求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jc w:val="center"/>
        <w:rPr>
          <w:rFonts w:hint="eastAsia"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微软雅黑" w:hAnsi="微软雅黑" w:eastAsia="微软雅黑" w:cs="微软雅黑"/>
          <w:i w:val="0"/>
          <w:iCs w:val="0"/>
          <w:caps w:val="0"/>
          <w:color w:val="555555"/>
          <w:spacing w:val="0"/>
          <w:sz w:val="16"/>
          <w:szCs w:val="16"/>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jc w:val="center"/>
        <w:rPr>
          <w:rFonts w:hint="eastAsia" w:ascii="宋体" w:hAnsi="宋体" w:eastAsia="宋体" w:cs="黑体"/>
          <w:color w:val="000000"/>
          <w:kern w:val="0"/>
          <w:sz w:val="32"/>
          <w:szCs w:val="32"/>
          <w:lang w:val="en-US" w:eastAsia="zh-CN" w:bidi="ar-SA"/>
        </w:rPr>
      </w:pPr>
    </w:p>
    <w:p>
      <w:pPr>
        <w:widowControl/>
        <w:jc w:val="left"/>
        <w:rPr>
          <w:sz w:val="72"/>
          <w:szCs w:val="72"/>
        </w:rPr>
      </w:pPr>
      <w:r>
        <w:rPr>
          <w:rFonts w:hint="eastAsia" w:ascii="宋体" w:hAnsi="宋体" w:eastAsia="宋体" w:cs="黑体"/>
          <w:color w:val="000000"/>
          <w:kern w:val="0"/>
          <w:sz w:val="32"/>
          <w:szCs w:val="32"/>
          <w:lang w:val="en-US" w:eastAsia="zh-CN" w:bidi="ar-SA"/>
        </w:rPr>
        <w:br w:type="page"/>
      </w: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06760"/>
    <w:multiLevelType w:val="singleLevel"/>
    <w:tmpl w:val="0F706760"/>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TQ0ZWUxZjI3OWE1NjExNGE2Y2ZjYjNiMWNmMzk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42F28"/>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8750CA"/>
    <w:rsid w:val="04425CF9"/>
    <w:rsid w:val="08434D5B"/>
    <w:rsid w:val="12CB101B"/>
    <w:rsid w:val="15531988"/>
    <w:rsid w:val="17652B7D"/>
    <w:rsid w:val="1BD70FAF"/>
    <w:rsid w:val="1C200EAE"/>
    <w:rsid w:val="20E87E26"/>
    <w:rsid w:val="22D16A5E"/>
    <w:rsid w:val="259E2C1C"/>
    <w:rsid w:val="262242A9"/>
    <w:rsid w:val="2C4924E0"/>
    <w:rsid w:val="2F1108D1"/>
    <w:rsid w:val="31463A49"/>
    <w:rsid w:val="314B49A0"/>
    <w:rsid w:val="34785D9A"/>
    <w:rsid w:val="35B33C82"/>
    <w:rsid w:val="3DDD2818"/>
    <w:rsid w:val="42A17EC4"/>
    <w:rsid w:val="42B4772B"/>
    <w:rsid w:val="42FB18B9"/>
    <w:rsid w:val="44DC3315"/>
    <w:rsid w:val="477913F2"/>
    <w:rsid w:val="4C850C43"/>
    <w:rsid w:val="53FE2CA7"/>
    <w:rsid w:val="5621502B"/>
    <w:rsid w:val="572C3772"/>
    <w:rsid w:val="5C063AAF"/>
    <w:rsid w:val="5CE40B61"/>
    <w:rsid w:val="623C72C6"/>
    <w:rsid w:val="629B46A2"/>
    <w:rsid w:val="636546AB"/>
    <w:rsid w:val="645F74A2"/>
    <w:rsid w:val="65754FEF"/>
    <w:rsid w:val="6784604A"/>
    <w:rsid w:val="68BC5559"/>
    <w:rsid w:val="6CC83B51"/>
    <w:rsid w:val="6FE74857"/>
    <w:rsid w:val="71ED0493"/>
    <w:rsid w:val="7276178E"/>
    <w:rsid w:val="736C646F"/>
    <w:rsid w:val="75C37EE2"/>
    <w:rsid w:val="788A44A5"/>
    <w:rsid w:val="7A7B3B55"/>
    <w:rsid w:val="7B257746"/>
    <w:rsid w:val="7B6F4DBA"/>
    <w:rsid w:val="7DF7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3393</Words>
  <Characters>3724</Characters>
  <Lines>62</Lines>
  <Paragraphs>17</Paragraphs>
  <TotalTime>1</TotalTime>
  <ScaleCrop>false</ScaleCrop>
  <LinksUpToDate>false</LinksUpToDate>
  <CharactersWithSpaces>3740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2022-08-29T08:34:50Z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D26E3E3E87A4413FB221DA1AE63B23E1</vt:lpwstr>
  </property>
</Properties>
</file>