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val="en-US" w:eastAsia="zh-CN"/>
        </w:rPr>
        <w:t>岳阳县社会救助服务中心</w:t>
      </w:r>
      <w:r>
        <w:rPr>
          <w:rFonts w:hint="eastAsia"/>
          <w:sz w:val="84"/>
          <w:szCs w:val="84"/>
        </w:rPr>
        <w:t>部门（单位）部门决算</w:t>
      </w: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第一部分XX单位概况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hint="eastAsia" w:ascii="微软雅黑" w:hAnsi="微软雅黑" w:eastAsia="微软雅黑" w:cs="微软雅黑"/>
          <w:i w:val="0"/>
          <w:iCs w:val="0"/>
          <w:caps w:val="0"/>
          <w:color w:val="555555"/>
          <w:spacing w:val="0"/>
          <w:sz w:val="16"/>
          <w:szCs w:val="16"/>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黑体"/>
          <w:b/>
          <w:color w:val="000000"/>
          <w:kern w:val="0"/>
          <w:sz w:val="28"/>
          <w:szCs w:val="28"/>
        </w:rPr>
      </w:pP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p>
    <w:p>
      <w:pPr>
        <w:pStyle w:val="10"/>
        <w:jc w:val="center"/>
        <w:rPr>
          <w:sz w:val="72"/>
          <w:szCs w:val="72"/>
        </w:rPr>
      </w:pPr>
      <w:r>
        <w:rPr>
          <w:rFonts w:hint="eastAsia"/>
          <w:sz w:val="84"/>
          <w:szCs w:val="84"/>
        </w:rPr>
        <w:t>单位概况</w:t>
      </w:r>
    </w:p>
    <w:p>
      <w:pPr>
        <w:pStyle w:val="11"/>
        <w:ind w:left="720" w:firstLine="0" w:firstLineChars="0"/>
        <w:jc w:val="left"/>
        <w:rPr>
          <w:rFonts w:ascii="黑体" w:hAnsi="黑体" w:eastAsia="黑体"/>
          <w:sz w:val="32"/>
          <w:szCs w:val="32"/>
        </w:rPr>
      </w:pPr>
    </w:p>
    <w:p>
      <w:pPr>
        <w:widowControl/>
        <w:spacing w:line="600" w:lineRule="exact"/>
        <w:ind w:firstLine="627" w:firstLineChars="196"/>
        <w:jc w:val="left"/>
        <w:rPr>
          <w:rFonts w:eastAsia="楷体_GB2312"/>
          <w:b/>
          <w:sz w:val="32"/>
          <w:szCs w:val="32"/>
        </w:rPr>
      </w:pPr>
      <w:r>
        <w:rPr>
          <w:rFonts w:eastAsia="楷体_GB2312"/>
          <w:b/>
          <w:sz w:val="32"/>
          <w:szCs w:val="32"/>
        </w:rPr>
        <w:t>（一）职能职责。</w:t>
      </w:r>
    </w:p>
    <w:p>
      <w:pPr>
        <w:widowControl/>
        <w:spacing w:line="600" w:lineRule="exact"/>
        <w:ind w:firstLine="947" w:firstLineChars="296"/>
        <w:jc w:val="left"/>
        <w:rPr>
          <w:rFonts w:hint="eastAsia"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1、负责贯彻执行有关最低生活保障的政策法规。</w:t>
      </w:r>
    </w:p>
    <w:p>
      <w:pPr>
        <w:widowControl/>
        <w:spacing w:line="600" w:lineRule="exact"/>
        <w:ind w:firstLine="1267" w:firstLineChars="396"/>
        <w:jc w:val="left"/>
        <w:rPr>
          <w:rFonts w:hint="eastAsia" w:eastAsia="仿宋_GB2312"/>
          <w:sz w:val="32"/>
          <w:szCs w:val="32"/>
        </w:rPr>
      </w:pPr>
      <w:r>
        <w:rPr>
          <w:rFonts w:hint="eastAsia" w:eastAsia="仿宋_GB2312"/>
          <w:sz w:val="32"/>
          <w:szCs w:val="32"/>
        </w:rPr>
        <w:t>2、为城乡居民提供最低生活保障。</w:t>
      </w:r>
    </w:p>
    <w:p>
      <w:pPr>
        <w:widowControl/>
        <w:spacing w:line="600" w:lineRule="exact"/>
        <w:ind w:firstLine="1267" w:firstLineChars="396"/>
        <w:jc w:val="left"/>
        <w:rPr>
          <w:rFonts w:hint="eastAsia" w:eastAsia="仿宋_GB2312"/>
          <w:sz w:val="32"/>
          <w:szCs w:val="32"/>
        </w:rPr>
      </w:pPr>
      <w:r>
        <w:rPr>
          <w:rFonts w:hint="eastAsia" w:eastAsia="仿宋_GB2312"/>
          <w:sz w:val="32"/>
          <w:szCs w:val="32"/>
        </w:rPr>
        <w:t>3、为农村特困对象提供社会救助和临时救助。</w:t>
      </w:r>
    </w:p>
    <w:p>
      <w:pPr>
        <w:widowControl/>
        <w:spacing w:line="600" w:lineRule="exact"/>
        <w:ind w:firstLine="947" w:firstLineChars="296"/>
        <w:jc w:val="left"/>
        <w:rPr>
          <w:rFonts w:hint="eastAsia" w:eastAsia="仿宋_GB2312"/>
          <w:sz w:val="32"/>
          <w:szCs w:val="32"/>
        </w:rPr>
      </w:pPr>
    </w:p>
    <w:p>
      <w:pPr>
        <w:widowControl/>
        <w:numPr>
          <w:ilvl w:val="0"/>
          <w:numId w:val="0"/>
        </w:numPr>
        <w:spacing w:line="600" w:lineRule="exact"/>
        <w:ind w:firstLine="640" w:firstLineChars="200"/>
        <w:rPr>
          <w:rFonts w:eastAsia="楷体_GB2312"/>
          <w:b/>
          <w:sz w:val="32"/>
          <w:szCs w:val="32"/>
        </w:rPr>
      </w:pPr>
      <w:r>
        <w:rPr>
          <w:rFonts w:eastAsia="楷体_GB2312"/>
          <w:b/>
          <w:sz w:val="32"/>
          <w:szCs w:val="32"/>
        </w:rPr>
        <w:t>（二）</w:t>
      </w:r>
      <w:r>
        <w:rPr>
          <w:rFonts w:hint="eastAsia" w:ascii="黑体" w:hAnsi="黑体" w:eastAsia="黑体"/>
          <w:bCs/>
          <w:kern w:val="0"/>
          <w:sz w:val="32"/>
          <w:szCs w:val="32"/>
        </w:rPr>
        <w:t>机构设置及决算单位构成</w:t>
      </w:r>
      <w:r>
        <w:rPr>
          <w:rFonts w:eastAsia="楷体_GB2312"/>
          <w:b/>
          <w:sz w:val="32"/>
          <w:szCs w:val="32"/>
        </w:rPr>
        <w:t>。</w:t>
      </w:r>
    </w:p>
    <w:p>
      <w:pPr>
        <w:widowControl/>
        <w:spacing w:line="600" w:lineRule="exact"/>
        <w:ind w:firstLine="627" w:firstLineChars="196"/>
        <w:jc w:val="left"/>
        <w:rPr>
          <w:rFonts w:hint="eastAsia" w:eastAsia="仿宋_GB2312"/>
          <w:sz w:val="32"/>
          <w:szCs w:val="32"/>
          <w:lang w:eastAsia="zh-CN"/>
        </w:rPr>
      </w:pPr>
      <w:r>
        <w:rPr>
          <w:rFonts w:hint="eastAsia" w:eastAsia="仿宋_GB2312"/>
          <w:sz w:val="32"/>
          <w:szCs w:val="32"/>
        </w:rPr>
        <w:t>本单位</w:t>
      </w:r>
      <w:r>
        <w:rPr>
          <w:rFonts w:hint="eastAsia" w:eastAsia="仿宋_GB2312"/>
          <w:sz w:val="32"/>
          <w:szCs w:val="32"/>
          <w:lang w:val="en-US" w:eastAsia="zh-CN"/>
        </w:rPr>
        <w:t>系岳阳县民政局属二级机构，</w:t>
      </w:r>
      <w:r>
        <w:rPr>
          <w:rFonts w:hint="eastAsia" w:eastAsia="仿宋_GB2312"/>
          <w:sz w:val="32"/>
          <w:szCs w:val="32"/>
        </w:rPr>
        <w:t>内设 7个股室，分别是：办公室、综合信息股、城市低保股、农村低保股、特困供养股、信息比对股，工会。年末实有在职人数1</w:t>
      </w:r>
      <w:r>
        <w:rPr>
          <w:rFonts w:hint="eastAsia" w:eastAsia="仿宋_GB2312"/>
          <w:sz w:val="32"/>
          <w:szCs w:val="32"/>
          <w:lang w:val="en-US" w:eastAsia="zh-CN"/>
        </w:rPr>
        <w:t>8</w:t>
      </w:r>
      <w:r>
        <w:rPr>
          <w:rFonts w:hint="eastAsia" w:eastAsia="仿宋_GB2312"/>
          <w:sz w:val="32"/>
          <w:szCs w:val="32"/>
        </w:rPr>
        <w:t>人</w:t>
      </w:r>
      <w:r>
        <w:rPr>
          <w:rFonts w:hint="eastAsia" w:eastAsia="仿宋_GB2312"/>
          <w:sz w:val="32"/>
          <w:szCs w:val="32"/>
          <w:lang w:eastAsia="zh-CN"/>
        </w:rPr>
        <w:t>。</w:t>
      </w:r>
    </w:p>
    <w:p>
      <w:pPr>
        <w:widowControl/>
        <w:spacing w:line="600" w:lineRule="exact"/>
        <w:ind w:firstLine="627" w:firstLineChars="196"/>
        <w:jc w:val="left"/>
        <w:rPr>
          <w:rFonts w:hint="eastAsia" w:eastAsia="仿宋_GB2312"/>
          <w:sz w:val="32"/>
          <w:szCs w:val="32"/>
        </w:rPr>
      </w:pPr>
      <w:r>
        <w:rPr>
          <w:rFonts w:hint="eastAsia" w:eastAsia="仿宋_GB2312"/>
          <w:sz w:val="32"/>
          <w:szCs w:val="32"/>
        </w:rPr>
        <w:t>本单位</w:t>
      </w:r>
      <w:r>
        <w:rPr>
          <w:rFonts w:hint="eastAsia" w:eastAsia="仿宋_GB2312"/>
          <w:sz w:val="32"/>
          <w:szCs w:val="32"/>
          <w:lang w:val="en-US" w:eastAsia="zh-CN"/>
        </w:rPr>
        <w:t>属岳阳县民政局</w:t>
      </w:r>
      <w:r>
        <w:rPr>
          <w:rFonts w:hint="eastAsia" w:eastAsia="仿宋_GB2312"/>
          <w:sz w:val="32"/>
          <w:szCs w:val="32"/>
        </w:rPr>
        <w:t>二级机构，</w:t>
      </w:r>
      <w:r>
        <w:rPr>
          <w:rFonts w:hint="eastAsia" w:eastAsia="仿宋_GB2312"/>
          <w:sz w:val="32"/>
          <w:szCs w:val="32"/>
          <w:lang w:val="en-US" w:eastAsia="zh-CN"/>
        </w:rPr>
        <w:t>无下属机构，</w:t>
      </w:r>
      <w:r>
        <w:rPr>
          <w:rFonts w:hint="eastAsia" w:eastAsia="仿宋_GB2312"/>
          <w:sz w:val="32"/>
          <w:szCs w:val="32"/>
        </w:rPr>
        <w:t>因此本年度部门预算仅为本级部门</w:t>
      </w:r>
      <w:r>
        <w:rPr>
          <w:rFonts w:hint="eastAsia" w:eastAsia="仿宋_GB2312"/>
          <w:sz w:val="32"/>
          <w:szCs w:val="32"/>
          <w:lang w:val="en-US" w:eastAsia="zh-CN"/>
        </w:rPr>
        <w:t>决</w:t>
      </w:r>
      <w:r>
        <w:rPr>
          <w:rFonts w:hint="eastAsia" w:eastAsia="仿宋_GB2312"/>
          <w:sz w:val="32"/>
          <w:szCs w:val="32"/>
        </w:rPr>
        <w:t>算。</w:t>
      </w:r>
    </w:p>
    <w:p>
      <w:pPr>
        <w:pStyle w:val="11"/>
        <w:numPr>
          <w:ilvl w:val="0"/>
          <w:numId w:val="0"/>
        </w:numPr>
        <w:ind w:leftChars="0"/>
        <w:jc w:val="left"/>
        <w:rPr>
          <w:rFonts w:ascii="黑体" w:hAnsi="黑体" w:eastAsia="黑体"/>
          <w:sz w:val="32"/>
          <w:szCs w:val="3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r>
        <w:rPr>
          <w:rFonts w:hint="eastAsia"/>
          <w:sz w:val="72"/>
          <w:szCs w:val="72"/>
        </w:rPr>
        <w:t>第二部分</w:t>
      </w:r>
    </w:p>
    <w:p>
      <w:pPr>
        <w:jc w:val="center"/>
        <w:rPr>
          <w:sz w:val="72"/>
          <w:szCs w:val="72"/>
        </w:rPr>
      </w:pPr>
    </w:p>
    <w:tbl>
      <w:tblPr>
        <w:tblStyle w:val="6"/>
        <w:tblW w:w="14081" w:type="dxa"/>
        <w:tblInd w:w="93" w:type="dxa"/>
        <w:tblLayout w:type="autofit"/>
        <w:tblCellMar>
          <w:top w:w="0" w:type="dxa"/>
          <w:left w:w="108" w:type="dxa"/>
          <w:bottom w:w="0" w:type="dxa"/>
          <w:right w:w="108" w:type="dxa"/>
        </w:tblCellMar>
      </w:tblPr>
      <w:tblGrid>
        <w:gridCol w:w="14081"/>
      </w:tblGrid>
      <w:tr>
        <w:tblPrEx>
          <w:tblCellMar>
            <w:top w:w="0" w:type="dxa"/>
            <w:left w:w="108" w:type="dxa"/>
            <w:bottom w:w="0" w:type="dxa"/>
            <w:right w:w="108" w:type="dxa"/>
          </w:tblCellMar>
        </w:tblPrEx>
        <w:trPr>
          <w:trHeight w:val="360" w:hRule="atLeast"/>
        </w:trPr>
        <w:tc>
          <w:tcPr>
            <w:tcW w:w="14081" w:type="dxa"/>
            <w:tcBorders>
              <w:top w:val="nil"/>
              <w:left w:val="nil"/>
              <w:bottom w:val="nil"/>
              <w:right w:val="nil"/>
            </w:tcBorders>
            <w:shd w:val="clear" w:color="auto" w:fill="auto"/>
            <w:noWrap/>
            <w:vAlign w:val="center"/>
          </w:tcPr>
          <w:p>
            <w:pPr>
              <w:ind w:firstLine="1440" w:firstLineChars="200"/>
              <w:jc w:val="both"/>
              <w:rPr>
                <w:rFonts w:ascii="华文中宋" w:hAnsi="华文中宋" w:eastAsia="华文中宋" w:cs="宋体"/>
                <w:color w:val="000000"/>
                <w:kern w:val="0"/>
                <w:sz w:val="32"/>
                <w:szCs w:val="32"/>
              </w:rPr>
            </w:pPr>
            <w:r>
              <w:rPr>
                <w:rFonts w:hint="eastAsia"/>
                <w:sz w:val="72"/>
                <w:szCs w:val="72"/>
              </w:rPr>
              <w:t>部门决算表</w:t>
            </w:r>
            <w:r>
              <w:rPr>
                <w:rFonts w:hint="eastAsia"/>
                <w:sz w:val="72"/>
                <w:szCs w:val="72"/>
                <w:lang w:eastAsia="zh-CN"/>
              </w:rPr>
              <w:t>（</w:t>
            </w:r>
            <w:r>
              <w:rPr>
                <w:rFonts w:hint="eastAsia"/>
                <w:sz w:val="72"/>
                <w:szCs w:val="72"/>
                <w:lang w:val="en-US" w:eastAsia="zh-CN"/>
              </w:rPr>
              <w:t>见附表</w:t>
            </w:r>
            <w:r>
              <w:rPr>
                <w:rFonts w:hint="eastAsia"/>
                <w:sz w:val="72"/>
                <w:szCs w:val="72"/>
                <w:lang w:eastAsia="zh-CN"/>
              </w:rPr>
              <w:t>）</w:t>
            </w:r>
          </w:p>
        </w:tc>
      </w:tr>
    </w:tbl>
    <w:p>
      <w:pPr>
        <w:pStyle w:val="10"/>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default" w:ascii="宋体" w:hAnsi="宋体" w:eastAsia="宋体"/>
          <w:sz w:val="32"/>
          <w:szCs w:val="32"/>
          <w:lang w:val="en-US" w:eastAsia="zh-CN"/>
        </w:rPr>
      </w:pPr>
      <w:r>
        <w:rPr>
          <w:rFonts w:hint="eastAsia" w:ascii="宋体" w:hAnsi="宋体" w:eastAsia="宋体"/>
          <w:sz w:val="32"/>
          <w:szCs w:val="32"/>
        </w:rPr>
        <w:t>2020年度收入总计</w:t>
      </w:r>
      <w:r>
        <w:rPr>
          <w:rFonts w:hint="eastAsia" w:ascii="宋体" w:hAnsi="宋体" w:eastAsia="宋体"/>
          <w:sz w:val="32"/>
          <w:szCs w:val="32"/>
          <w:lang w:val="en-US" w:eastAsia="zh-CN"/>
        </w:rPr>
        <w:t>285.12</w:t>
      </w:r>
      <w:r>
        <w:rPr>
          <w:rFonts w:hint="eastAsia" w:ascii="宋体" w:hAnsi="宋体" w:eastAsia="宋体"/>
          <w:sz w:val="32"/>
          <w:szCs w:val="32"/>
        </w:rPr>
        <w:t>万元（含年初结转和结余资金</w:t>
      </w:r>
      <w:r>
        <w:rPr>
          <w:rFonts w:hint="eastAsia" w:ascii="宋体" w:hAnsi="宋体" w:eastAsia="宋体"/>
          <w:sz w:val="32"/>
          <w:szCs w:val="32"/>
          <w:lang w:val="en-US" w:eastAsia="zh-CN"/>
        </w:rPr>
        <w:t>0</w:t>
      </w:r>
      <w:r>
        <w:rPr>
          <w:rFonts w:hint="eastAsia" w:ascii="宋体" w:hAnsi="宋体" w:eastAsia="宋体"/>
          <w:sz w:val="32"/>
          <w:szCs w:val="32"/>
        </w:rPr>
        <w:t>万元），与上年相比，增长</w:t>
      </w:r>
      <w:r>
        <w:rPr>
          <w:rFonts w:hint="eastAsia" w:ascii="宋体" w:hAnsi="宋体" w:eastAsia="宋体"/>
          <w:sz w:val="32"/>
          <w:szCs w:val="32"/>
          <w:lang w:val="en-US" w:eastAsia="zh-CN"/>
        </w:rPr>
        <w:t>12.44</w:t>
      </w:r>
      <w:r>
        <w:rPr>
          <w:rFonts w:hint="eastAsia" w:ascii="宋体" w:hAnsi="宋体" w:eastAsia="宋体"/>
          <w:sz w:val="32"/>
          <w:szCs w:val="32"/>
        </w:rPr>
        <w:t>万元，增长</w:t>
      </w:r>
      <w:r>
        <w:rPr>
          <w:rFonts w:hint="eastAsia" w:ascii="宋体" w:hAnsi="宋体" w:eastAsia="宋体"/>
          <w:sz w:val="32"/>
          <w:szCs w:val="32"/>
          <w:lang w:val="en-US" w:eastAsia="zh-CN"/>
        </w:rPr>
        <w:t>4.57</w:t>
      </w:r>
      <w:r>
        <w:rPr>
          <w:rFonts w:hint="eastAsia" w:ascii="宋体" w:hAnsi="宋体" w:eastAsia="宋体"/>
          <w:sz w:val="32"/>
          <w:szCs w:val="32"/>
        </w:rPr>
        <w:t>%，主要是</w:t>
      </w:r>
      <w:r>
        <w:rPr>
          <w:rFonts w:hint="eastAsia" w:ascii="宋体" w:hAnsi="宋体" w:eastAsia="宋体"/>
          <w:sz w:val="32"/>
          <w:szCs w:val="32"/>
          <w:lang w:val="en-US" w:eastAsia="zh-CN"/>
        </w:rPr>
        <w:t>人员工资及社保增长所致。</w:t>
      </w:r>
    </w:p>
    <w:p>
      <w:pPr>
        <w:pStyle w:val="10"/>
        <w:ind w:firstLine="640" w:firstLineChars="200"/>
        <w:rPr>
          <w:rFonts w:hint="eastAsia" w:ascii="宋体" w:hAnsi="宋体" w:eastAsia="宋体"/>
          <w:sz w:val="32"/>
          <w:szCs w:val="32"/>
        </w:rPr>
      </w:pPr>
      <w:r>
        <w:rPr>
          <w:rFonts w:hint="eastAsia" w:ascii="宋体" w:hAnsi="宋体" w:eastAsia="宋体"/>
          <w:sz w:val="32"/>
          <w:szCs w:val="32"/>
        </w:rPr>
        <w:t>2020年度支出总计</w:t>
      </w:r>
      <w:r>
        <w:rPr>
          <w:rFonts w:hint="eastAsia" w:ascii="宋体" w:hAnsi="宋体" w:eastAsia="宋体"/>
          <w:sz w:val="32"/>
          <w:szCs w:val="32"/>
          <w:lang w:val="en-US" w:eastAsia="zh-CN"/>
        </w:rPr>
        <w:t>285.12</w:t>
      </w:r>
      <w:r>
        <w:rPr>
          <w:rFonts w:hint="eastAsia" w:ascii="宋体" w:hAnsi="宋体" w:eastAsia="宋体"/>
          <w:sz w:val="32"/>
          <w:szCs w:val="32"/>
        </w:rPr>
        <w:t>万元（含年末结转和结余资金</w:t>
      </w:r>
      <w:r>
        <w:rPr>
          <w:rFonts w:hint="eastAsia" w:ascii="宋体" w:hAnsi="宋体" w:eastAsia="宋体"/>
          <w:sz w:val="32"/>
          <w:szCs w:val="32"/>
          <w:lang w:val="en-US" w:eastAsia="zh-CN"/>
        </w:rPr>
        <w:t>27.51</w:t>
      </w:r>
      <w:r>
        <w:rPr>
          <w:rFonts w:hint="eastAsia" w:ascii="宋体" w:hAnsi="宋体" w:eastAsia="宋体"/>
          <w:sz w:val="32"/>
          <w:szCs w:val="32"/>
        </w:rPr>
        <w:t>万元），与上年相比，增长</w:t>
      </w:r>
      <w:r>
        <w:rPr>
          <w:rFonts w:hint="eastAsia" w:ascii="宋体" w:hAnsi="宋体" w:eastAsia="宋体"/>
          <w:sz w:val="32"/>
          <w:szCs w:val="32"/>
          <w:lang w:val="en-US" w:eastAsia="zh-CN"/>
        </w:rPr>
        <w:t>12.44</w:t>
      </w:r>
      <w:r>
        <w:rPr>
          <w:rFonts w:hint="eastAsia" w:ascii="宋体" w:hAnsi="宋体" w:eastAsia="宋体"/>
          <w:sz w:val="32"/>
          <w:szCs w:val="32"/>
        </w:rPr>
        <w:t>万元，增长</w:t>
      </w:r>
      <w:r>
        <w:rPr>
          <w:rFonts w:hint="eastAsia" w:ascii="宋体" w:hAnsi="宋体" w:eastAsia="宋体"/>
          <w:sz w:val="32"/>
          <w:szCs w:val="32"/>
          <w:lang w:val="en-US" w:eastAsia="zh-CN"/>
        </w:rPr>
        <w:t>4.57</w:t>
      </w:r>
      <w:r>
        <w:rPr>
          <w:rFonts w:hint="eastAsia" w:ascii="宋体" w:hAnsi="宋体" w:eastAsia="宋体"/>
          <w:sz w:val="32"/>
          <w:szCs w:val="32"/>
        </w:rPr>
        <w:t>%，主要是</w:t>
      </w:r>
      <w:r>
        <w:rPr>
          <w:rFonts w:hint="eastAsia" w:ascii="宋体" w:hAnsi="宋体" w:eastAsia="宋体"/>
          <w:sz w:val="32"/>
          <w:szCs w:val="32"/>
          <w:lang w:val="en-US" w:eastAsia="zh-CN"/>
        </w:rPr>
        <w:t>人员工资及社保增长所致</w:t>
      </w:r>
      <w:r>
        <w:rPr>
          <w:rFonts w:hint="eastAsia" w:ascii="宋体" w:hAnsi="宋体" w:eastAsia="宋体"/>
          <w:sz w:val="32"/>
          <w:szCs w:val="32"/>
        </w:rPr>
        <w:t>。</w:t>
      </w:r>
    </w:p>
    <w:p>
      <w:pPr>
        <w:pStyle w:val="10"/>
        <w:ind w:firstLine="640" w:firstLineChars="20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宋体" w:hAnsi="宋体" w:eastAsia="宋体"/>
          <w:sz w:val="32"/>
          <w:szCs w:val="32"/>
          <w:lang w:val="en-US" w:eastAsia="zh-CN"/>
        </w:rPr>
        <w:t>285.12</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146.32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51.32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138.80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48.68</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257.61</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257.61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%；项目支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宋体" w:hAnsi="宋体" w:eastAsia="宋体"/>
          <w:sz w:val="32"/>
          <w:szCs w:val="32"/>
        </w:rPr>
      </w:pPr>
      <w:r>
        <w:rPr>
          <w:rFonts w:hint="eastAsia" w:asciiTheme="minorEastAsia" w:hAnsiTheme="minorEastAsia" w:eastAsiaTheme="minorEastAsia"/>
          <w:sz w:val="32"/>
          <w:szCs w:val="32"/>
        </w:rPr>
        <w:t xml:space="preserve">    </w:t>
      </w:r>
      <w:r>
        <w:rPr>
          <w:rFonts w:hint="eastAsia" w:ascii="宋体" w:hAnsi="宋体" w:eastAsia="宋体"/>
          <w:sz w:val="32"/>
          <w:szCs w:val="32"/>
        </w:rPr>
        <w:t>2020年度财政拨款收入合计</w:t>
      </w:r>
      <w:r>
        <w:rPr>
          <w:rFonts w:hint="eastAsia" w:asciiTheme="minorEastAsia" w:hAnsiTheme="minorEastAsia" w:eastAsiaTheme="minorEastAsia"/>
          <w:sz w:val="32"/>
          <w:szCs w:val="32"/>
          <w:lang w:val="en-US" w:eastAsia="zh-CN"/>
        </w:rPr>
        <w:t>146.32</w:t>
      </w:r>
      <w:r>
        <w:rPr>
          <w:rFonts w:hint="eastAsia" w:ascii="宋体" w:hAnsi="宋体" w:eastAsia="宋体"/>
          <w:sz w:val="32"/>
          <w:szCs w:val="32"/>
        </w:rPr>
        <w:t>万元（不含年初财政拨款结转和结余资金），与上年相比，</w:t>
      </w:r>
      <w:r>
        <w:rPr>
          <w:rFonts w:hint="eastAsia" w:ascii="宋体" w:hAnsi="宋体" w:eastAsia="宋体"/>
          <w:sz w:val="32"/>
          <w:szCs w:val="32"/>
          <w:lang w:val="en-US" w:eastAsia="zh-CN"/>
        </w:rPr>
        <w:t>减少7.18</w:t>
      </w:r>
      <w:r>
        <w:rPr>
          <w:rFonts w:hint="eastAsia" w:ascii="宋体" w:hAnsi="宋体" w:eastAsia="宋体"/>
          <w:sz w:val="32"/>
          <w:szCs w:val="32"/>
        </w:rPr>
        <w:t>万元,</w:t>
      </w:r>
      <w:r>
        <w:rPr>
          <w:rFonts w:hint="eastAsia" w:ascii="宋体" w:hAnsi="宋体" w:eastAsia="宋体"/>
          <w:sz w:val="32"/>
          <w:szCs w:val="32"/>
          <w:lang w:val="en-US" w:eastAsia="zh-CN"/>
        </w:rPr>
        <w:t>减少4.69</w:t>
      </w:r>
      <w:r>
        <w:rPr>
          <w:rFonts w:hint="eastAsia" w:ascii="宋体" w:hAnsi="宋体" w:eastAsia="宋体"/>
          <w:sz w:val="32"/>
          <w:szCs w:val="32"/>
        </w:rPr>
        <w:t>%，主要是因为</w:t>
      </w:r>
      <w:r>
        <w:rPr>
          <w:rFonts w:hint="eastAsia" w:ascii="宋体" w:hAnsi="宋体" w:eastAsia="宋体"/>
          <w:sz w:val="32"/>
          <w:szCs w:val="32"/>
          <w:lang w:val="en-US" w:eastAsia="zh-CN"/>
        </w:rPr>
        <w:t>人员调动所致</w:t>
      </w:r>
      <w:r>
        <w:rPr>
          <w:rFonts w:hint="eastAsia" w:ascii="宋体" w:hAnsi="宋体" w:eastAsia="宋体"/>
          <w:sz w:val="32"/>
          <w:szCs w:val="32"/>
        </w:rPr>
        <w:t>。</w:t>
      </w:r>
    </w:p>
    <w:p>
      <w:pPr>
        <w:pStyle w:val="10"/>
        <w:ind w:firstLine="640"/>
        <w:rPr>
          <w:rFonts w:hint="eastAsia" w:ascii="宋体" w:hAnsi="宋体" w:eastAsia="宋体"/>
          <w:b/>
          <w:bCs/>
          <w:color w:val="FF0000"/>
          <w:sz w:val="28"/>
          <w:szCs w:val="28"/>
        </w:rPr>
      </w:pPr>
      <w:r>
        <w:rPr>
          <w:rFonts w:hint="eastAsia" w:ascii="宋体" w:hAnsi="宋体" w:eastAsia="宋体"/>
          <w:sz w:val="32"/>
          <w:szCs w:val="32"/>
        </w:rPr>
        <w:t>2020年度财政拨款支出合计</w:t>
      </w:r>
      <w:r>
        <w:rPr>
          <w:rFonts w:hint="eastAsia" w:ascii="宋体" w:hAnsi="宋体" w:eastAsia="宋体"/>
          <w:sz w:val="32"/>
          <w:szCs w:val="32"/>
          <w:lang w:val="en-US" w:eastAsia="zh-CN"/>
        </w:rPr>
        <w:t>129.80</w:t>
      </w:r>
      <w:r>
        <w:rPr>
          <w:rFonts w:hint="eastAsia" w:ascii="宋体" w:hAnsi="宋体" w:eastAsia="宋体"/>
          <w:sz w:val="32"/>
          <w:szCs w:val="32"/>
        </w:rPr>
        <w:t>万元（不含年末财政拨款结转和结余资金），与上年相比，</w:t>
      </w:r>
      <w:r>
        <w:rPr>
          <w:rFonts w:hint="eastAsia" w:ascii="宋体" w:hAnsi="宋体" w:eastAsia="宋体"/>
          <w:sz w:val="32"/>
          <w:szCs w:val="32"/>
          <w:lang w:val="en-US" w:eastAsia="zh-CN"/>
        </w:rPr>
        <w:t>减少13.29</w:t>
      </w:r>
      <w:r>
        <w:rPr>
          <w:rFonts w:hint="eastAsia" w:ascii="宋体" w:hAnsi="宋体" w:eastAsia="宋体"/>
          <w:sz w:val="32"/>
          <w:szCs w:val="32"/>
        </w:rPr>
        <w:t>万元,</w:t>
      </w:r>
      <w:r>
        <w:rPr>
          <w:rFonts w:hint="eastAsia" w:ascii="宋体" w:hAnsi="宋体" w:eastAsia="宋体"/>
          <w:sz w:val="32"/>
          <w:szCs w:val="32"/>
          <w:lang w:val="en-US" w:eastAsia="zh-CN"/>
        </w:rPr>
        <w:t>减少6.49</w:t>
      </w:r>
      <w:r>
        <w:rPr>
          <w:rFonts w:hint="eastAsia" w:ascii="宋体" w:hAnsi="宋体" w:eastAsia="宋体"/>
          <w:sz w:val="32"/>
          <w:szCs w:val="32"/>
        </w:rPr>
        <w:t>%，主要是因为</w:t>
      </w:r>
      <w:r>
        <w:rPr>
          <w:rFonts w:hint="eastAsia" w:ascii="宋体" w:hAnsi="宋体" w:eastAsia="宋体"/>
          <w:sz w:val="32"/>
          <w:szCs w:val="32"/>
          <w:lang w:val="en-US" w:eastAsia="zh-CN"/>
        </w:rPr>
        <w:t>人员调动及结算时间差异所致</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宋体" w:hAnsi="宋体" w:eastAsia="宋体"/>
          <w:sz w:val="32"/>
          <w:szCs w:val="32"/>
          <w:lang w:val="en-US" w:eastAsia="zh-CN"/>
        </w:rPr>
        <w:t>129.80</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50.38</w:t>
      </w:r>
      <w:r>
        <w:rPr>
          <w:rFonts w:hint="eastAsia" w:asciiTheme="minorEastAsia" w:hAnsiTheme="minorEastAsia" w:eastAsiaTheme="minorEastAsia"/>
          <w:sz w:val="32"/>
          <w:szCs w:val="32"/>
        </w:rPr>
        <w:t>%，与上年相比，</w:t>
      </w:r>
      <w:r>
        <w:rPr>
          <w:rFonts w:hint="eastAsia" w:ascii="宋体" w:hAnsi="宋体" w:eastAsia="宋体"/>
          <w:sz w:val="32"/>
          <w:szCs w:val="32"/>
          <w:lang w:val="en-US" w:eastAsia="zh-CN"/>
        </w:rPr>
        <w:t>减少13.29</w:t>
      </w:r>
      <w:r>
        <w:rPr>
          <w:rFonts w:hint="eastAsia" w:ascii="宋体" w:hAnsi="宋体" w:eastAsia="宋体"/>
          <w:sz w:val="32"/>
          <w:szCs w:val="32"/>
        </w:rPr>
        <w:t>万元,</w:t>
      </w:r>
      <w:r>
        <w:rPr>
          <w:rFonts w:hint="eastAsia" w:ascii="宋体" w:hAnsi="宋体" w:eastAsia="宋体"/>
          <w:sz w:val="32"/>
          <w:szCs w:val="32"/>
          <w:lang w:val="en-US" w:eastAsia="zh-CN"/>
        </w:rPr>
        <w:t>减少6.49</w:t>
      </w:r>
      <w:r>
        <w:rPr>
          <w:rFonts w:hint="eastAsia" w:ascii="宋体" w:hAnsi="宋体" w:eastAsia="宋体"/>
          <w:sz w:val="32"/>
          <w:szCs w:val="32"/>
        </w:rPr>
        <w:t>%，主要是因为</w:t>
      </w:r>
      <w:r>
        <w:rPr>
          <w:rFonts w:hint="eastAsia" w:ascii="宋体" w:hAnsi="宋体" w:eastAsia="宋体"/>
          <w:sz w:val="32"/>
          <w:szCs w:val="32"/>
          <w:lang w:val="en-US" w:eastAsia="zh-CN"/>
        </w:rPr>
        <w:t>人员调动及结算时间差异所致</w:t>
      </w:r>
      <w:r>
        <w:rPr>
          <w:rFonts w:hint="eastAsia" w:ascii="宋体" w:hAnsi="宋体" w:eastAsia="宋体"/>
          <w:sz w:val="32"/>
          <w:szCs w:val="32"/>
        </w:rPr>
        <w:t>。</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宋体" w:hAnsi="宋体" w:eastAsia="宋体"/>
          <w:sz w:val="32"/>
          <w:szCs w:val="32"/>
          <w:lang w:val="en-US" w:eastAsia="zh-CN"/>
        </w:rPr>
        <w:t>129.80</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eastAsia="zh-CN"/>
        </w:rPr>
        <w:t>社会保障和就业支出</w:t>
      </w:r>
      <w:r>
        <w:rPr>
          <w:rFonts w:hint="eastAsia" w:ascii="宋体" w:hAnsi="宋体" w:eastAsia="宋体"/>
          <w:sz w:val="32"/>
          <w:szCs w:val="32"/>
          <w:lang w:val="en-US" w:eastAsia="zh-CN"/>
        </w:rPr>
        <w:t>129.80</w:t>
      </w:r>
      <w:r>
        <w:rPr>
          <w:rFonts w:hint="eastAsia" w:asciiTheme="minorEastAsia" w:hAnsiTheme="minorEastAsia" w:eastAsiaTheme="minorEastAsia"/>
          <w:sz w:val="32"/>
          <w:szCs w:val="32"/>
          <w:lang w:val="en-US" w:eastAsia="zh-CN"/>
        </w:rPr>
        <w:t>万元，占比100%。</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146.32</w:t>
      </w:r>
      <w:r>
        <w:rPr>
          <w:rFonts w:hint="eastAsia" w:asciiTheme="minorEastAsia" w:hAnsiTheme="minorEastAsia" w:eastAsiaTheme="minorEastAsia"/>
          <w:sz w:val="32"/>
          <w:szCs w:val="32"/>
        </w:rPr>
        <w:t>万元，支出决算数为</w:t>
      </w:r>
      <w:r>
        <w:rPr>
          <w:rFonts w:hint="eastAsia" w:ascii="宋体" w:hAnsi="宋体" w:eastAsia="宋体"/>
          <w:sz w:val="32"/>
          <w:szCs w:val="32"/>
          <w:lang w:val="en-US" w:eastAsia="zh-CN"/>
        </w:rPr>
        <w:t>129.80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88.7%</w:t>
      </w:r>
      <w:r>
        <w:rPr>
          <w:rFonts w:hint="eastAsia" w:asciiTheme="minorEastAsia" w:hAnsiTheme="minorEastAsia" w:eastAsiaTheme="minorEastAsia"/>
          <w:sz w:val="32"/>
          <w:szCs w:val="32"/>
        </w:rPr>
        <w:t>，其中：</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社会保障和就业支出（类）民政管理事务（款）行政运行（项）年初预算为146.32万元，支出决算</w:t>
      </w:r>
      <w:r>
        <w:rPr>
          <w:rFonts w:hint="eastAsia" w:ascii="宋体" w:hAnsi="宋体" w:eastAsia="宋体"/>
          <w:sz w:val="32"/>
          <w:szCs w:val="32"/>
          <w:lang w:val="en-US" w:eastAsia="zh-CN"/>
        </w:rPr>
        <w:t>129.80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完成年初预算的88.7%。</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val="en-US" w:eastAsia="zh-CN"/>
        </w:rPr>
        <w:t>当年度支出未及时结算原因。</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w:t>
      </w:r>
      <w:r>
        <w:rPr>
          <w:rFonts w:hint="eastAsia" w:ascii="宋体" w:hAnsi="宋体" w:eastAsia="宋体"/>
          <w:sz w:val="32"/>
          <w:szCs w:val="32"/>
          <w:lang w:val="en-US" w:eastAsia="zh-CN"/>
        </w:rPr>
        <w:t>129.80</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102.59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79.04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包括基本工资、津贴补贴、奖金、其他社会保障缴费、伙食补助费、绩效工资、机关事业单位基本养老保险缴费、职业年金缴费、其他工资福利支出、医疗费、奖励金、住房公积金、其他对个人和家庭的补助支出；日常公用经费27.2万元，占比20.96%，主要包括：办公费、印刷费、水费、电费、咨询费、邮电费、物业管理费、差旅费、维修（护）费、租赁费、培训费、劳务费、工会经费、其他交通费用、其他商品和服务支出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ind w:firstLine="320" w:firstLineChars="1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bookmarkStart w:id="0" w:name="_GoBack"/>
      <w:bookmarkEnd w:id="0"/>
      <w:r>
        <w:rPr>
          <w:rFonts w:hint="eastAsia" w:asciiTheme="minorEastAsia" w:hAnsiTheme="minorEastAsia" w:eastAsiaTheme="minorEastAsia"/>
          <w:sz w:val="32"/>
          <w:szCs w:val="32"/>
        </w:rPr>
        <w:t>其中：</w:t>
      </w:r>
    </w:p>
    <w:p>
      <w:pPr>
        <w:pStyle w:val="10"/>
        <w:ind w:firstLine="960" w:firstLineChars="3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本单位无政府性基金收支</w:t>
      </w:r>
    </w:p>
    <w:p>
      <w:pPr>
        <w:pStyle w:val="10"/>
        <w:rPr>
          <w:rFonts w:hAnsi="黑体"/>
          <w:b/>
          <w:sz w:val="32"/>
          <w:szCs w:val="32"/>
        </w:rPr>
      </w:pPr>
      <w:r>
        <w:rPr>
          <w:rFonts w:hint="eastAsia" w:hAnsi="黑体"/>
          <w:b/>
          <w:sz w:val="32"/>
          <w:szCs w:val="32"/>
        </w:rPr>
        <w:t>九、关于机关运行经费支出说明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27.20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，比</w:t>
      </w:r>
      <w:r>
        <w:rPr>
          <w:rFonts w:hint="eastAsia" w:asciiTheme="minorEastAsia" w:hAnsiTheme="minorEastAsia" w:eastAsiaTheme="minorEastAsia"/>
          <w:sz w:val="32"/>
          <w:szCs w:val="32"/>
          <w:lang w:eastAsia="zh-CN"/>
        </w:rPr>
        <w:t>上</w:t>
      </w:r>
      <w:r>
        <w:rPr>
          <w:rFonts w:hint="eastAsia" w:asciiTheme="minorEastAsia" w:hAnsiTheme="minorEastAsia" w:eastAsiaTheme="minorEastAsia"/>
          <w:sz w:val="32"/>
          <w:szCs w:val="32"/>
        </w:rPr>
        <w:t>年减少</w:t>
      </w:r>
      <w:r>
        <w:rPr>
          <w:rFonts w:hint="eastAsia" w:asciiTheme="minorEastAsia" w:hAnsiTheme="minorEastAsia" w:eastAsiaTheme="minorEastAsia"/>
          <w:sz w:val="32"/>
          <w:szCs w:val="32"/>
          <w:lang w:val="en-US" w:eastAsia="zh-CN"/>
        </w:rPr>
        <w:t>2.11</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8.44</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认真贯彻落实中央“八项规定”和省委市委的“规定办法”精神和厉行节约要求，进一步从严控制经费开支。</w:t>
      </w:r>
    </w:p>
    <w:p>
      <w:pPr>
        <w:pStyle w:val="10"/>
        <w:rPr>
          <w:rFonts w:hAnsi="黑体"/>
          <w:b/>
          <w:sz w:val="32"/>
          <w:szCs w:val="32"/>
        </w:rPr>
      </w:pPr>
      <w:r>
        <w:rPr>
          <w:rFonts w:hint="eastAsia" w:hAnsi="黑体"/>
          <w:b/>
          <w:sz w:val="32"/>
          <w:szCs w:val="32"/>
        </w:rPr>
        <w:t>十、一般性支出情况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本年度一般性支出决算共计9.90万元，其中:办公费0.26万元、印刷费0万元、咨询费0万元、水费0万元、电费0万元、邮电费0.89万元、取暖费0万元、物业管理费0万元、差旅费5.49万元、因公出国（境）费用0万元、维修（护）费0万元、租赁费0万元、会议费0万元、培训费0.06万元、公务接待费0万元、被装购置费0万元、劳务费3.20万元、委托业务费0万元、公务用车运行维护费0万元、其他交通费用0万元、房屋建筑物构建0万元、办公设备购置0万元、公务用车购置0万元及其他交通工具购置0万元。</w:t>
      </w: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hint="eastAsia" w:asciiTheme="minorEastAsia" w:hAnsiTheme="minorEastAsia" w:eastAsiaTheme="minorEastAsia"/>
          <w:color w:val="FF0000"/>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0.56</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0.56</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0.56</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0.56</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sz w:val="32"/>
          <w:szCs w:val="32"/>
        </w:rPr>
      </w:pPr>
      <w:r>
        <w:rPr>
          <w:rFonts w:hint="eastAsia" w:hAnsi="黑体"/>
          <w:b/>
          <w:sz w:val="32"/>
          <w:szCs w:val="32"/>
        </w:rPr>
        <w:t>十三、关于2020年度预算绩效情况的说明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为进一步规范财政资金管理，强化绩效和责任意识，切实提高财政资金使用效益，我单位对2020年度部门整体支出、单位项目支出、重点（专项）项目支出进行了绩效自评。</w:t>
      </w:r>
    </w:p>
    <w:p>
      <w:pPr>
        <w:pStyle w:val="10"/>
        <w:ind w:firstLine="640" w:firstLineChars="200"/>
        <w:rPr>
          <w:rFonts w:hint="eastAsia" w:ascii="宋体" w:hAnsi="宋体" w:eastAsia="宋体"/>
          <w:sz w:val="32"/>
          <w:szCs w:val="32"/>
        </w:rPr>
      </w:pPr>
      <w:r>
        <w:rPr>
          <w:rFonts w:hint="eastAsia" w:ascii="宋体" w:hAnsi="宋体" w:eastAsia="宋体"/>
          <w:sz w:val="32"/>
          <w:szCs w:val="32"/>
        </w:rPr>
        <w:t>部门整体支出绩效自评得分</w:t>
      </w:r>
      <w:r>
        <w:rPr>
          <w:rFonts w:hint="eastAsia" w:ascii="宋体" w:hAnsi="宋体" w:eastAsia="宋体"/>
          <w:sz w:val="32"/>
          <w:szCs w:val="32"/>
          <w:lang w:val="en-US" w:eastAsia="zh-CN"/>
        </w:rPr>
        <w:t>97</w:t>
      </w:r>
      <w:r>
        <w:rPr>
          <w:rFonts w:hint="eastAsia" w:ascii="宋体" w:hAnsi="宋体" w:eastAsia="宋体"/>
          <w:sz w:val="32"/>
          <w:szCs w:val="32"/>
        </w:rPr>
        <w:t>，评价等级为“</w:t>
      </w:r>
      <w:r>
        <w:rPr>
          <w:rFonts w:hint="eastAsia" w:ascii="宋体" w:hAnsi="宋体" w:eastAsia="宋体"/>
          <w:sz w:val="32"/>
          <w:szCs w:val="32"/>
          <w:lang w:val="en-US"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项目支出绩效自评得分</w:t>
      </w:r>
      <w:r>
        <w:rPr>
          <w:rFonts w:hint="eastAsia" w:ascii="宋体" w:hAnsi="宋体" w:eastAsia="宋体"/>
          <w:sz w:val="32"/>
          <w:szCs w:val="32"/>
          <w:lang w:val="en-US" w:eastAsia="zh-CN"/>
        </w:rPr>
        <w:t>99.5</w:t>
      </w:r>
      <w:r>
        <w:rPr>
          <w:rFonts w:hint="eastAsia" w:ascii="宋体" w:hAnsi="宋体" w:eastAsia="宋体"/>
          <w:sz w:val="32"/>
          <w:szCs w:val="32"/>
        </w:rPr>
        <w:t>，评价等级为“</w:t>
      </w:r>
      <w:r>
        <w:rPr>
          <w:rFonts w:hint="eastAsia" w:ascii="宋体" w:hAnsi="宋体" w:eastAsia="宋体"/>
          <w:sz w:val="32"/>
          <w:szCs w:val="32"/>
          <w:lang w:val="en-US"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已按</w:t>
      </w:r>
      <w:r>
        <w:rPr>
          <w:rFonts w:hint="eastAsia" w:ascii="宋体" w:hAnsi="宋体" w:eastAsia="宋体"/>
          <w:sz w:val="32"/>
          <w:szCs w:val="32"/>
          <w:lang w:val="en-US" w:eastAsia="zh-Hans"/>
        </w:rPr>
        <w:t>县</w:t>
      </w:r>
      <w:r>
        <w:rPr>
          <w:rFonts w:hint="eastAsia" w:ascii="宋体" w:hAnsi="宋体" w:eastAsia="宋体"/>
          <w:sz w:val="32"/>
          <w:szCs w:val="32"/>
        </w:rPr>
        <w:t>财政局统一要求随同部门决算作为附件公开。</w:t>
      </w:r>
    </w:p>
    <w:p>
      <w:pPr>
        <w:pStyle w:val="10"/>
        <w:ind w:firstLine="640" w:firstLineChars="200"/>
        <w:rPr>
          <w:rFonts w:hint="eastAsia" w:ascii="宋体" w:hAnsi="宋体" w:eastAsia="宋体"/>
          <w:sz w:val="32"/>
          <w:szCs w:val="32"/>
        </w:rPr>
      </w:pPr>
    </w:p>
    <w:p>
      <w:pPr>
        <w:pStyle w:val="10"/>
        <w:rPr>
          <w:rFonts w:hint="eastAsia" w:asciiTheme="minorEastAsia" w:hAnsiTheme="minorEastAsia" w:eastAsiaTheme="minorEastAsia"/>
          <w:sz w:val="32"/>
          <w:szCs w:val="32"/>
        </w:rPr>
      </w:pPr>
    </w:p>
    <w:p>
      <w:pPr>
        <w:pStyle w:val="10"/>
        <w:rPr>
          <w:rFonts w:hAnsi="黑体"/>
          <w:b/>
          <w:sz w:val="32"/>
          <w:szCs w:val="32"/>
        </w:rPr>
      </w:pPr>
    </w:p>
    <w:p>
      <w:pPr>
        <w:pStyle w:val="10"/>
        <w:jc w:val="center"/>
        <w:rPr>
          <w:rFonts w:hint="eastAsia" w:ascii="黑体" w:eastAsia="黑体" w:cs="黑体"/>
          <w:color w:val="000000"/>
          <w:kern w:val="0"/>
          <w:sz w:val="70"/>
          <w:szCs w:val="70"/>
        </w:rPr>
      </w:pPr>
      <w:r>
        <w:rPr>
          <w:rFonts w:hint="eastAsia"/>
          <w:sz w:val="72"/>
          <w:szCs w:val="72"/>
        </w:rPr>
        <w:t>第四部分</w:t>
      </w:r>
      <w:r>
        <w:rPr>
          <w:rFonts w:hint="eastAsia"/>
          <w:sz w:val="72"/>
          <w:szCs w:val="72"/>
          <w:lang w:val="en-US" w:eastAsia="zh-CN"/>
        </w:rPr>
        <w:t xml:space="preserve"> </w:t>
      </w:r>
      <w:r>
        <w:rPr>
          <w:rFonts w:hint="eastAsia" w:ascii="黑体" w:eastAsia="黑体" w:cs="黑体"/>
          <w:color w:val="000000"/>
          <w:kern w:val="0"/>
          <w:sz w:val="70"/>
          <w:szCs w:val="70"/>
        </w:rPr>
        <w:t>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微软雅黑" w:hAnsi="微软雅黑" w:eastAsia="微软雅黑" w:cs="微软雅黑"/>
          <w:i w:val="0"/>
          <w:iCs w:val="0"/>
          <w:caps w:val="0"/>
          <w:color w:val="555555"/>
          <w:spacing w:val="0"/>
          <w:sz w:val="16"/>
          <w:szCs w:val="16"/>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1、财政拨款收入：指本级财政当年拨付的资金。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2、其他收入：指除上述“财政拨款收入”、“上级补助收入”、“事业收入”、“经营收入”、“附属单位上缴收入”等以外的收入。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3、社会保障和就业支出：是指用于社会保障和就业方面的支出，包括保障机构正常运转、完成日常和特定的工作任务或事业发展目标的支出。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4、其他支出:是指用于其他方面的支出,包括福利彩票公益金支出.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5、基本支出：指保障机构正常运转、完成支日常工作任务而发生的人员支出和公用支出。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6、项目支出：指在基本支出之外为完成特定行政任务和事业发展目标所发生的支出。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7、机关运行经费：是指各部门的公用经费，包括办公费、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8、“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jc w:val="center"/>
        <w:rPr>
          <w:rFonts w:hint="eastAsia" w:ascii="宋体" w:hAnsi="宋体" w:eastAsia="宋体" w:cs="黑体"/>
          <w:color w:val="000000"/>
          <w:kern w:val="0"/>
          <w:sz w:val="32"/>
          <w:szCs w:val="32"/>
          <w:lang w:val="en-US" w:eastAsia="zh-CN" w:bidi="ar-SA"/>
        </w:rPr>
      </w:pPr>
    </w:p>
    <w:p>
      <w:pPr>
        <w:widowControl/>
        <w:jc w:val="left"/>
        <w:rPr>
          <w:sz w:val="72"/>
          <w:szCs w:val="72"/>
        </w:rPr>
      </w:pPr>
      <w:r>
        <w:rPr>
          <w:rFonts w:hint="eastAsia" w:ascii="宋体" w:hAnsi="宋体" w:eastAsia="宋体" w:cs="黑体"/>
          <w:color w:val="000000"/>
          <w:kern w:val="0"/>
          <w:sz w:val="32"/>
          <w:szCs w:val="32"/>
          <w:lang w:val="en-US" w:eastAsia="zh-CN" w:bidi="ar-SA"/>
        </w:rPr>
        <w:br w:type="page"/>
      </w: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YTQ0ZWUxZjI3OWE1NjExNGE2Y2ZjYjNiMWNmMzk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42F28"/>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8750CA"/>
    <w:rsid w:val="026229EB"/>
    <w:rsid w:val="04425CF9"/>
    <w:rsid w:val="08434D5B"/>
    <w:rsid w:val="0CD93263"/>
    <w:rsid w:val="15AE61C6"/>
    <w:rsid w:val="17077C1D"/>
    <w:rsid w:val="17652B7D"/>
    <w:rsid w:val="1BB960B0"/>
    <w:rsid w:val="1C200EAE"/>
    <w:rsid w:val="1DD91CA6"/>
    <w:rsid w:val="1ED57422"/>
    <w:rsid w:val="20E87E26"/>
    <w:rsid w:val="216D3F7A"/>
    <w:rsid w:val="22D16A5E"/>
    <w:rsid w:val="2441785F"/>
    <w:rsid w:val="259E2C1C"/>
    <w:rsid w:val="262242A9"/>
    <w:rsid w:val="2C4924E0"/>
    <w:rsid w:val="2F1108D1"/>
    <w:rsid w:val="2FFF5DCE"/>
    <w:rsid w:val="314B49A0"/>
    <w:rsid w:val="34785D9A"/>
    <w:rsid w:val="35B33C82"/>
    <w:rsid w:val="39EE487A"/>
    <w:rsid w:val="3DDD2818"/>
    <w:rsid w:val="42B4772B"/>
    <w:rsid w:val="42FB18B9"/>
    <w:rsid w:val="44DC3315"/>
    <w:rsid w:val="4C850C43"/>
    <w:rsid w:val="53FE2CA7"/>
    <w:rsid w:val="567B53E9"/>
    <w:rsid w:val="572C3772"/>
    <w:rsid w:val="5ACC5128"/>
    <w:rsid w:val="5BE13DA3"/>
    <w:rsid w:val="5CE40B61"/>
    <w:rsid w:val="604411CC"/>
    <w:rsid w:val="645F74A2"/>
    <w:rsid w:val="65754FEF"/>
    <w:rsid w:val="67916706"/>
    <w:rsid w:val="6CC83B51"/>
    <w:rsid w:val="6FE74857"/>
    <w:rsid w:val="71ED0493"/>
    <w:rsid w:val="72181794"/>
    <w:rsid w:val="736C646F"/>
    <w:rsid w:val="75C37EE2"/>
    <w:rsid w:val="7A7B3B55"/>
    <w:rsid w:val="7DF75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3301</Words>
  <Characters>3621</Characters>
  <Lines>62</Lines>
  <Paragraphs>17</Paragraphs>
  <TotalTime>4</TotalTime>
  <ScaleCrop>false</ScaleCrop>
  <LinksUpToDate>false</LinksUpToDate>
  <CharactersWithSpaces>3635</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2022-08-30T07:58:13Z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D26E3E3E87A4413FB221DA1AE63B23E1</vt:lpwstr>
  </property>
</Properties>
</file>