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铁山水资源保护中心2020年绩效评价自评报告</w:t>
      </w:r>
    </w:p>
    <w:p>
      <w:pPr>
        <w:rPr>
          <w:rFonts w:hint="eastAsia"/>
        </w:rPr>
      </w:pPr>
    </w:p>
    <w:p>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岳阳县2020年度部门（单位）整体支出</w:t>
      </w:r>
    </w:p>
    <w:p>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绩效评价自评报告</w:t>
      </w:r>
    </w:p>
    <w:p>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部门(单位)名称  岳阳县铁山水资源保护中心</w:t>
      </w:r>
    </w:p>
    <w:p>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预算编码      094016</w:t>
      </w:r>
    </w:p>
    <w:p>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评价方式：部门（单位）绩效自评</w:t>
      </w:r>
    </w:p>
    <w:p>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评价机构：部门（单位）评价组</w:t>
      </w:r>
    </w:p>
    <w:p>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报告日期：  2021年6月11日</w:t>
      </w:r>
    </w:p>
    <w:p>
      <w:pPr>
        <w:widowControl/>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岳阳县铁山水资源保护中心</w:t>
      </w:r>
    </w:p>
    <w:tbl>
      <w:tblPr>
        <w:tblStyle w:val="4"/>
        <w:tblW w:w="2160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56"/>
        <w:gridCol w:w="856"/>
        <w:gridCol w:w="430"/>
        <w:gridCol w:w="306"/>
        <w:gridCol w:w="329"/>
        <w:gridCol w:w="198"/>
        <w:gridCol w:w="329"/>
        <w:gridCol w:w="105"/>
        <w:gridCol w:w="333"/>
        <w:gridCol w:w="147"/>
        <w:gridCol w:w="256"/>
        <w:gridCol w:w="379"/>
        <w:gridCol w:w="477"/>
        <w:gridCol w:w="7874"/>
        <w:gridCol w:w="962"/>
        <w:gridCol w:w="66"/>
        <w:gridCol w:w="6831"/>
        <w:gridCol w:w="800"/>
        <w:gridCol w:w="6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13845" w:type="dxa"/>
            <w:gridSpan w:val="1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一、部门（单位）基本概况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联系人</w:t>
            </w:r>
          </w:p>
        </w:tc>
        <w:tc>
          <w:tcPr>
            <w:tcW w:w="133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刘芳琴</w:t>
            </w:r>
          </w:p>
        </w:tc>
        <w:tc>
          <w:tcPr>
            <w:tcW w:w="109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联络电话</w:t>
            </w: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7665292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人员编制</w:t>
            </w:r>
          </w:p>
        </w:tc>
        <w:tc>
          <w:tcPr>
            <w:tcW w:w="133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44</w:t>
            </w:r>
          </w:p>
        </w:tc>
        <w:tc>
          <w:tcPr>
            <w:tcW w:w="109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实有人数</w:t>
            </w: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职能职责概述</w:t>
            </w:r>
          </w:p>
        </w:tc>
        <w:tc>
          <w:tcPr>
            <w:tcW w:w="13275" w:type="dxa"/>
            <w:gridSpan w:val="1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1.负责贯彻执行铁山水资源保护方面的政策、法规，依法组织起草铁山水资源</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保护方面的规范性文件，拟订库区水资源保护工作中长期规划和年度计划，经批准后组织实施。</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2.负责库区“两保”工作，即保护铁山水资源，保障库区民生。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年度主要工作内容</w:t>
            </w:r>
          </w:p>
        </w:tc>
        <w:tc>
          <w:tcPr>
            <w:tcW w:w="13275" w:type="dxa"/>
            <w:gridSpan w:val="1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1.负责毛田、月田和公田三个乡镇保护范围内的水政、环保、国土、规划、农</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业、林政、控建拆违等执法任务；</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2.落实居民集中安置点建设与奖励、后靠建房补助、特困户危房改造补助、铁</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山库区特困户救助和大病医疗救助等库区民生保障工作；</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3.建设集镇和散户型居民生活污水处理设施、公共墓地、垃圾压缩中转站并关</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退畜禽规模养殖业和污染企业等，保护饮用水源。</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年度部门（单位）总体运行情况及取得的成绩</w:t>
            </w:r>
          </w:p>
        </w:tc>
        <w:tc>
          <w:tcPr>
            <w:tcW w:w="13275" w:type="dxa"/>
            <w:gridSpan w:val="1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（一）民生保障落到实处</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集雨区生态公益林补偿、大病医疗救助涉及整个铁山库区，受惠群众多；对一二级保护区内因病因灾致贫返贫的特困户予以救助送去了党和政府的关怀；易地建房和一二级保护区内特困危房改造补助缓解了库区群众的建房压力；市、县领导扶贫点全部集中在库区村，实行定点扶贫、精准扶贫，将库区作为脱贫攻坚的主战场，启动了毛田镇南庙、立坪、小港、湾丘易地搬迁扶贫计划。系列惠民政策在库区落地生根，让库区群众深切地感受到，他曾经为修建铁山水库而移居山旮旯里，今天又为铁山水源保护作出了贡献，党和政府始终没有忘记他们。</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（二）水源保护达到实效</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库区从严治污，严格控制库区人口非自然增长，库区人口“只出不进”；严格控制乡镇集体建设用地，禁止违法建房，规范村民建房，科学规划居民安置点；严格控制一切工业项目，强力禁采、禁挖；严格控制一级、二级保护区和准保护区内的生活、农业和工业污染，一次性退出现有规模养殖场。通过先进技术与科学设备及时处理集镇居民生活污水、及时处理散户型居民生活污水、及时拦截入库河口生活垃圾及漂流物。基本构建了“控制”与“处理”相结合、多措并举的污染防治模式。最近市县对铁山水库水源入口水质监测显示：铁山水库水域中心、大坝上游50m处所测各项指标均符合《地表水环境质量标准》Ⅱ类水质标准,水质级别为优。</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13845" w:type="dxa"/>
            <w:gridSpan w:val="1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二、部门（单位）收支情况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13845" w:type="dxa"/>
            <w:gridSpan w:val="1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年度收入情况（万元）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机构名称</w:t>
            </w:r>
          </w:p>
        </w:tc>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收入合计</w:t>
            </w:r>
          </w:p>
        </w:tc>
        <w:tc>
          <w:tcPr>
            <w:tcW w:w="12705" w:type="dxa"/>
            <w:gridSpan w:val="1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其中：</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上年结转</w:t>
            </w:r>
          </w:p>
        </w:tc>
        <w:tc>
          <w:tcPr>
            <w:tcW w:w="36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公共财政拨款</w:t>
            </w:r>
          </w:p>
        </w:tc>
        <w:tc>
          <w:tcPr>
            <w:tcW w:w="33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政府基金拨款</w:t>
            </w:r>
          </w:p>
        </w:tc>
        <w:tc>
          <w:tcPr>
            <w:tcW w:w="70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纳入专户管理的非税收入拨款</w:t>
            </w: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其他收入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局机关及二级机构汇总</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3558.42</w:t>
            </w: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4.64</w:t>
            </w:r>
          </w:p>
        </w:tc>
        <w:tc>
          <w:tcPr>
            <w:tcW w:w="36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3553.78</w:t>
            </w:r>
          </w:p>
        </w:tc>
        <w:tc>
          <w:tcPr>
            <w:tcW w:w="33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70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1、局机关</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3558.42</w:t>
            </w: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4.64</w:t>
            </w:r>
          </w:p>
        </w:tc>
        <w:tc>
          <w:tcPr>
            <w:tcW w:w="36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3553.78</w:t>
            </w:r>
          </w:p>
        </w:tc>
        <w:tc>
          <w:tcPr>
            <w:tcW w:w="33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70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2、二级机构</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6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3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70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13845" w:type="dxa"/>
            <w:gridSpan w:val="1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机构名称</w:t>
            </w:r>
          </w:p>
        </w:tc>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支出合计</w:t>
            </w:r>
          </w:p>
        </w:tc>
        <w:tc>
          <w:tcPr>
            <w:tcW w:w="1920" w:type="dxa"/>
            <w:gridSpan w:val="11"/>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其中：</w:t>
            </w:r>
          </w:p>
        </w:tc>
        <w:tc>
          <w:tcPr>
            <w:tcW w:w="10725"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结余</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345" w:type="dxa"/>
            <w:gridSpan w:val="2"/>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基本支出</w:t>
            </w:r>
          </w:p>
        </w:tc>
        <w:tc>
          <w:tcPr>
            <w:tcW w:w="1035" w:type="dxa"/>
            <w:gridSpan w:val="7"/>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其中：</w:t>
            </w:r>
          </w:p>
        </w:tc>
        <w:tc>
          <w:tcPr>
            <w:tcW w:w="420" w:type="dxa"/>
            <w:gridSpan w:val="2"/>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项目支出</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52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人员支出</w:t>
            </w:r>
          </w:p>
        </w:tc>
        <w:tc>
          <w:tcPr>
            <w:tcW w:w="45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公用支出</w:t>
            </w: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局机关及二级机构汇总</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2436.11</w:t>
            </w: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704.82</w:t>
            </w:r>
          </w:p>
        </w:tc>
        <w:tc>
          <w:tcPr>
            <w:tcW w:w="52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382.26</w:t>
            </w:r>
          </w:p>
        </w:tc>
        <w:tc>
          <w:tcPr>
            <w:tcW w:w="45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322.55</w:t>
            </w:r>
          </w:p>
        </w:tc>
        <w:tc>
          <w:tcPr>
            <w:tcW w:w="42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1731.29</w:t>
            </w: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1122.3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1、局机关</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2436.11</w:t>
            </w: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704.82</w:t>
            </w:r>
          </w:p>
        </w:tc>
        <w:tc>
          <w:tcPr>
            <w:tcW w:w="52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382.26</w:t>
            </w:r>
          </w:p>
        </w:tc>
        <w:tc>
          <w:tcPr>
            <w:tcW w:w="45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322.55</w:t>
            </w:r>
          </w:p>
        </w:tc>
        <w:tc>
          <w:tcPr>
            <w:tcW w:w="42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1731.29</w:t>
            </w: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1122.3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2、二级机构</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52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45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42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机构名称</w:t>
            </w:r>
          </w:p>
        </w:tc>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三公经费</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合计</w:t>
            </w:r>
          </w:p>
        </w:tc>
        <w:tc>
          <w:tcPr>
            <w:tcW w:w="12705" w:type="dxa"/>
            <w:gridSpan w:val="1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其中：</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公务接待费</w:t>
            </w:r>
          </w:p>
        </w:tc>
        <w:tc>
          <w:tcPr>
            <w:tcW w:w="52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公务用车运维费</w:t>
            </w:r>
          </w:p>
        </w:tc>
        <w:tc>
          <w:tcPr>
            <w:tcW w:w="45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公务用车购置费</w:t>
            </w:r>
          </w:p>
        </w:tc>
        <w:tc>
          <w:tcPr>
            <w:tcW w:w="42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因公出国费</w:t>
            </w: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会议费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局机关及二级机构汇总</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44.88</w:t>
            </w: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2.62</w:t>
            </w:r>
          </w:p>
        </w:tc>
        <w:tc>
          <w:tcPr>
            <w:tcW w:w="52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42.26</w:t>
            </w:r>
          </w:p>
        </w:tc>
        <w:tc>
          <w:tcPr>
            <w:tcW w:w="45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42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1、局机关</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44.88</w:t>
            </w: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2.62</w:t>
            </w:r>
          </w:p>
        </w:tc>
        <w:tc>
          <w:tcPr>
            <w:tcW w:w="52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42.26</w:t>
            </w:r>
          </w:p>
        </w:tc>
        <w:tc>
          <w:tcPr>
            <w:tcW w:w="45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42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2、二级机构</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52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45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42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机构名称</w:t>
            </w:r>
          </w:p>
        </w:tc>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固定资产</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合计</w:t>
            </w:r>
          </w:p>
        </w:tc>
        <w:tc>
          <w:tcPr>
            <w:tcW w:w="1920" w:type="dxa"/>
            <w:gridSpan w:val="11"/>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其中：</w:t>
            </w:r>
          </w:p>
        </w:tc>
        <w:tc>
          <w:tcPr>
            <w:tcW w:w="10725"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其他</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930"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在用固定资产</w:t>
            </w:r>
          </w:p>
        </w:tc>
        <w:tc>
          <w:tcPr>
            <w:tcW w:w="93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出租固定资产</w:t>
            </w:r>
          </w:p>
        </w:tc>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局机关及二级机构汇总</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360.5</w:t>
            </w:r>
          </w:p>
        </w:tc>
        <w:tc>
          <w:tcPr>
            <w:tcW w:w="930"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360.5</w:t>
            </w:r>
          </w:p>
        </w:tc>
        <w:tc>
          <w:tcPr>
            <w:tcW w:w="93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1、局机关</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360.5</w:t>
            </w:r>
          </w:p>
        </w:tc>
        <w:tc>
          <w:tcPr>
            <w:tcW w:w="930"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360.5</w:t>
            </w:r>
          </w:p>
        </w:tc>
        <w:tc>
          <w:tcPr>
            <w:tcW w:w="93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2、二级机构</w:t>
            </w: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930"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93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72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13845" w:type="dxa"/>
            <w:gridSpan w:val="1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整体支出绩效定性目标及实施计划完成情况</w:t>
            </w:r>
          </w:p>
        </w:tc>
        <w:tc>
          <w:tcPr>
            <w:tcW w:w="120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预期目标</w:t>
            </w:r>
          </w:p>
        </w:tc>
        <w:tc>
          <w:tcPr>
            <w:tcW w:w="12015" w:type="dxa"/>
            <w:gridSpan w:val="8"/>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实际完成</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120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目标1：全面开展铁山库区“两保”工作，即保护铁山水资源，保障库区民生。</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目标2：确保单位整体支出预算资金全额用于单位正常支出和专项工作支出，三公经费不突破限额并逐年有所降低。</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目标3：严格按照相关规定进行机关财务管理，确保机关正常运行、工作正常开展。</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目标4：确保社会效益、经济效益、生态效益、可持续影响以及社会公众满意度达到预期目标。</w:t>
            </w:r>
          </w:p>
        </w:tc>
        <w:tc>
          <w:tcPr>
            <w:tcW w:w="12015" w:type="dxa"/>
            <w:gridSpan w:val="8"/>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大力完成库区污水处理建设；顺利完成办公场地改造工程；加大投入垃圾焚烧及填埋建设；稳步推行公共墓地建设；积极突破污染企业关停工作；强力推进居民安置点建设；不断完善库区特困救助、大病救助、后靠建房补助、特困建房补助等民生保障工作。</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2、严控资金，合理使用，机关内部财务管理规范。确保了机关正常运行、工作正常开展。机关事务的三公经费相比上年有所下降。</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3、机关整体运行良好，包括两个大队日常工作开展顺利。</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4、工作扎实，群众受益，产生了良好的社会效益和经济效益。铁山水质得到了明显提升，库区群众得到了明显实惠。</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510" w:type="dxa"/>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整体支出</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绩效定量目标及实施计划完成情况</w:t>
            </w:r>
          </w:p>
        </w:tc>
        <w:tc>
          <w:tcPr>
            <w:tcW w:w="1095" w:type="dxa"/>
            <w:gridSpan w:val="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评价内容</w:t>
            </w: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绩效内容</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绩效</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目标值</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完成情况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2"/>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产出目标</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（部门工作实绩，即绩效办制定的单位年度考核计分办法中考核的部门工作实绩内容）</w:t>
            </w:r>
          </w:p>
        </w:tc>
        <w:tc>
          <w:tcPr>
            <w:tcW w:w="345" w:type="dxa"/>
            <w:gridSpan w:val="2"/>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质量指标</w:t>
            </w: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bottom"/>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三公经费控制率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政府采购执行率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固定资产利用率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专项资金利用率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库区群众上访率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零上访</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无上访</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345" w:type="dxa"/>
            <w:gridSpan w:val="2"/>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数量指标</w:t>
            </w: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财政供养人员控制率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“三公经费”变动率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≤0</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限额控制数内</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一、二级保护区污水处理设施普及率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40%</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40%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库区乡镇垃圾压缩中转站建设</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3个</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已全面建设完成</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一、二级特困救助</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1000户</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基本涵盖各核心村</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后靠建房及特困建房补助</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100户</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基本按照条件补助到位</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库区大病救助</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200户</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广泛覆盖库区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345" w:type="dxa"/>
            <w:gridSpan w:val="2"/>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时效指标</w:t>
            </w: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专项资金到位率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95%以上</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全额到位</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公共墓地建设</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年底前完成</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全面完成</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居民集中安置点</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年底前完成</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全面完成</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财政支出绩效目标</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309.5</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办公场地改造后办公用品全面采购</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成本指标</w:t>
            </w: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控建拆违工作强硬有力，建房规划审批日趋完善</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库区群众规划意识明显增强</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效益明显</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690" w:type="dxa"/>
            <w:gridSpan w:val="2"/>
            <w:vMerge w:val="restart"/>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效益目标</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（预期实现的效益）</w:t>
            </w: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社会效益</w:t>
            </w: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污染企业关停之畜禽退养完成全面摸底并启动补贴程序</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效益明显</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全面退养后铁山水库水质得到明显提升</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环保效益</w:t>
            </w: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社会公众满意度</w:t>
            </w: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95%以上</w:t>
            </w: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95%以上</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eastAsia="宋体" w:cs="宋体"/>
                <w:kern w:val="0"/>
                <w:sz w:val="24"/>
                <w:szCs w:val="24"/>
              </w:rPr>
            </w:pPr>
          </w:p>
        </w:tc>
        <w:tc>
          <w:tcPr>
            <w:tcW w:w="34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社会公众或服务对象满意度</w:t>
            </w:r>
          </w:p>
        </w:tc>
        <w:tc>
          <w:tcPr>
            <w:tcW w:w="690" w:type="dxa"/>
            <w:gridSpan w:val="5"/>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36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0950"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126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绩效自评综合得分</w:t>
            </w:r>
          </w:p>
        </w:tc>
        <w:tc>
          <w:tcPr>
            <w:tcW w:w="12525" w:type="dxa"/>
            <w:gridSpan w:val="11"/>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95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gridAfter w:val="5"/>
          <w:wAfter w:w="11949" w:type="dxa"/>
        </w:trPr>
        <w:tc>
          <w:tcPr>
            <w:tcW w:w="1260" w:type="dxa"/>
            <w:gridSpan w:val="3"/>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评价等次</w:t>
            </w:r>
          </w:p>
        </w:tc>
        <w:tc>
          <w:tcPr>
            <w:tcW w:w="12525" w:type="dxa"/>
            <w:gridSpan w:val="11"/>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优秀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845" w:type="dxa"/>
            <w:gridSpan w:val="1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四、评价人员</w:t>
            </w:r>
          </w:p>
        </w:tc>
        <w:tc>
          <w:tcPr>
            <w:tcW w:w="114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7275" w:type="dxa"/>
            <w:gridSpan w:val="2"/>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签  字</w:t>
            </w:r>
          </w:p>
        </w:tc>
        <w:tc>
          <w:tcPr>
            <w:tcW w:w="115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1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姓  名</w:t>
            </w:r>
          </w:p>
        </w:tc>
        <w:tc>
          <w:tcPr>
            <w:tcW w:w="136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职务/职称</w:t>
            </w:r>
          </w:p>
        </w:tc>
        <w:tc>
          <w:tcPr>
            <w:tcW w:w="112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单  位</w:t>
            </w:r>
          </w:p>
        </w:tc>
        <w:tc>
          <w:tcPr>
            <w:tcW w:w="1075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付红宾</w:t>
            </w:r>
          </w:p>
        </w:tc>
        <w:tc>
          <w:tcPr>
            <w:tcW w:w="136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主任</w:t>
            </w:r>
          </w:p>
        </w:tc>
        <w:tc>
          <w:tcPr>
            <w:tcW w:w="112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本单位</w:t>
            </w:r>
          </w:p>
        </w:tc>
        <w:tc>
          <w:tcPr>
            <w:tcW w:w="1075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杨拥军</w:t>
            </w:r>
          </w:p>
        </w:tc>
        <w:tc>
          <w:tcPr>
            <w:tcW w:w="136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副主任</w:t>
            </w:r>
          </w:p>
        </w:tc>
        <w:tc>
          <w:tcPr>
            <w:tcW w:w="112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本单位</w:t>
            </w:r>
          </w:p>
        </w:tc>
        <w:tc>
          <w:tcPr>
            <w:tcW w:w="1075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刘芳琴</w:t>
            </w:r>
          </w:p>
        </w:tc>
        <w:tc>
          <w:tcPr>
            <w:tcW w:w="136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会计</w:t>
            </w:r>
          </w:p>
        </w:tc>
        <w:tc>
          <w:tcPr>
            <w:tcW w:w="112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本单位</w:t>
            </w:r>
          </w:p>
        </w:tc>
        <w:tc>
          <w:tcPr>
            <w:tcW w:w="1075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何东凯</w:t>
            </w:r>
          </w:p>
        </w:tc>
        <w:tc>
          <w:tcPr>
            <w:tcW w:w="136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办公室主任</w:t>
            </w:r>
          </w:p>
        </w:tc>
        <w:tc>
          <w:tcPr>
            <w:tcW w:w="1125" w:type="dxa"/>
            <w:gridSpan w:val="6"/>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本单位</w:t>
            </w:r>
          </w:p>
        </w:tc>
        <w:tc>
          <w:tcPr>
            <w:tcW w:w="1075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jc w:val="left"/>
              <w:rPr>
                <w:rFonts w:ascii="宋体" w:hAnsi="宋体" w:eastAsia="宋体" w:cs="宋体"/>
                <w:kern w:val="0"/>
                <w:sz w:val="24"/>
                <w:szCs w:val="24"/>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935" w:type="dxa"/>
            <w:gridSpan w:val="1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评价组组长（签字）：</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年    月    日</w:t>
            </w: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3935" w:type="dxa"/>
            <w:gridSpan w:val="14"/>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r>
              <w:rPr>
                <w:rFonts w:ascii="宋体" w:hAnsi="宋体" w:eastAsia="宋体" w:cs="宋体"/>
                <w:kern w:val="0"/>
                <w:sz w:val="24"/>
                <w:szCs w:val="24"/>
              </w:rPr>
              <w:t>部门（单位）意见：</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部门（单位）负责人（签字）：</w:t>
            </w:r>
          </w:p>
          <w:p>
            <w:pPr>
              <w:widowControl/>
              <w:spacing w:line="480" w:lineRule="auto"/>
              <w:rPr>
                <w:rFonts w:ascii="宋体" w:hAnsi="宋体" w:eastAsia="宋体" w:cs="宋体"/>
                <w:kern w:val="0"/>
                <w:sz w:val="24"/>
                <w:szCs w:val="24"/>
              </w:rPr>
            </w:pPr>
            <w:r>
              <w:rPr>
                <w:rFonts w:ascii="宋体" w:hAnsi="宋体" w:eastAsia="宋体" w:cs="宋体"/>
                <w:kern w:val="0"/>
                <w:sz w:val="24"/>
                <w:szCs w:val="24"/>
              </w:rPr>
              <w:t>年    月    日</w:t>
            </w:r>
          </w:p>
        </w:tc>
        <w:tc>
          <w:tcPr>
            <w:tcW w:w="0" w:type="auto"/>
            <w:vAlign w:val="center"/>
          </w:tcPr>
          <w:p>
            <w:pPr>
              <w:widowControl/>
              <w:spacing w:line="480" w:lineRule="auto"/>
              <w:rPr>
                <w:rFonts w:ascii="宋体" w:hAnsi="宋体" w:eastAsia="宋体" w:cs="宋体"/>
                <w:kern w:val="0"/>
                <w:sz w:val="24"/>
                <w:szCs w:val="24"/>
              </w:rPr>
            </w:pPr>
          </w:p>
        </w:tc>
        <w:tc>
          <w:tcPr>
            <w:tcW w:w="0" w:type="auto"/>
            <w:vAlign w:val="center"/>
          </w:tcPr>
          <w:p>
            <w:pPr>
              <w:widowControl/>
              <w:spacing w:line="480" w:lineRule="auto"/>
              <w:rPr>
                <w:rFonts w:ascii="宋体" w:hAnsi="宋体" w:eastAsia="宋体" w:cs="宋体"/>
                <w:kern w:val="0"/>
                <w:sz w:val="24"/>
                <w:szCs w:val="24"/>
              </w:rPr>
            </w:pPr>
          </w:p>
        </w:tc>
        <w:tc>
          <w:tcPr>
            <w:tcW w:w="0" w:type="auto"/>
            <w:vAlign w:val="center"/>
          </w:tcPr>
          <w:p>
            <w:pPr>
              <w:widowControl/>
              <w:spacing w:line="480" w:lineRule="auto"/>
              <w:rPr>
                <w:rFonts w:ascii="宋体" w:hAnsi="宋体" w:eastAsia="宋体" w:cs="宋体"/>
                <w:kern w:val="0"/>
                <w:sz w:val="24"/>
                <w:szCs w:val="24"/>
              </w:rPr>
            </w:pPr>
          </w:p>
        </w:tc>
        <w:tc>
          <w:tcPr>
            <w:tcW w:w="0" w:type="auto"/>
            <w:vAlign w:val="center"/>
          </w:tcPr>
          <w:p>
            <w:pPr>
              <w:widowControl/>
              <w:spacing w:line="480" w:lineRule="auto"/>
              <w:rPr>
                <w:rFonts w:ascii="宋体" w:hAnsi="宋体" w:eastAsia="宋体" w:cs="宋体"/>
                <w:kern w:val="0"/>
                <w:sz w:val="24"/>
                <w:szCs w:val="24"/>
              </w:rPr>
            </w:pPr>
          </w:p>
        </w:tc>
        <w:tc>
          <w:tcPr>
            <w:tcW w:w="0" w:type="auto"/>
            <w:vAlign w:val="center"/>
          </w:tcPr>
          <w:p>
            <w:pPr>
              <w:widowControl/>
              <w:spacing w:line="480" w:lineRule="auto"/>
              <w:rPr>
                <w:rFonts w:ascii="宋体" w:hAnsi="宋体" w:eastAsia="宋体" w:cs="宋体"/>
                <w:kern w:val="0"/>
                <w:sz w:val="24"/>
                <w:szCs w:val="24"/>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5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18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19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16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4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6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10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2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7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10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24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21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1077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139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15"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9750" w:type="dxa"/>
            <w:tcBorders>
              <w:top w:val="outset" w:color="000000" w:sz="6" w:space="0"/>
              <w:left w:val="outset" w:color="000000" w:sz="6" w:space="0"/>
              <w:bottom w:val="outset" w:color="000000" w:sz="6" w:space="0"/>
              <w:right w:val="outset" w:color="000000" w:sz="6" w:space="0"/>
            </w:tcBorders>
            <w:tcMar>
              <w:top w:w="0" w:type="dxa"/>
              <w:left w:w="0" w:type="dxa"/>
              <w:bottom w:w="0" w:type="dxa"/>
              <w:right w:w="0" w:type="dxa"/>
            </w:tcMar>
            <w:vAlign w:val="center"/>
          </w:tcPr>
          <w:p>
            <w:pPr>
              <w:widowControl/>
              <w:spacing w:line="480" w:lineRule="auto"/>
              <w:rPr>
                <w:rFonts w:ascii="宋体" w:hAnsi="宋体" w:eastAsia="宋体" w:cs="宋体"/>
                <w:kern w:val="0"/>
                <w:sz w:val="24"/>
                <w:szCs w:val="24"/>
              </w:rPr>
            </w:pPr>
          </w:p>
        </w:tc>
        <w:tc>
          <w:tcPr>
            <w:tcW w:w="0" w:type="auto"/>
            <w:vAlign w:val="center"/>
          </w:tcPr>
          <w:p>
            <w:pPr>
              <w:widowControl/>
              <w:spacing w:line="480" w:lineRule="auto"/>
              <w:rPr>
                <w:rFonts w:ascii="宋体" w:hAnsi="宋体" w:eastAsia="宋体" w:cs="宋体"/>
                <w:kern w:val="0"/>
                <w:sz w:val="24"/>
                <w:szCs w:val="24"/>
              </w:rPr>
            </w:pPr>
          </w:p>
        </w:tc>
        <w:tc>
          <w:tcPr>
            <w:tcW w:w="0" w:type="auto"/>
            <w:vAlign w:val="center"/>
          </w:tcPr>
          <w:p>
            <w:pPr>
              <w:widowControl/>
              <w:spacing w:line="480" w:lineRule="auto"/>
              <w:rPr>
                <w:rFonts w:ascii="宋体" w:hAnsi="宋体" w:eastAsia="宋体" w:cs="宋体"/>
                <w:kern w:val="0"/>
                <w:sz w:val="24"/>
                <w:szCs w:val="24"/>
              </w:rPr>
            </w:pPr>
          </w:p>
        </w:tc>
      </w:tr>
    </w:tbl>
    <w:p>
      <w:pPr>
        <w:widowControl/>
        <w:spacing w:line="48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填报人（签名）：</w:t>
      </w:r>
      <w:r>
        <w:rPr>
          <w:rFonts w:hint="eastAsia" w:ascii="宋体" w:hAnsi="宋体" w:eastAsia="宋体" w:cs="宋体"/>
          <w:kern w:val="0"/>
          <w:sz w:val="24"/>
          <w:szCs w:val="24"/>
          <w:lang w:val="en-US" w:eastAsia="zh-CN"/>
        </w:rPr>
        <w:t>刘芳琴</w:t>
      </w:r>
      <w:r>
        <w:rPr>
          <w:rFonts w:hint="eastAsia" w:ascii="宋体" w:hAnsi="宋体" w:eastAsia="宋体" w:cs="宋体"/>
          <w:kern w:val="0"/>
          <w:sz w:val="24"/>
          <w:szCs w:val="24"/>
        </w:rPr>
        <w:t>          联系电话：</w:t>
      </w:r>
      <w:r>
        <w:rPr>
          <w:rFonts w:hint="eastAsia" w:ascii="宋体" w:hAnsi="宋体" w:eastAsia="宋体" w:cs="宋体"/>
          <w:kern w:val="0"/>
          <w:sz w:val="24"/>
          <w:szCs w:val="24"/>
          <w:lang w:val="en-US" w:eastAsia="zh-CN"/>
        </w:rPr>
        <w:t>13974011219</w:t>
      </w:r>
      <w:bookmarkStart w:id="0" w:name="_GoBack"/>
      <w:bookmarkEnd w:id="0"/>
    </w:p>
    <w:p>
      <w:pPr>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县铁山水资源保护中心整体支出绩效自评报告</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黑体" w:hAnsi="黑体" w:eastAsia="黑体" w:cs="黑体"/>
          <w:kern w:val="0"/>
          <w:sz w:val="24"/>
          <w:szCs w:val="24"/>
        </w:rPr>
      </w:pPr>
      <w:r>
        <w:rPr>
          <w:rFonts w:hint="eastAsia" w:ascii="黑体" w:hAnsi="黑体" w:eastAsia="黑体" w:cs="黑体"/>
          <w:kern w:val="0"/>
          <w:sz w:val="24"/>
          <w:szCs w:val="24"/>
        </w:rPr>
        <w:t>一、单位概况</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（一）单位基本情况</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1.主要职能</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负责贯彻执行铁山水资源保护方面的政策、法规，依法组织起草铁山水资源保护方面的规范性文件，拟订库区水资源保护工作中长期规划和年度计划，经批准后组织实施；负责库区“两保”工作，即保护铁山水资源，保障库区民生。</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2.机构设置</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机关内设7个股室，下属两个二级机构，分别为：办公室、水资源保护股、民生保障股、规划建设股、计划财务股、政工人事股、纪检监察室、毛田执法大队和月田执法大队。</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3.人员情况</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我中心应有编制数44个（其中三性用工人员编制8个），实际在职工作人员40人，无离退休人员，配置执法车3台、执法船1条，垃圾压缩车18台。</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4.2020年工作计划</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2020年是全面建成小康社会的关键之年，我们要紧紧抓住并用好这一重要战略机遇期，继续秉承“强基础，讲公心，严管理，正风纪，促两保，创双优”，集中力量开展“六控一治”，推进主题教育深入开展，全面建设惠及铁山库区的更高水平的小康社会。</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一是常态化深入开展主题教育。</w:t>
      </w:r>
      <w:r>
        <w:rPr>
          <w:rFonts w:hint="eastAsia" w:ascii="宋体" w:hAnsi="宋体" w:eastAsia="宋体" w:cs="宋体"/>
          <w:kern w:val="0"/>
          <w:sz w:val="24"/>
          <w:szCs w:val="24"/>
        </w:rPr>
        <w:t>坚持讲政治。开展主题教育，要把讲政治摆在首位，强化政治引领，加强政治能力锻炼，增强政治定力，切实把“旗帜鲜明讲政治”落实到一言一行中。坚持新思想。深入学习贯彻习近平新时代中国特色社会主义思想，坚持思想建党、理论强党，坚持用习近平新时代中国特色社会主义思想武装全党，抓好集中教育和经常性教育，深刻把握其精髓要义。坚持强宗旨。继续教育引导广大党员干部自觉践行党的根本宗旨，把群众观点、群众路线深深植根于思想中、具体落实到行动上。</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二是勠力同心打好脱贫攻坚战。</w:t>
      </w:r>
      <w:r>
        <w:rPr>
          <w:rFonts w:hint="eastAsia" w:ascii="宋体" w:hAnsi="宋体" w:eastAsia="宋体" w:cs="宋体"/>
          <w:kern w:val="0"/>
          <w:sz w:val="24"/>
          <w:szCs w:val="24"/>
        </w:rPr>
        <w:t>为深入贯彻落实省、市、县关于打赢脱贫攻坚战的指示精神，我中心立足帮扶点芭蕉村的禀赋和发展基础，认真谋划2020年打赢脱贫攻坚战工作思路。进一步明确脱贫攻坚工作目标。在省、市、县的统一部署下，大力发展芭蕉村的相关产业，带动贫困户增加收入；加大对芭蕉村的帮扶力度和就业培训，积极保障贫困人员就业增收稳定。进一步明确扶贫工作重点。加快制订库区产业规划，推进绿色无污染的扶贫产业的建设，大力发展林下经济，大力发展特色产业，大力发展乡村旅游等方面作为扶贫工作重点，积极抓好产业扶贫、合作社建设、就业创业、资源整合、驻村管理等工作，积极推进乡村人居环境建设，确保如期实现脱贫摘帽。进一步压实责任分解工作任务。全面落实扶贫的责任，进一步细化扶贫的办法和措施，认真解决好“需什么就扶什么”“缺什么就扶什么”“什么管用就怎么扶”的问题。紧紧围绕发展产业帮扶脱贫一批、培训就业脱贫一批、生态保护和补偿脱贫一批，制订并细化扶贫方案。</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三是狠抓“两保”工作。</w:t>
      </w:r>
      <w:r>
        <w:rPr>
          <w:rFonts w:hint="eastAsia" w:ascii="宋体" w:hAnsi="宋体" w:eastAsia="宋体" w:cs="宋体"/>
          <w:kern w:val="0"/>
          <w:sz w:val="24"/>
          <w:szCs w:val="24"/>
        </w:rPr>
        <w:t>认真落实“六控一治”。“控”是指“控迁、控建、控伐、控采、控工、控养”，“一治”是指“污染治理”。 控迁：严格控制,只出不进；控建：常态巡查，鼓励后靠；控伐：严禁开垦，退耕还林；控采：联合执法，专项整理；控工：依据方案，有序关停；控养：严格把关，稳步推进；污染治理：加大力度，加快建设。计划落实建设集中安置点2个，公墓山2处，散户型污水处理设施1000套，确保月田、毛田污水处理厂和库区10个垃圾中转站正常运营。</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（二）单位整体支出规模、使用方向和主要内容、涉及范围</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我中心属财政全额拨款的一类公益类事业单位，二级机构财务单立，未纳入机关财务一并进行核算，机关财务执行事业单位会计制度，单位机关运行来源全额由财政预算拨款，专项资金由市县两级财政预算。</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2020年，单位整体收入共计3558.42万元，其中上年结余4.64万元、公共财政拨款3553.78万元。单位整体支出共计2436.11万元，主要用以单位基本支出704.82万元和专项工作支出1731.29万元，其中：基本支出包括人员支出和公用支出，专项工作支出主要用于污水处理建设、办公场地改造、垃圾焚烧填埋、1-2级特困救助、居民集中安置点建设、后靠建房补助、特困建房补助、公共墓地建设、污染企业关停、大病医疗救助等专项工作。年末结余4.64万元。</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二、单位整体支出管理及使用情况</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（一）基本支出</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运转支704.82万元。一是人员支出382.26万元（其中：工资福利支出360.21万元）。二是公用支出322.55万元，主要用于机关办公、印刷、会议、邮电、公务接待、差旅、交通及其他等方面开支。其中“三公”经费开支合计44.88万元，包括公务接待费2.63万元、公务用车运行维护费42.26万元。</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（二）专项支出</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专项工作支出1731.29万元，主要用于库区“两保”项目建设。</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三、单位专项组织实施情况</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中心在财务管理上，严把预算资金和专项资金使用关，确保了机关工作高效运转，在专项工作中，让市县两级财政资金发挥出了明显的推进作用。一年来，通过全体工作人员的努力，我中心“两保”工作取得了县委、县政府的充分肯定，获得了市区及库区群众的一致好评。</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1.各个专项建设工程从预算计划到立项财审再到实际施行，从无到有在摸索中稳步有序推进；</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2.各项民生保障资金从申请到层层审批再到实际发放，从少到多在试点中逐步全面铺开。</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四、单位整体支出绩效情况</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中心虽属县直单位，但工作阵地在乡镇，面对的是库区群众，工作环境复杂，工作经验不足，然而，全体干部职工精诚团结，精神振奋，通过一年多的努力，摸索出了一条“两保”工作可持续发展之路，铁山库区保护性专项规划正在研究制定。市委荣华书记在铁山调研时指出：铁山“两保”环境大有改观，群众情绪有效理顺，市县两级“两保”认识高度一致。</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（一）民生保障落到实处</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集雨区生态公益林补偿、大病医疗救助涉及整个铁山库区，受惠群众多；对一二级保护区内因病因灾致贫返贫的特困户予以救助送去了党和政府的关怀；易地建房和一二级保护区内特困危房改造补助缓解了库区群众的建房压力；市、县领导扶贫点全部集中在库区村，实行定点扶贫、精准扶贫，将库区作为脱贫攻坚的主战场，启动了毛田镇南庙、立坪、小港、湾丘易地搬迁扶贫计划。系列惠民政策在库区落地生根，让库区群众深切地感受到，他们曾经为修建铁山水库而移居山旮旯里，今天又为铁山水源保护作出了贡献，党和政府始终没有忘记他们。</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（二）水源保护达到实效</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库区从严治污，严格控制库区人口非自然增长，库区人口“只出不进”；严格控制乡镇集体建设用地，禁止违法建房，规范村民建房，科学规划居民安置点；严格控制一切工业项目，强力禁采、禁挖；严格控制一级、二级保护区和准保护区内的生活、农业和工业污染，一次性退出现有规模养殖场。通过先进技术与科学设备及时处理集镇居民生活污水、及时处理散户型居民生活污水、及时拦截入库河口生活垃圾及漂流物。基本构建了“控制”与“处理”相结合、多措并举的污染防治模式。最近市县对铁山水库水源入口水质监测显示：铁山水库水域中心、大坝上游50m处所测各项指标均符合《地表水环境质量标准》Ⅱ类水质标准,水质级别为优。</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五、存在的主要问题</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1、专项资金到账滞后。</w:t>
      </w:r>
      <w:r>
        <w:rPr>
          <w:rFonts w:hint="eastAsia" w:ascii="宋体" w:hAnsi="宋体" w:eastAsia="宋体" w:cs="宋体"/>
          <w:kern w:val="0"/>
          <w:sz w:val="24"/>
          <w:szCs w:val="24"/>
        </w:rPr>
        <w:t>专项工作在一开展的时候就需要相关工作经费，而实际情况是必须等到各项手续完善后，财政才拨款，造成有关支出只能延迟结算。</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2、资金存在混用现象。</w:t>
      </w:r>
      <w:r>
        <w:rPr>
          <w:rFonts w:hint="eastAsia" w:ascii="宋体" w:hAnsi="宋体" w:eastAsia="宋体" w:cs="宋体"/>
          <w:kern w:val="0"/>
          <w:sz w:val="24"/>
          <w:szCs w:val="24"/>
        </w:rPr>
        <w:t>虽然汇总各专项资金开支总额显示不存在违规情况，但是在开支过程中，受实际情况影响，有甲项资金用于乙项工作、甲项工作使用乙项资金的现象。</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3、财务基础工作需进一步完善。</w:t>
      </w:r>
      <w:r>
        <w:rPr>
          <w:rFonts w:hint="eastAsia" w:ascii="宋体" w:hAnsi="宋体" w:eastAsia="宋体" w:cs="宋体"/>
          <w:kern w:val="0"/>
          <w:sz w:val="24"/>
          <w:szCs w:val="24"/>
        </w:rPr>
        <w:t>由于单位二级机构未纳入机关统一核算存在支出管理监督乏力情况；有些财务基础工作，例如报送财务资料、与财政相关股室加强联系等方面有所欠缺。</w:t>
      </w:r>
    </w:p>
    <w:p>
      <w:pPr>
        <w:keepNext w:val="0"/>
        <w:keepLines w:val="0"/>
        <w:pageBreakBefore w:val="0"/>
        <w:widowControl/>
        <w:kinsoku/>
        <w:wordWrap/>
        <w:overflowPunct/>
        <w:topLinePunct w:val="0"/>
        <w:autoSpaceDE/>
        <w:autoSpaceDN/>
        <w:bidi w:val="0"/>
        <w:adjustRightInd/>
        <w:snapToGrid/>
        <w:spacing w:line="480" w:lineRule="auto"/>
        <w:ind w:firstLine="482" w:firstLineChars="20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六、改进措施和有关建议</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1．加强与财政的相关业务联系，及时提供各项资金拨付的有关手续，尽可能争取各项资金及时到账，以便能及时结算开支费用。</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2．进一步完善专项资金管理制度，严格监管专项资金的使用，坚决杜绝资金混用现象。</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3．进一步加强机关财务管理工作，财务管理人员要充分保障处理机关财务业务的工作时间，不断加强学习，与时俱进。</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二〇二一年六月十一日</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wYWU2ZDNiZjZkNmM3YmI4NGVmZmYxNGQ1NTdiNDkifQ=="/>
  </w:docVars>
  <w:rsids>
    <w:rsidRoot w:val="00F3084A"/>
    <w:rsid w:val="00075B1D"/>
    <w:rsid w:val="00F3084A"/>
    <w:rsid w:val="4E2E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2 Char"/>
    <w:basedOn w:val="5"/>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5429</Words>
  <Characters>5745</Characters>
  <Lines>44</Lines>
  <Paragraphs>12</Paragraphs>
  <TotalTime>4</TotalTime>
  <ScaleCrop>false</ScaleCrop>
  <LinksUpToDate>false</LinksUpToDate>
  <CharactersWithSpaces>5804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2022-08-31T03:47:00Z</dcterms:created>
  <dc:creator>Administrator</dc:creator>
  <cp:lastModifiedBy>忒睏糊</cp:lastModifiedBy>
  <dcterms:modified xsi:type="dcterms:W3CDTF">2022-08-31T03:52:39Z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EA74C948BC2B42C79172E8690D6F07D8</vt:lpwstr>
  </property>
</Properties>
</file>