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  <w:r>
        <w:rPr>
          <w:rFonts w:eastAsia="方正小标宋简体"/>
          <w:bCs/>
          <w:sz w:val="42"/>
          <w:szCs w:val="42"/>
        </w:rPr>
        <w:t xml:space="preserve"> 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ascii="方正小标宋简体" w:hAnsi="方正小标宋简体"/>
          <w:bCs/>
          <w:sz w:val="46"/>
          <w:szCs w:val="46"/>
        </w:rPr>
        <w:t>岳阳县</w:t>
      </w:r>
      <w:r>
        <w:rPr>
          <w:rFonts w:eastAsia="方正小标宋简体"/>
          <w:bCs/>
          <w:sz w:val="46"/>
          <w:szCs w:val="46"/>
        </w:rPr>
        <w:t>20</w:t>
      </w:r>
      <w:r>
        <w:rPr>
          <w:bCs/>
          <w:sz w:val="46"/>
          <w:szCs w:val="46"/>
          <w:u w:val="single"/>
        </w:rPr>
        <w:t>20</w:t>
      </w:r>
      <w:r>
        <w:rPr>
          <w:rFonts w:ascii="方正小标宋简体" w:hAnsi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ascii="方正小标宋简体" w:hAnsi="方正小标宋简体"/>
          <w:bCs/>
          <w:sz w:val="46"/>
          <w:szCs w:val="46"/>
        </w:rPr>
        <w:t>绩效评价自评报告</w:t>
      </w:r>
    </w:p>
    <w:p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</w:t>
      </w:r>
    </w:p>
    <w:p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</w:t>
      </w:r>
    </w:p>
    <w:p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</w:t>
      </w:r>
    </w:p>
    <w:p>
      <w:pPr>
        <w:spacing w:beforeLines="50" w:line="348" w:lineRule="auto"/>
        <w:ind w:firstLine="480" w:firstLineChars="150"/>
        <w:rPr>
          <w:rFonts w:eastAsia="仿宋_GB2312"/>
          <w:sz w:val="32"/>
          <w:szCs w:val="32"/>
          <w:u w:val="single"/>
        </w:rPr>
      </w:pPr>
      <w:r>
        <w:rPr>
          <w:rFonts w:ascii="仿宋_GB2312" w:hAnsi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(</w:t>
      </w:r>
      <w:r>
        <w:rPr>
          <w:rFonts w:ascii="仿宋_GB2312" w:hAnsi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)</w:t>
      </w:r>
      <w:r>
        <w:rPr>
          <w:rFonts w:ascii="仿宋_GB2312" w:hAnsi="仿宋_GB2312"/>
          <w:sz w:val="32"/>
          <w:szCs w:val="32"/>
        </w:rPr>
        <w:t>名称：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/>
          <w:sz w:val="32"/>
          <w:szCs w:val="32"/>
          <w:u w:val="single"/>
        </w:rPr>
        <w:t>中共岳阳县委党校</w:t>
      </w:r>
      <w:r>
        <w:rPr>
          <w:rFonts w:eastAsia="仿宋_GB2312"/>
          <w:sz w:val="32"/>
          <w:szCs w:val="32"/>
          <w:u w:val="single"/>
        </w:rPr>
        <w:t xml:space="preserve">     </w:t>
      </w:r>
    </w:p>
    <w:p>
      <w:pPr>
        <w:spacing w:beforeLines="50" w:line="348" w:lineRule="auto"/>
        <w:ind w:firstLine="480" w:firstLineChars="150"/>
        <w:rPr>
          <w:rFonts w:hint="eastAsia"/>
          <w:spacing w:val="20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预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ascii="仿宋_GB2312" w:hAnsi="仿宋_GB2312"/>
          <w:spacing w:val="30"/>
          <w:sz w:val="32"/>
          <w:szCs w:val="32"/>
        </w:rPr>
        <w:t>算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ascii="仿宋_GB2312" w:hAnsi="仿宋_GB2312"/>
          <w:spacing w:val="30"/>
          <w:sz w:val="32"/>
          <w:szCs w:val="32"/>
        </w:rPr>
        <w:t>编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ascii="仿宋_GB2312" w:hAnsi="仿宋_GB2312"/>
          <w:spacing w:val="30"/>
          <w:sz w:val="32"/>
          <w:szCs w:val="32"/>
        </w:rPr>
        <w:t>码：</w:t>
      </w:r>
      <w:r>
        <w:rPr>
          <w:rFonts w:eastAsia="仿宋_GB2312"/>
          <w:spacing w:val="20"/>
          <w:sz w:val="32"/>
          <w:szCs w:val="32"/>
          <w:u w:val="single"/>
        </w:rPr>
        <w:t xml:space="preserve">  </w:t>
      </w:r>
      <w:r>
        <w:rPr>
          <w:rFonts w:hint="eastAsia"/>
          <w:spacing w:val="20"/>
          <w:sz w:val="32"/>
          <w:szCs w:val="32"/>
          <w:u w:val="single"/>
        </w:rPr>
        <w:t xml:space="preserve">  </w:t>
      </w:r>
      <w:r>
        <w:rPr>
          <w:rFonts w:eastAsia="仿宋_GB2312"/>
          <w:spacing w:val="20"/>
          <w:sz w:val="32"/>
          <w:szCs w:val="32"/>
          <w:u w:val="single"/>
        </w:rPr>
        <w:t xml:space="preserve">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109</w:t>
      </w:r>
      <w:r>
        <w:rPr>
          <w:spacing w:val="20"/>
          <w:sz w:val="32"/>
          <w:szCs w:val="32"/>
          <w:u w:val="single"/>
        </w:rPr>
        <w:t>001</w:t>
      </w:r>
      <w:r>
        <w:rPr>
          <w:rFonts w:eastAsia="仿宋_GB2312"/>
          <w:spacing w:val="20"/>
          <w:sz w:val="32"/>
          <w:szCs w:val="32"/>
          <w:u w:val="single"/>
        </w:rPr>
        <w:t xml:space="preserve">        </w:t>
      </w:r>
    </w:p>
    <w:p>
      <w:pPr>
        <w:spacing w:beforeLines="50" w:line="348" w:lineRule="auto"/>
        <w:ind w:firstLine="480" w:firstLineChars="150"/>
        <w:rPr>
          <w:rFonts w:eastAsia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评价方式：单位绩效自评</w:t>
      </w:r>
    </w:p>
    <w:p>
      <w:pPr>
        <w:spacing w:beforeLines="50" w:line="348" w:lineRule="auto"/>
        <w:ind w:firstLine="480" w:firstLineChars="150"/>
        <w:rPr>
          <w:rFonts w:eastAsia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评价机构：单位评价组</w:t>
      </w:r>
      <w:r>
        <w:rPr>
          <w:rFonts w:eastAsia="仿宋_GB2312"/>
          <w:sz w:val="32"/>
          <w:szCs w:val="32"/>
        </w:rPr>
        <w:t xml:space="preserve">   </w:t>
      </w:r>
    </w:p>
    <w:p>
      <w:pPr>
        <w:spacing w:line="720" w:lineRule="exact"/>
        <w:ind w:firstLine="2208" w:firstLineChars="69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spacing w:line="720" w:lineRule="exact"/>
        <w:ind w:firstLine="2208" w:firstLineChars="69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spacing w:line="720" w:lineRule="exact"/>
        <w:ind w:firstLine="2208" w:firstLineChars="69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spacing w:line="348" w:lineRule="auto"/>
        <w:jc w:val="center"/>
        <w:rPr>
          <w:rFonts w:eastAsia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报告日期：</w:t>
      </w:r>
      <w:r>
        <w:rPr>
          <w:sz w:val="32"/>
          <w:szCs w:val="32"/>
        </w:rPr>
        <w:t>2021</w:t>
      </w:r>
      <w:r>
        <w:rPr>
          <w:rFonts w:ascii="仿宋_GB2312" w:hAnsi="仿宋_GB2312"/>
          <w:sz w:val="32"/>
          <w:szCs w:val="32"/>
        </w:rPr>
        <w:t>年</w:t>
      </w:r>
      <w:r>
        <w:rPr>
          <w:sz w:val="32"/>
          <w:szCs w:val="32"/>
        </w:rPr>
        <w:t>7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27</w:t>
      </w:r>
      <w:r>
        <w:rPr>
          <w:rFonts w:ascii="仿宋_GB2312" w:hAnsi="仿宋_GB2312"/>
          <w:sz w:val="32"/>
          <w:szCs w:val="32"/>
        </w:rPr>
        <w:t>日</w:t>
      </w:r>
    </w:p>
    <w:p>
      <w:pPr>
        <w:jc w:val="center"/>
        <w:textAlignment w:val="center"/>
        <w:rPr>
          <w:rFonts w:eastAsia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岳阳县财政局（制）</w:t>
      </w:r>
    </w:p>
    <w:p>
      <w:pPr>
        <w:rPr>
          <w:rFonts w:ascii="黑体" w:hAnsi="黑体" w:eastAsia="黑体" w:cs="宋体"/>
          <w:color w:val="000000"/>
          <w:sz w:val="28"/>
          <w:szCs w:val="28"/>
        </w:rPr>
        <w:sectPr>
          <w:pgSz w:w="11906" w:h="16838"/>
          <w:pgMar w:top="1588" w:right="1588" w:bottom="1588" w:left="1588" w:header="851" w:footer="992" w:gutter="0"/>
          <w:cols w:space="720" w:num="1"/>
          <w:docGrid w:type="lines" w:linePitch="602" w:charSpace="0"/>
        </w:sectPr>
      </w:pPr>
    </w:p>
    <w:tbl>
      <w:tblPr>
        <w:tblStyle w:val="3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77"/>
        <w:gridCol w:w="136"/>
        <w:gridCol w:w="1126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5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吴焕青</w:t>
            </w: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联络电话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default" w:ascii="仿宋_GB2312" w:hAnsi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13575026436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人员编制</w:t>
            </w:r>
          </w:p>
        </w:tc>
        <w:tc>
          <w:tcPr>
            <w:tcW w:w="35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实有人数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default" w:ascii="仿宋_GB2312" w:hAnsi="仿宋_GB2312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职能职责概述</w:t>
            </w:r>
          </w:p>
        </w:tc>
        <w:tc>
          <w:tcPr>
            <w:tcW w:w="8146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县委党校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是县委的重要部门，公益一类正科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级事业单位，核定人员编制20个，内设办公室、教研科、社会培训科、行政事务室4个科室，是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省综合示范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县级党校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。县委党校坚持以习近平新时代中国特色社会主义思想为指引，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坚持“政治立校、从严治校、创新兴校”的办学理念，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充分发挥岳阳县理论教育主阵地，党员培训主渠道作用，坚持教学、科研、咨政一体化发展，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具备200人的办学规模，办学综合水平显著提升。</w:t>
            </w:r>
          </w:p>
          <w:p>
            <w:pPr>
              <w:spacing w:line="320" w:lineRule="exac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年度主要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工作内容</w:t>
            </w:r>
          </w:p>
        </w:tc>
        <w:tc>
          <w:tcPr>
            <w:tcW w:w="8146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仿宋_GB2312" w:hAnsi="仿宋_GB2312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任务1：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培训、轮训全县党员领导干部。</w:t>
            </w:r>
          </w:p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任务2：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完成全县各部门专题培训任务。</w:t>
            </w:r>
          </w:p>
          <w:p>
            <w:pPr>
              <w:spacing w:line="320" w:lineRule="exact"/>
              <w:textAlignment w:val="center"/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任务3：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服务全县理论政策宣讲。</w:t>
            </w:r>
          </w:p>
          <w:p>
            <w:pPr>
              <w:spacing w:line="320" w:lineRule="exact"/>
              <w:textAlignment w:val="center"/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任务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4：研究国家、省、市、县重点科研课题。</w:t>
            </w:r>
          </w:p>
          <w:p>
            <w:pPr>
              <w:spacing w:line="320" w:lineRule="exact"/>
              <w:textAlignment w:val="center"/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任务5：为全县会务工作提供优质服务。</w:t>
            </w:r>
          </w:p>
          <w:p>
            <w:pPr>
              <w:spacing w:line="320" w:lineRule="exact"/>
              <w:textAlignment w:val="center"/>
              <w:rPr>
                <w:rFonts w:hint="default" w:ascii="仿宋_GB2312" w:hAnsi="仿宋_GB2312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任务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6：逐步完善阵地建设设施设备。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6"/>
                <w:sz w:val="24"/>
                <w:szCs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单位运行情况良好，资金使用安全。</w:t>
            </w:r>
          </w:p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社会评价高。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机构名称</w:t>
            </w:r>
          </w:p>
        </w:tc>
        <w:tc>
          <w:tcPr>
            <w:tcW w:w="126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上年结转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公共财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政拨款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政府基金拨款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其他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541.1232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34.865372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540.8352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0.2880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1、局机关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541.1232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34.865372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540.8352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0.2880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2、二级机构1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3、二级机构2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机构名称</w:t>
            </w:r>
          </w:p>
        </w:tc>
        <w:tc>
          <w:tcPr>
            <w:tcW w:w="126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人员支出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544.14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455.14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207.65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247.49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-3.02</w:t>
            </w: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29.46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1、局机关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544.14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455.14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207.65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247.49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-3.02</w:t>
            </w: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29.46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2、二级机构1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3、二级机构2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机构名称</w:t>
            </w:r>
          </w:p>
        </w:tc>
        <w:tc>
          <w:tcPr>
            <w:tcW w:w="126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三公经费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公务接待费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公务用车运维费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公务用车购置费</w:t>
            </w: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1、局机关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2、二级机构1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3、二级机构2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机构名称</w:t>
            </w:r>
          </w:p>
        </w:tc>
        <w:tc>
          <w:tcPr>
            <w:tcW w:w="126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固定资产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987.74</w:t>
            </w: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987.74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1、局机关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987.74</w:t>
            </w: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987.74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2、二级机构1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3、二级机构2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58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default" w:ascii="仿宋_GB2312" w:hAnsi="仿宋_GB2312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目标1：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全年完成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3000人左右的培训任务。</w:t>
            </w:r>
          </w:p>
          <w:p>
            <w:pPr>
              <w:spacing w:line="320" w:lineRule="exact"/>
              <w:textAlignment w:val="center"/>
              <w:rPr>
                <w:rFonts w:hint="default" w:ascii="仿宋_GB2312" w:hAnsi="仿宋_GB2312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目标2：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全年承办会务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120场次。</w:t>
            </w:r>
          </w:p>
          <w:p>
            <w:pPr>
              <w:spacing w:line="320" w:lineRule="exact"/>
              <w:textAlignment w:val="center"/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目标3：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全年完成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2次大规模理论政策送教活动。</w:t>
            </w:r>
          </w:p>
          <w:p>
            <w:pPr>
              <w:spacing w:line="320" w:lineRule="exact"/>
              <w:textAlignment w:val="center"/>
              <w:rPr>
                <w:rFonts w:hint="default" w:ascii="仿宋_GB2312" w:hAns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目标4：更新、维护培训教室、会务场地、学员宿舍设施设备。</w:t>
            </w:r>
          </w:p>
        </w:tc>
        <w:tc>
          <w:tcPr>
            <w:tcW w:w="458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default" w:ascii="仿宋_GB2312" w:hAnsi="仿宋_GB2312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  <w:t>100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整体支出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评价内容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绩效目标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产出目标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质量指标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指标1：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三公经费控制率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  <w:t>100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default" w:ascii="仿宋_GB2312" w:hAnsi="仿宋_GB2312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2：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政府采购执行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  <w:t>100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仿宋_GB2312" w:hAnsi="仿宋_GB2312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：固定资产利用率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  <w:t>100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default" w:ascii="仿宋_GB2312" w:hAnsi="仿宋_GB2312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4：公务卡刷卡率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  <w:t>100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数量指标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仿宋_GB2312" w:hAnsi="仿宋_GB2312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指标1：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财政供养人员控制率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  <w:t>100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default" w:ascii="仿宋_GB2312" w:hAnsi="仿宋_GB2312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2：三公经费变动率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4"/>
                <w:szCs w:val="24"/>
              </w:rPr>
              <w:t>≤</w:t>
            </w:r>
            <w:r>
              <w:rPr>
                <w:rFonts w:hint="eastAsia" w:ascii="仿宋_GB2312" w:hAnsi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仿宋_GB2312" w:hAnsi="仿宋_GB2312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：全年完成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3000人左右的培训任务。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  <w:t>100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全年承办会务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120场次。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  <w:t>100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标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全年完成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2次大规模理论政策送交活动。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  <w:t>100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时效指标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仿宋_GB2312" w:hAnsi="仿宋_GB2312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指标1：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培训任务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default" w:ascii="仿宋_GB2312" w:hAnsi="仿宋_GB2312" w:eastAsia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12月中旬已完成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仿宋_GB2312" w:hAnsi="仿宋_GB2312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指标2：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承办会务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default" w:ascii="仿宋_GB2312" w:hAnsi="仿宋_GB2312" w:eastAsia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12月底已完成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default" w:ascii="仿宋_GB2312" w:hAnsi="仿宋_GB2312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3：送教活动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default" w:ascii="仿宋_GB2312" w:hAnsi="仿宋_GB2312" w:eastAsia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11月底已完成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成本指标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指标1：财政支出绩效目标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  <w:t>100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效益目标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（预期实现的效益）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社会效益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指标1：社会反响良好，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领导和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群众一致好评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  <w:t>效益明显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经济效益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指标1：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生态效益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指标1：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指标1：得到领导干部和与会人员一致好评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95</w:t>
            </w:r>
            <w:r>
              <w:rPr>
                <w:rFonts w:hint="eastAsia" w:ascii="微软雅黑" w:hAnsi="微软雅黑" w:eastAsia="微软雅黑"/>
                <w:b/>
                <w:color w:val="00000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绩效自评综合得分</w:t>
            </w:r>
          </w:p>
        </w:tc>
        <w:tc>
          <w:tcPr>
            <w:tcW w:w="6810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default" w:ascii="仿宋_GB2312" w:hAnsi="仿宋_GB2312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99分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评价等次</w:t>
            </w:r>
          </w:p>
        </w:tc>
        <w:tc>
          <w:tcPr>
            <w:tcW w:w="6810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35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陈琳</w:t>
            </w:r>
          </w:p>
        </w:tc>
        <w:tc>
          <w:tcPr>
            <w:tcW w:w="35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校长</w:t>
            </w: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县委党校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吴焕青</w:t>
            </w:r>
          </w:p>
        </w:tc>
        <w:tc>
          <w:tcPr>
            <w:tcW w:w="35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校委委员</w:t>
            </w: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县委党校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袁艳</w:t>
            </w:r>
          </w:p>
        </w:tc>
        <w:tc>
          <w:tcPr>
            <w:tcW w:w="35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副校长</w:t>
            </w: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县委党校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汤建新</w:t>
            </w:r>
          </w:p>
        </w:tc>
        <w:tc>
          <w:tcPr>
            <w:tcW w:w="35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办公室主任</w:t>
            </w: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县委党校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评价组组长（签字）：</w:t>
            </w:r>
          </w:p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同意以上自评意见</w:t>
            </w:r>
          </w:p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2021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27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部门（单位）意见：</w:t>
            </w:r>
          </w:p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同意以上自评意见</w:t>
            </w:r>
          </w:p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                                   </w:t>
            </w:r>
          </w:p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                                   部门（单位）负责人（签章）：</w:t>
            </w:r>
          </w:p>
          <w:p>
            <w:pPr>
              <w:spacing w:line="320" w:lineRule="exac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2021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27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cs="仿宋_GB2312" w:eastAsiaTheme="minorEastAsia"/>
          <w:bCs/>
          <w:sz w:val="28"/>
          <w:szCs w:val="28"/>
          <w:lang w:val="en-US" w:eastAsia="zh-CN"/>
        </w:rPr>
      </w:pPr>
      <w:r>
        <w:rPr>
          <w:rFonts w:ascii="仿宋_GB2312" w:hAnsi="仿宋_GB2312"/>
          <w:bCs/>
          <w:sz w:val="28"/>
          <w:szCs w:val="28"/>
        </w:rPr>
        <w:t>填报人（签名）：</w:t>
      </w:r>
      <w:r>
        <w:rPr>
          <w:rFonts w:hint="eastAsia" w:ascii="仿宋_GB2312" w:hAnsi="仿宋_GB2312"/>
          <w:bCs/>
          <w:sz w:val="28"/>
          <w:szCs w:val="28"/>
          <w:lang w:eastAsia="zh-CN"/>
        </w:rPr>
        <w:t>黄春蕾</w:t>
      </w:r>
      <w:r>
        <w:rPr>
          <w:rFonts w:eastAsia="仿宋_GB2312" w:cs="仿宋_GB2312"/>
          <w:bCs/>
          <w:sz w:val="28"/>
          <w:szCs w:val="28"/>
        </w:rPr>
        <w:t xml:space="preserve">                   </w:t>
      </w:r>
      <w:r>
        <w:rPr>
          <w:rFonts w:ascii="仿宋_GB2312" w:hAnsi="仿宋_GB2312"/>
          <w:bCs/>
          <w:sz w:val="28"/>
          <w:szCs w:val="28"/>
        </w:rPr>
        <w:t>联系电话：</w:t>
      </w:r>
      <w:r>
        <w:rPr>
          <w:rFonts w:hint="eastAsia" w:ascii="仿宋_GB2312" w:hAnsi="仿宋_GB2312"/>
          <w:bCs/>
          <w:sz w:val="28"/>
          <w:szCs w:val="28"/>
          <w:lang w:val="en-US" w:eastAsia="zh-CN"/>
        </w:rPr>
        <w:t>13575027112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3" w:firstLineChars="200"/>
              <w:jc w:val="center"/>
              <w:rPr>
                <w:rFonts w:hint="default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lang w:eastAsia="zh-CN"/>
              </w:rPr>
              <w:t>中共岳阳县委党校</w:t>
            </w:r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2020年评价报告综述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（一）部门（单位）基本情况</w:t>
            </w:r>
            <w:r>
              <w:rPr>
                <w:rFonts w:hint="eastAsia" w:ascii="仿宋_GB2312" w:hAnsi="仿宋_GB2312"/>
                <w:bCs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县委党校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是县委的重要部门，公益一类正科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级事业单位，核定人员编制20个，内设办公室、教研科、社会培训科、行政事务室4个科室，是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省综合示范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县级党校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。县委党校坚持以习近平新时代中国特色社会主义思想为指引，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坚持“政治立校、从严治校、创新兴校”的办学理念，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充分发挥岳阳县理论教育主阵地，党员培训主渠道作用，坚持教学、科研、咨政一体化发展，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具备200人的办学规模，办学综合水平显著提升。</w:t>
            </w:r>
          </w:p>
          <w:p>
            <w:pPr>
              <w:spacing w:line="320" w:lineRule="exact"/>
              <w:ind w:firstLine="480" w:firstLineChars="200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2020年工作目标任务：</w:t>
            </w:r>
          </w:p>
          <w:p>
            <w:pPr>
              <w:spacing w:line="320" w:lineRule="exact"/>
              <w:ind w:firstLine="480" w:firstLineChars="2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目标1：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全年完成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3000人左右的培训任务。</w:t>
            </w:r>
          </w:p>
          <w:p>
            <w:pPr>
              <w:spacing w:line="320" w:lineRule="exact"/>
              <w:ind w:firstLine="480" w:firstLineChars="2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目标2：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全年承办会务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120场次。</w:t>
            </w:r>
          </w:p>
          <w:p>
            <w:pPr>
              <w:spacing w:line="320" w:lineRule="exact"/>
              <w:ind w:firstLine="480" w:firstLineChars="2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目标3：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全年完成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2次大规模理论政策送教活动。</w:t>
            </w:r>
          </w:p>
          <w:p>
            <w:pPr>
              <w:spacing w:line="320" w:lineRule="exact"/>
              <w:ind w:firstLine="480" w:firstLineChars="200"/>
              <w:textAlignment w:val="center"/>
              <w:rPr>
                <w:rFonts w:hint="default" w:ascii="仿宋_GB2312" w:hAns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目标4：更新、维护培训教室、会务场地、学员宿舍设施设备。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spacing w:line="560" w:lineRule="exact"/>
              <w:ind w:firstLine="560" w:firstLineChars="200"/>
              <w:rPr>
                <w:rFonts w:hint="eastAsia" w:ascii="仿宋_GB2312" w:hAnsi="仿宋_GB2312"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部门（单位）整体支出规模、使用方向和主要内容、涉及范围</w:t>
            </w:r>
            <w:r>
              <w:rPr>
                <w:rFonts w:hint="eastAsia" w:ascii="仿宋_GB2312" w:hAnsi="仿宋_GB2312"/>
                <w:bCs/>
                <w:sz w:val="28"/>
                <w:szCs w:val="28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480" w:firstLineChars="200"/>
              <w:rPr>
                <w:rFonts w:hint="default" w:ascii="仿宋_GB2312" w:hAns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2020年中共县委党校总支出395.5万元，其中：基本支出232.44万元，包括工作福利支出、一般商品和服务支出、对个人和家庭的补助支出；项目支出89万元，主要是主体班培训班74万元、报告厅设施维护3万元、教师培训和教研专项经费12万元；单位执行非说执收成本为74万元。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（一）基本支出</w:t>
            </w:r>
          </w:p>
          <w:p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2020年中共县委党校基本支出232.44万元，主要用于工作福利支出、一般商品和服务支出、对个人和家庭的补助支出。全校三公经费支出0.73万元。年初我单位制定了经费预算时，明确了三公经费控制标准。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ascii="仿宋_GB2312" w:hAnsi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bCs/>
                <w:sz w:val="28"/>
                <w:szCs w:val="28"/>
                <w:lang w:eastAsia="zh-CN"/>
              </w:rPr>
              <w:t>（二）</w:t>
            </w:r>
            <w:r>
              <w:rPr>
                <w:rFonts w:ascii="仿宋_GB2312" w:hAnsi="仿宋_GB2312"/>
                <w:bCs/>
                <w:sz w:val="28"/>
                <w:szCs w:val="28"/>
              </w:rPr>
              <w:t>专项支出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2020年中共县委党校项目支出89万元，主要是主体班培训班74万元、报告厅设施维护3万元、教师培训和教研专项经费12万元。</w:t>
            </w:r>
          </w:p>
          <w:p>
            <w:pPr>
              <w:numPr>
                <w:ilvl w:val="0"/>
                <w:numId w:val="2"/>
              </w:numPr>
              <w:spacing w:line="560" w:lineRule="exact"/>
              <w:ind w:firstLine="560" w:firstLineChars="200"/>
              <w:rPr>
                <w:rFonts w:hint="default" w:ascii="仿宋_GB2312" w:hAnsi="仿宋_GB2312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专项资金安排落实、总投入等情况分析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2、专项资金实际使用情况分析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3、专项资金管理情况分析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（一）专项组织情况分析</w:t>
            </w:r>
          </w:p>
          <w:p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我校根据上级有关部门对专项资金的管理和使用要求，根据业务需要和工作要求，成立了以校长为组长、分管领导为副组长、财务室、办公室工作人员为成员的工作小组，采取各科室分工合作的办法，对有关专项工作进行组织管理。</w:t>
            </w:r>
          </w:p>
          <w:p>
            <w:pPr>
              <w:numPr>
                <w:ilvl w:val="0"/>
                <w:numId w:val="3"/>
              </w:num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主体培训班项目由培训科组织，教研科和行政事务室具体实施。</w:t>
            </w:r>
          </w:p>
          <w:p>
            <w:pPr>
              <w:numPr>
                <w:ilvl w:val="0"/>
                <w:numId w:val="3"/>
              </w:num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报告厅设施维护由培训科组织，培训科和行政事务室具体实施。</w:t>
            </w:r>
          </w:p>
          <w:p>
            <w:pPr>
              <w:numPr>
                <w:ilvl w:val="0"/>
                <w:numId w:val="3"/>
              </w:num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教师培训和教研专项经费由校务会组织，教研科具体开展省、市、县政策理论咨询、研究工作。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ascii="仿宋_GB2312" w:hAnsi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bCs/>
                <w:sz w:val="28"/>
                <w:szCs w:val="28"/>
                <w:lang w:val="en-US" w:eastAsia="zh-CN"/>
              </w:rPr>
              <w:t>(二）</w:t>
            </w:r>
            <w:r>
              <w:rPr>
                <w:rFonts w:ascii="仿宋_GB2312" w:hAnsi="仿宋_GB2312"/>
                <w:bCs/>
                <w:sz w:val="28"/>
                <w:szCs w:val="28"/>
              </w:rPr>
              <w:t>专项管理情况分析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720" w:firstLineChars="3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为了加强对专项资金的管理，有效控制项目资金的投向和使用，最大限度地发挥项目资金使用效益，我局对专项资金进行全程跟踪管理，严格按照相关的资金管理制度和财务审批程序拨付和使用资金，确保了资金安全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1、在项目论证方面，做到了民主、科学论证。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2、项目实施严格按方案实施。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为了加强对专项资金的管理，做到依法、依规、合理地安排和使用专项资金，根据上级主管部门和相关部门对专项资金的规定，我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从建立健全专项资金管理制度、资金安排、资金监督和管理、资金使用的绩效评价等方面入手，全面加强对专项资金的管理，先后制订了《专项资金使用管理暂行办法》等资金管理制度，从资金申请、安排、拨付、审批、监管等多方面进行管理，以确保项目资金在健全、有序的管理制度下运行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 xml:space="preserve">     4、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在账务管理上，按项目单独设立专账，做到了专款专用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四、部门（单位）整体支出绩效情况</w:t>
            </w:r>
          </w:p>
          <w:p>
            <w:pPr>
              <w:spacing w:line="560" w:lineRule="exact"/>
              <w:ind w:firstLine="480" w:firstLineChars="200"/>
              <w:rPr>
                <w:rFonts w:hint="eastAsia" w:ascii="黑体" w:hAnsi="黑体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社会反响良好，得到领导干部和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、学员、与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会人员一致好评</w:t>
            </w: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4"/>
              </w:numPr>
              <w:spacing w:line="560" w:lineRule="exact"/>
              <w:ind w:firstLine="560" w:firstLineChars="200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存在的主要问题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财务监督管理机制还有待加强。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财务工作者的业务能力有待进一步加强。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资金划拨不及时。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资金有缺口。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六、改进措施和有关建议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</w:rPr>
              <w:t>加强预算管理，进一步细化预算支出科目，严格按照年初预算控制支出。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</w:rPr>
              <w:t>2、希望县委政府重视党校基础建设和科研建设，相关部门积极配合。党校基础实施陈旧，老化严重，维护、修缮资金缺口较大；科研经费应逐年增加。</w:t>
            </w:r>
          </w:p>
        </w:tc>
      </w:tr>
    </w:tbl>
    <w:p>
      <w:pPr>
        <w:spacing w:line="348" w:lineRule="auto"/>
        <w:rPr>
          <w:rFonts w:eastAsia="楷体_GB2312"/>
          <w:bCs/>
          <w:sz w:val="28"/>
          <w:szCs w:val="28"/>
        </w:rPr>
      </w:pPr>
      <w:r>
        <w:rPr>
          <w:rFonts w:eastAsia="楷体_GB2312"/>
          <w:bCs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477521"/>
    <w:multiLevelType w:val="singleLevel"/>
    <w:tmpl w:val="BA47752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841F2C"/>
    <w:multiLevelType w:val="singleLevel"/>
    <w:tmpl w:val="C5841F2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E491170"/>
    <w:multiLevelType w:val="singleLevel"/>
    <w:tmpl w:val="CE49117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8CCCAC5"/>
    <w:multiLevelType w:val="singleLevel"/>
    <w:tmpl w:val="F8CCCAC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12B7376D"/>
    <w:multiLevelType w:val="singleLevel"/>
    <w:tmpl w:val="12B7376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jNTMwZjI0MGRlODI3ZDAxNmY3ZDQzY2M3ODMzZTAifQ=="/>
  </w:docVars>
  <w:rsids>
    <w:rsidRoot w:val="00A67B5C"/>
    <w:rsid w:val="00525563"/>
    <w:rsid w:val="00A67B5C"/>
    <w:rsid w:val="00E04DA0"/>
    <w:rsid w:val="00E60C15"/>
    <w:rsid w:val="03AF3B22"/>
    <w:rsid w:val="04E75364"/>
    <w:rsid w:val="1D286397"/>
    <w:rsid w:val="23D6384F"/>
    <w:rsid w:val="2A822F09"/>
    <w:rsid w:val="2F17554C"/>
    <w:rsid w:val="35B3436B"/>
    <w:rsid w:val="39F46805"/>
    <w:rsid w:val="431F5331"/>
    <w:rsid w:val="486D2D12"/>
    <w:rsid w:val="4E2C7B84"/>
    <w:rsid w:val="506560E1"/>
    <w:rsid w:val="57D27AB0"/>
    <w:rsid w:val="586763EA"/>
    <w:rsid w:val="5FCA0F02"/>
    <w:rsid w:val="60410A9B"/>
    <w:rsid w:val="68566746"/>
    <w:rsid w:val="6AD7616D"/>
    <w:rsid w:val="6C8E61E8"/>
    <w:rsid w:val="72B03F42"/>
    <w:rsid w:val="787A4C7B"/>
    <w:rsid w:val="7CD3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2955</Words>
  <Characters>3240</Characters>
  <Lines>58</Lines>
  <Paragraphs>16</Paragraphs>
  <TotalTime>9</TotalTime>
  <ScaleCrop>false</ScaleCrop>
  <LinksUpToDate>false</LinksUpToDate>
  <CharactersWithSpaces>3542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2021-07-06T03:08:00Z</dcterms:created>
  <dc:creator>Administrator</dc:creator>
  <cp:lastModifiedBy>Administrator</cp:lastModifiedBy>
  <cp:lastPrinted>2021-07-28T06:12:00Z</cp:lastPrinted>
  <dcterms:modified xsi:type="dcterms:W3CDTF">2022-08-16T03:21:19Z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D19E13745B3A4C6DBADB6BAA0F19DF86</vt:lpwstr>
  </property>
</Properties>
</file>