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40" w:lineRule="exact"/>
        <w:jc w:val="right"/>
        <w:rPr>
          <w:rFonts w:ascii="仿宋_GB2312" w:eastAsia="仿宋_GB2312"/>
          <w:sz w:val="32"/>
          <w:szCs w:val="32"/>
        </w:rPr>
      </w:pPr>
      <w:r>
        <w:rPr>
          <w:rFonts w:hint="eastAsia" w:ascii="方正小标宋简体" w:hAnsi="华文中宋" w:eastAsia="方正小标宋简体"/>
          <w:bCs/>
          <w:color w:val="000000"/>
          <w:sz w:val="44"/>
          <w:szCs w:val="44"/>
        </w:rPr>
        <w:t xml:space="preserve"> </w:t>
      </w:r>
    </w:p>
    <w:p>
      <w:pPr>
        <w:adjustRightInd w:val="0"/>
        <w:snapToGrid w:val="0"/>
        <w:spacing w:line="640" w:lineRule="exact"/>
        <w:ind w:right="158"/>
        <w:jc w:val="right"/>
        <w:rPr>
          <w:rFonts w:ascii="仿宋_GB2312" w:eastAsia="仿宋_GB2312"/>
          <w:sz w:val="32"/>
          <w:szCs w:val="32"/>
        </w:rPr>
      </w:pPr>
      <w:r>
        <w:rPr>
          <w:rFonts w:hint="eastAsia" w:ascii="仿宋_GB2312" w:eastAsia="仿宋_GB2312"/>
          <w:sz w:val="32"/>
          <w:szCs w:val="32"/>
        </w:rPr>
        <w:t>附件1：</w:t>
      </w:r>
    </w:p>
    <w:p>
      <w:pPr>
        <w:adjustRightInd w:val="0"/>
        <w:snapToGrid w:val="0"/>
        <w:spacing w:line="640" w:lineRule="exact"/>
        <w:jc w:val="right"/>
        <w:rPr>
          <w:rFonts w:ascii="仿宋_GB2312" w:eastAsia="仿宋_GB2312"/>
          <w:sz w:val="32"/>
          <w:szCs w:val="32"/>
        </w:rPr>
      </w:pPr>
    </w:p>
    <w:p>
      <w:pPr>
        <w:adjustRightInd w:val="0"/>
        <w:snapToGrid w:val="0"/>
        <w:spacing w:line="640" w:lineRule="exact"/>
        <w:ind w:right="632"/>
        <w:jc w:val="center"/>
        <w:rPr>
          <w:rFonts w:ascii="仿宋_GB2312" w:eastAsia="仿宋_GB2312"/>
          <w:sz w:val="32"/>
          <w:szCs w:val="32"/>
        </w:rPr>
      </w:pPr>
      <w:r>
        <w:rPr>
          <w:rFonts w:hint="eastAsia" w:eastAsia="方正小标宋简体" w:cs="方正小标宋简体"/>
          <w:bCs/>
          <w:sz w:val="44"/>
          <w:szCs w:val="44"/>
        </w:rPr>
        <w:t>岳阳县部门整体支出绩效评价自评报告</w:t>
      </w:r>
    </w:p>
    <w:p>
      <w:pPr>
        <w:snapToGrid w:val="0"/>
        <w:spacing w:line="620" w:lineRule="exact"/>
        <w:jc w:val="center"/>
        <w:rPr>
          <w:rFonts w:eastAsia="方正小标宋简体" w:cs="方正小标宋简体"/>
          <w:bCs/>
          <w:sz w:val="44"/>
          <w:szCs w:val="44"/>
        </w:rPr>
      </w:pPr>
      <w:r>
        <w:rPr>
          <w:rFonts w:hint="eastAsia" w:eastAsia="方正小标宋简体" w:cs="方正小标宋简体"/>
          <w:bCs/>
          <w:sz w:val="44"/>
          <w:szCs w:val="44"/>
        </w:rPr>
        <w:t>填</w:t>
      </w:r>
      <w:r>
        <w:rPr>
          <w:rFonts w:eastAsia="方正小标宋简体" w:cs="方正小标宋简体"/>
          <w:bCs/>
          <w:sz w:val="44"/>
          <w:szCs w:val="44"/>
        </w:rPr>
        <w:t xml:space="preserve"> </w:t>
      </w:r>
      <w:r>
        <w:rPr>
          <w:rFonts w:hint="eastAsia" w:eastAsia="方正小标宋简体" w:cs="方正小标宋简体"/>
          <w:bCs/>
          <w:sz w:val="44"/>
          <w:szCs w:val="44"/>
        </w:rPr>
        <w:t>报</w:t>
      </w:r>
      <w:r>
        <w:rPr>
          <w:rFonts w:eastAsia="方正小标宋简体" w:cs="方正小标宋简体"/>
          <w:bCs/>
          <w:sz w:val="44"/>
          <w:szCs w:val="44"/>
        </w:rPr>
        <w:t xml:space="preserve"> </w:t>
      </w:r>
      <w:r>
        <w:rPr>
          <w:rFonts w:hint="eastAsia" w:eastAsia="方正小标宋简体" w:cs="方正小标宋简体"/>
          <w:bCs/>
          <w:sz w:val="44"/>
          <w:szCs w:val="44"/>
        </w:rPr>
        <w:t>说</w:t>
      </w:r>
      <w:r>
        <w:rPr>
          <w:rFonts w:eastAsia="方正小标宋简体" w:cs="方正小标宋简体"/>
          <w:bCs/>
          <w:sz w:val="44"/>
          <w:szCs w:val="44"/>
        </w:rPr>
        <w:t xml:space="preserve"> </w:t>
      </w:r>
      <w:r>
        <w:rPr>
          <w:rFonts w:hint="eastAsia" w:eastAsia="方正小标宋简体" w:cs="方正小标宋简体"/>
          <w:bCs/>
          <w:sz w:val="44"/>
          <w:szCs w:val="44"/>
        </w:rPr>
        <w:t>明</w:t>
      </w:r>
    </w:p>
    <w:p>
      <w:pPr>
        <w:spacing w:line="620" w:lineRule="exact"/>
        <w:rPr>
          <w:rFonts w:ascii="仿宋_GB2312" w:eastAsia="仿宋_GB2312"/>
          <w:sz w:val="32"/>
          <w:szCs w:val="32"/>
        </w:rPr>
      </w:pPr>
    </w:p>
    <w:p>
      <w:pPr>
        <w:spacing w:line="620" w:lineRule="exact"/>
        <w:ind w:firstLine="634" w:firstLineChars="200"/>
        <w:rPr>
          <w:rFonts w:ascii="黑体" w:hAnsi="黑体" w:eastAsia="黑体"/>
          <w:sz w:val="32"/>
          <w:szCs w:val="32"/>
        </w:rPr>
      </w:pPr>
      <w:r>
        <w:rPr>
          <w:rFonts w:hint="eastAsia" w:ascii="黑体" w:hAnsi="黑体" w:eastAsia="黑体"/>
          <w:sz w:val="32"/>
          <w:szCs w:val="32"/>
        </w:rPr>
        <w:t>一、</w:t>
      </w:r>
      <w:r>
        <w:rPr>
          <w:rFonts w:hint="eastAsia" w:ascii="仿宋_GB2312" w:hAnsi="黑体" w:eastAsia="仿宋_GB2312"/>
          <w:sz w:val="32"/>
          <w:szCs w:val="32"/>
        </w:rPr>
        <w:t>绩效评价自评报告由部门（单位）评价组填写，所有内容必须客观、真实、准确。</w:t>
      </w:r>
    </w:p>
    <w:p>
      <w:pPr>
        <w:spacing w:line="620" w:lineRule="exact"/>
        <w:ind w:firstLine="634" w:firstLineChars="200"/>
        <w:rPr>
          <w:rFonts w:ascii="黑体" w:hAnsi="黑体" w:eastAsia="黑体"/>
          <w:sz w:val="32"/>
          <w:szCs w:val="32"/>
        </w:rPr>
      </w:pPr>
      <w:r>
        <w:rPr>
          <w:rFonts w:hint="eastAsia" w:ascii="黑体" w:hAnsi="黑体" w:eastAsia="黑体"/>
          <w:sz w:val="32"/>
          <w:szCs w:val="32"/>
        </w:rPr>
        <w:t>二、封面填写</w:t>
      </w:r>
    </w:p>
    <w:p>
      <w:pPr>
        <w:pStyle w:val="3"/>
        <w:snapToGrid w:val="0"/>
        <w:spacing w:line="620" w:lineRule="exact"/>
        <w:ind w:firstLine="635"/>
        <w:rPr>
          <w:color w:val="000000"/>
          <w:szCs w:val="32"/>
        </w:rPr>
      </w:pPr>
      <w:r>
        <w:rPr>
          <w:rFonts w:hint="eastAsia" w:cs="楷体_GB2312"/>
          <w:b/>
          <w:szCs w:val="32"/>
        </w:rPr>
        <w:t>1、</w:t>
      </w:r>
      <w:r>
        <w:rPr>
          <w:rFonts w:hint="eastAsia" w:cs="楷体_GB2312"/>
          <w:b/>
          <w:color w:val="000000"/>
          <w:szCs w:val="32"/>
        </w:rPr>
        <w:t>年度：</w:t>
      </w:r>
      <w:r>
        <w:rPr>
          <w:rFonts w:hint="eastAsia"/>
          <w:kern w:val="0"/>
          <w:szCs w:val="32"/>
        </w:rPr>
        <w:t>填写被评价的部门整体支出所属的年份。</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cs="楷体_GB2312"/>
          <w:b/>
          <w:sz w:val="32"/>
          <w:szCs w:val="32"/>
        </w:rPr>
        <w:t>2、部门名称：</w:t>
      </w:r>
      <w:r>
        <w:rPr>
          <w:rFonts w:hint="eastAsia" w:ascii="仿宋_GB2312" w:eastAsia="仿宋_GB2312"/>
          <w:kern w:val="0"/>
          <w:sz w:val="32"/>
          <w:szCs w:val="32"/>
        </w:rPr>
        <w:t>按照规范</w:t>
      </w:r>
      <w:r>
        <w:rPr>
          <w:rFonts w:hint="eastAsia" w:ascii="仿宋_GB2312" w:eastAsia="仿宋_GB2312"/>
          <w:sz w:val="32"/>
          <w:szCs w:val="32"/>
        </w:rPr>
        <w:t>填写预算部门（单位）全称。</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cs="楷体_GB2312"/>
          <w:b/>
          <w:sz w:val="32"/>
          <w:szCs w:val="32"/>
        </w:rPr>
        <w:t>3、预算编码：</w:t>
      </w:r>
      <w:r>
        <w:rPr>
          <w:rFonts w:hint="eastAsia" w:ascii="仿宋_GB2312" w:eastAsia="仿宋_GB2312"/>
          <w:bCs/>
          <w:sz w:val="32"/>
          <w:szCs w:val="32"/>
        </w:rPr>
        <w:t>按照规范填写单位财政预算编码。</w:t>
      </w:r>
    </w:p>
    <w:p>
      <w:pPr>
        <w:adjustRightInd w:val="0"/>
        <w:snapToGrid w:val="0"/>
        <w:spacing w:line="620" w:lineRule="exact"/>
        <w:ind w:firstLine="634" w:firstLineChars="200"/>
        <w:rPr>
          <w:rFonts w:eastAsia="黑体" w:cs="黑体"/>
          <w:bCs/>
          <w:sz w:val="32"/>
          <w:szCs w:val="32"/>
        </w:rPr>
      </w:pPr>
      <w:r>
        <w:rPr>
          <w:rFonts w:hint="eastAsia" w:eastAsia="黑体" w:cs="黑体"/>
          <w:bCs/>
          <w:sz w:val="32"/>
          <w:szCs w:val="32"/>
        </w:rPr>
        <w:t>三、绩效评价自评报告表格内容填写</w:t>
      </w:r>
    </w:p>
    <w:p>
      <w:pPr>
        <w:adjustRightInd w:val="0"/>
        <w:snapToGrid w:val="0"/>
        <w:spacing w:line="620" w:lineRule="exact"/>
        <w:ind w:firstLine="634" w:firstLineChars="200"/>
        <w:rPr>
          <w:rFonts w:ascii="仿宋_GB2312" w:eastAsia="仿宋_GB2312"/>
          <w:bCs/>
          <w:sz w:val="32"/>
          <w:szCs w:val="32"/>
        </w:rPr>
      </w:pPr>
      <w:r>
        <w:rPr>
          <w:rStyle w:val="18"/>
          <w:rFonts w:hint="default" w:ascii="仿宋_GB2312" w:eastAsia="仿宋_GB2312"/>
          <w:szCs w:val="32"/>
        </w:rPr>
        <w:t>1、人员编制：</w:t>
      </w:r>
      <w:r>
        <w:rPr>
          <w:rFonts w:hint="eastAsia" w:ascii="仿宋_GB2312" w:eastAsia="仿宋_GB2312"/>
          <w:bCs/>
          <w:sz w:val="32"/>
          <w:szCs w:val="32"/>
        </w:rPr>
        <w:t>填列截至被评价年度12月底三定方案规定的人员编制数。</w:t>
      </w:r>
    </w:p>
    <w:p>
      <w:pPr>
        <w:adjustRightInd w:val="0"/>
        <w:snapToGrid w:val="0"/>
        <w:spacing w:line="620" w:lineRule="exact"/>
        <w:ind w:firstLine="634" w:firstLineChars="200"/>
        <w:rPr>
          <w:rFonts w:ascii="仿宋_GB2312" w:eastAsia="仿宋_GB2312"/>
          <w:bCs/>
          <w:sz w:val="32"/>
          <w:szCs w:val="32"/>
        </w:rPr>
      </w:pPr>
      <w:r>
        <w:rPr>
          <w:rStyle w:val="18"/>
          <w:rFonts w:hint="default" w:ascii="仿宋_GB2312" w:eastAsia="仿宋_GB2312"/>
          <w:szCs w:val="32"/>
        </w:rPr>
        <w:t>2、实有人数：</w:t>
      </w:r>
      <w:r>
        <w:rPr>
          <w:rStyle w:val="18"/>
          <w:rFonts w:hint="default" w:ascii="仿宋_GB2312" w:hAnsi="仿宋_GB2312" w:eastAsia="仿宋_GB2312" w:cs="仿宋_GB2312"/>
          <w:b w:val="0"/>
          <w:bCs/>
          <w:szCs w:val="32"/>
        </w:rPr>
        <w:t>填列</w:t>
      </w:r>
      <w:r>
        <w:rPr>
          <w:rFonts w:hint="eastAsia" w:ascii="仿宋_GB2312" w:eastAsia="仿宋_GB2312"/>
          <w:bCs/>
          <w:sz w:val="32"/>
          <w:szCs w:val="32"/>
        </w:rPr>
        <w:t>截至被评价年度12月底的实有人数</w:t>
      </w:r>
      <w:r>
        <w:rPr>
          <w:rFonts w:hint="eastAsia" w:ascii="仿宋_GB2312" w:hAnsi="仿宋_GB2312" w:eastAsia="仿宋_GB2312" w:cs="仿宋_GB2312"/>
          <w:bCs/>
          <w:sz w:val="32"/>
          <w:szCs w:val="32"/>
        </w:rPr>
        <w:t>。</w:t>
      </w:r>
    </w:p>
    <w:p>
      <w:pPr>
        <w:snapToGrid w:val="0"/>
        <w:spacing w:line="620" w:lineRule="exact"/>
        <w:ind w:firstLine="634" w:firstLineChars="200"/>
        <w:rPr>
          <w:rFonts w:ascii="仿宋_GB2312" w:eastAsia="仿宋_GB2312"/>
          <w:sz w:val="32"/>
          <w:szCs w:val="32"/>
        </w:rPr>
      </w:pPr>
      <w:r>
        <w:rPr>
          <w:rStyle w:val="18"/>
          <w:rFonts w:hint="default" w:ascii="仿宋_GB2312" w:eastAsia="仿宋_GB2312"/>
          <w:szCs w:val="32"/>
        </w:rPr>
        <w:t>3、部门职能职责概述：</w:t>
      </w:r>
      <w:r>
        <w:rPr>
          <w:rFonts w:hint="eastAsia" w:ascii="仿宋_GB2312" w:hAnsi="仿宋_GB2312" w:eastAsia="仿宋_GB2312" w:cs="仿宋_GB2312"/>
          <w:color w:val="000000"/>
          <w:sz w:val="32"/>
          <w:szCs w:val="32"/>
          <w:shd w:val="clear" w:color="auto" w:fill="FFFFFF"/>
        </w:rPr>
        <w:t>根据人事部门（单位）核定的部门（单位）职责和本部门（单位）工作计划，对部门（单位）业务工作的基本情况进行简要描述，可以包括部门（单位）主要业务介绍、工作目标等内容。</w:t>
      </w:r>
    </w:p>
    <w:p>
      <w:pPr>
        <w:snapToGrid w:val="0"/>
        <w:spacing w:line="620" w:lineRule="exact"/>
        <w:ind w:firstLine="634" w:firstLineChars="200"/>
        <w:rPr>
          <w:rFonts w:ascii="仿宋_GB2312" w:eastAsia="仿宋_GB2312"/>
          <w:sz w:val="32"/>
          <w:szCs w:val="32"/>
        </w:rPr>
      </w:pPr>
      <w:r>
        <w:rPr>
          <w:rStyle w:val="18"/>
          <w:rFonts w:hint="default" w:ascii="仿宋_GB2312" w:eastAsia="仿宋_GB2312"/>
          <w:szCs w:val="32"/>
        </w:rPr>
        <w:t>4、年度主要工作内容：</w:t>
      </w:r>
      <w:r>
        <w:rPr>
          <w:rFonts w:hint="eastAsia" w:ascii="仿宋_GB2312" w:eastAsia="仿宋_GB2312"/>
          <w:sz w:val="32"/>
          <w:szCs w:val="32"/>
        </w:rPr>
        <w:t>分任务明细填报年度主要工作内容，如各子任务名称、内容及用途、金额及计划实施时间等。</w:t>
      </w:r>
    </w:p>
    <w:p>
      <w:pPr>
        <w:adjustRightInd w:val="0"/>
        <w:snapToGrid w:val="0"/>
        <w:spacing w:line="620" w:lineRule="exact"/>
        <w:ind w:firstLine="634" w:firstLineChars="200"/>
        <w:rPr>
          <w:rStyle w:val="18"/>
          <w:rFonts w:hint="default" w:ascii="仿宋_GB2312" w:hAnsi="仿宋_GB2312" w:eastAsia="仿宋_GB2312" w:cs="仿宋_GB2312"/>
          <w:b w:val="0"/>
          <w:bCs/>
          <w:szCs w:val="32"/>
        </w:rPr>
      </w:pPr>
      <w:r>
        <w:rPr>
          <w:rStyle w:val="18"/>
          <w:rFonts w:hint="default" w:ascii="仿宋_GB2312" w:eastAsia="仿宋_GB2312"/>
          <w:szCs w:val="32"/>
        </w:rPr>
        <w:t>5、年度部门（单位）总体运行情况及取得的成绩：</w:t>
      </w:r>
      <w:r>
        <w:rPr>
          <w:rStyle w:val="18"/>
          <w:rFonts w:hint="default" w:ascii="仿宋_GB2312" w:hAnsi="仿宋_GB2312" w:eastAsia="仿宋_GB2312" w:cs="仿宋_GB2312"/>
          <w:b w:val="0"/>
          <w:bCs/>
          <w:szCs w:val="32"/>
        </w:rPr>
        <w:t>简述被评价年度本部门（单位）的总体运行情况，罗列取得的成绩。</w:t>
      </w:r>
    </w:p>
    <w:p>
      <w:pPr>
        <w:adjustRightInd w:val="0"/>
        <w:snapToGrid w:val="0"/>
        <w:spacing w:line="620" w:lineRule="exact"/>
        <w:ind w:firstLine="634" w:firstLineChars="200"/>
        <w:rPr>
          <w:rStyle w:val="18"/>
          <w:rFonts w:hint="default" w:ascii="仿宋_GB2312" w:eastAsia="仿宋_GB2312"/>
          <w:szCs w:val="32"/>
        </w:rPr>
      </w:pPr>
      <w:r>
        <w:rPr>
          <w:rStyle w:val="18"/>
          <w:rFonts w:hint="default" w:ascii="仿宋_GB2312" w:eastAsia="仿宋_GB2312"/>
          <w:szCs w:val="32"/>
        </w:rPr>
        <w:t>6、部门（单位）收支情况：</w:t>
      </w:r>
      <w:r>
        <w:rPr>
          <w:rStyle w:val="18"/>
          <w:rFonts w:hint="default" w:ascii="仿宋_GB2312" w:hAnsi="仿宋_GB2312" w:eastAsia="仿宋_GB2312" w:cs="仿宋_GB2312"/>
          <w:b w:val="0"/>
          <w:bCs/>
          <w:szCs w:val="32"/>
        </w:rPr>
        <w:t>详细列出被评价年度本部门（单位）的收支明细，需包含二级机构的收支内容。</w:t>
      </w:r>
    </w:p>
    <w:p>
      <w:pPr>
        <w:adjustRightInd w:val="0"/>
        <w:snapToGrid w:val="0"/>
        <w:spacing w:line="620" w:lineRule="exact"/>
        <w:ind w:firstLine="634" w:firstLineChars="200"/>
        <w:rPr>
          <w:rStyle w:val="18"/>
          <w:rFonts w:hint="default" w:ascii="仿宋_GB2312" w:eastAsia="仿宋_GB2312"/>
          <w:szCs w:val="32"/>
        </w:rPr>
      </w:pPr>
      <w:r>
        <w:rPr>
          <w:rStyle w:val="18"/>
          <w:rFonts w:hint="default" w:ascii="仿宋_GB2312" w:eastAsia="仿宋_GB2312"/>
          <w:szCs w:val="32"/>
        </w:rPr>
        <w:t>7、部门（单位）整体支出绩效定性目标及实施计划完成情况：</w:t>
      </w:r>
      <w:r>
        <w:rPr>
          <w:rStyle w:val="18"/>
          <w:rFonts w:hint="default" w:ascii="仿宋_GB2312" w:hAnsi="仿宋_GB2312" w:eastAsia="仿宋_GB2312" w:cs="仿宋_GB2312"/>
          <w:b w:val="0"/>
          <w:bCs/>
          <w:szCs w:val="32"/>
        </w:rPr>
        <w:t>“</w:t>
      </w:r>
      <w:r>
        <w:rPr>
          <w:rFonts w:hint="eastAsia" w:ascii="仿宋_GB2312" w:hAnsi="仿宋_GB2312" w:eastAsia="仿宋_GB2312" w:cs="仿宋_GB2312"/>
          <w:bCs/>
          <w:sz w:val="32"/>
          <w:szCs w:val="32"/>
        </w:rPr>
        <w:t>预期</w:t>
      </w:r>
      <w:r>
        <w:rPr>
          <w:rFonts w:hint="eastAsia" w:ascii="仿宋_GB2312" w:eastAsia="仿宋_GB2312"/>
          <w:sz w:val="32"/>
          <w:szCs w:val="32"/>
        </w:rPr>
        <w:t>目标”栏按被评价年度申报的部门整体支出预算绩效目标申报表的有关内容直接填写，如年初没有申报绩效目标，可参考本部门（单位）年度工作计划。“实际完成”栏，则按照主要填写绩效目标及实施计划的实际完成情况，应与“预期目标”栏相关内容逐条对应。</w:t>
      </w:r>
    </w:p>
    <w:p>
      <w:pPr>
        <w:adjustRightInd w:val="0"/>
        <w:snapToGrid w:val="0"/>
        <w:spacing w:line="620" w:lineRule="exact"/>
        <w:ind w:firstLine="634" w:firstLineChars="200"/>
        <w:rPr>
          <w:rStyle w:val="18"/>
          <w:rFonts w:hint="default" w:ascii="仿宋_GB2312" w:eastAsia="仿宋_GB2312"/>
          <w:szCs w:val="32"/>
        </w:rPr>
      </w:pPr>
      <w:r>
        <w:rPr>
          <w:rStyle w:val="18"/>
          <w:rFonts w:hint="default" w:ascii="仿宋_GB2312" w:eastAsia="仿宋_GB2312"/>
          <w:szCs w:val="32"/>
        </w:rPr>
        <w:t>8、部门整体支出绩效定量目标及实施计划完成情况：</w:t>
      </w:r>
      <w:r>
        <w:rPr>
          <w:rStyle w:val="18"/>
          <w:rFonts w:hint="default" w:ascii="仿宋_GB2312" w:eastAsia="仿宋_GB2312" w:cs="仿宋_GB2312"/>
          <w:b w:val="0"/>
          <w:bCs/>
          <w:szCs w:val="32"/>
        </w:rPr>
        <w:t>对部门整体支出绩效目标进行细化和量化。本部分内容与附件3《部门整体支出绩效评价指标体系（参考样表）》中的“产出”指标和“效果”指标相对应，如修改调整了该指标体系，应相应修改本部分指标内容。“实际完成值”栏主要填写项目指标的实际完成情况，应与“指标内容”、“指标（目标）值”栏相关内容逐条对应。</w:t>
      </w:r>
    </w:p>
    <w:p>
      <w:pPr>
        <w:adjustRightInd w:val="0"/>
        <w:snapToGrid w:val="0"/>
        <w:spacing w:line="620" w:lineRule="exact"/>
        <w:ind w:firstLine="634" w:firstLineChars="200"/>
        <w:rPr>
          <w:rFonts w:cs="仿宋_GB2312"/>
          <w:bCs/>
        </w:rPr>
      </w:pPr>
      <w:r>
        <w:rPr>
          <w:rStyle w:val="18"/>
          <w:rFonts w:hint="default" w:ascii="仿宋_GB2312" w:eastAsia="仿宋_GB2312"/>
          <w:szCs w:val="32"/>
        </w:rPr>
        <w:t>9、绩效自评综合得分：</w:t>
      </w:r>
      <w:r>
        <w:rPr>
          <w:rStyle w:val="18"/>
          <w:rFonts w:hint="default" w:ascii="仿宋_GB2312" w:eastAsia="仿宋_GB2312" w:cs="仿宋_GB2312"/>
          <w:b w:val="0"/>
          <w:bCs/>
          <w:szCs w:val="32"/>
        </w:rPr>
        <w:t>对照</w:t>
      </w:r>
      <w:r>
        <w:rPr>
          <w:rFonts w:hint="eastAsia" w:ascii="仿宋_GB2312" w:eastAsia="仿宋_GB2312" w:cs="仿宋_GB2312"/>
          <w:bCs/>
          <w:sz w:val="32"/>
          <w:szCs w:val="32"/>
        </w:rPr>
        <w:t>附件3《部门整体支出绩效评价指标体系（参考样表）》打分后填写《部门整体支出绩效评价评分表》，按照最后综合得分填写“绩效自评综合得分”栏。</w:t>
      </w:r>
    </w:p>
    <w:p>
      <w:pPr>
        <w:adjustRightInd w:val="0"/>
        <w:snapToGrid w:val="0"/>
        <w:spacing w:line="620" w:lineRule="exact"/>
        <w:ind w:firstLine="634" w:firstLineChars="200"/>
        <w:rPr>
          <w:rFonts w:ascii="仿宋_GB2312" w:eastAsia="仿宋_GB2312"/>
          <w:bCs/>
          <w:sz w:val="32"/>
          <w:szCs w:val="32"/>
        </w:rPr>
      </w:pPr>
      <w:r>
        <w:rPr>
          <w:rStyle w:val="18"/>
          <w:rFonts w:hint="default" w:ascii="仿宋_GB2312" w:eastAsia="仿宋_GB2312"/>
          <w:szCs w:val="32"/>
        </w:rPr>
        <w:t>10、评价等次：</w:t>
      </w:r>
      <w:r>
        <w:rPr>
          <w:rFonts w:hint="eastAsia" w:ascii="仿宋_GB2312" w:eastAsia="仿宋_GB2312"/>
          <w:bCs/>
          <w:sz w:val="32"/>
          <w:szCs w:val="32"/>
        </w:rPr>
        <w:t>按照综合得分（S）的分值填写相应的评价等次。评价等次分为优秀（S≥90）、良好（90＞S≥80）、合格（80＞S≥70）、不合格（S＜70）4个评价等次。</w:t>
      </w:r>
    </w:p>
    <w:p>
      <w:pPr>
        <w:adjustRightInd w:val="0"/>
        <w:snapToGrid w:val="0"/>
        <w:spacing w:line="620" w:lineRule="exact"/>
        <w:ind w:firstLine="634" w:firstLineChars="200"/>
        <w:rPr>
          <w:rFonts w:ascii="仿宋_GB2312" w:eastAsia="仿宋_GB2312"/>
          <w:bCs/>
          <w:sz w:val="32"/>
          <w:szCs w:val="32"/>
        </w:rPr>
      </w:pPr>
      <w:r>
        <w:rPr>
          <w:rStyle w:val="18"/>
          <w:rFonts w:hint="default" w:ascii="仿宋_GB2312" w:eastAsia="仿宋_GB2312"/>
          <w:szCs w:val="32"/>
        </w:rPr>
        <w:t>11、评价人员：</w:t>
      </w:r>
      <w:r>
        <w:rPr>
          <w:rFonts w:hint="eastAsia" w:ascii="仿宋_GB2312" w:eastAsia="仿宋_GB2312"/>
          <w:bCs/>
          <w:sz w:val="32"/>
          <w:szCs w:val="32"/>
        </w:rPr>
        <w:t>填写参与部门（单位）整体支出绩效评价的绩效评价工作小组成员名单，并由本人签字。</w:t>
      </w:r>
    </w:p>
    <w:p>
      <w:pPr>
        <w:adjustRightInd w:val="0"/>
        <w:snapToGrid w:val="0"/>
        <w:spacing w:line="620" w:lineRule="exact"/>
        <w:ind w:firstLine="634" w:firstLineChars="200"/>
        <w:rPr>
          <w:rFonts w:ascii="仿宋_GB2312" w:eastAsia="仿宋_GB2312"/>
          <w:bCs/>
          <w:sz w:val="32"/>
          <w:szCs w:val="32"/>
        </w:rPr>
      </w:pPr>
      <w:r>
        <w:rPr>
          <w:rStyle w:val="18"/>
          <w:rFonts w:hint="default" w:ascii="仿宋_GB2312" w:eastAsia="仿宋_GB2312"/>
          <w:szCs w:val="32"/>
        </w:rPr>
        <w:t>12、部门（单位）意见：</w:t>
      </w:r>
      <w:r>
        <w:rPr>
          <w:rFonts w:hint="eastAsia" w:ascii="仿宋_GB2312" w:eastAsia="仿宋_GB2312"/>
          <w:bCs/>
          <w:sz w:val="32"/>
          <w:szCs w:val="32"/>
        </w:rPr>
        <w:t>被评价部门（单位）签署意见，由部门（单位）负责人签字后加盖行政公章。</w:t>
      </w:r>
    </w:p>
    <w:p>
      <w:pPr>
        <w:spacing w:line="620" w:lineRule="exact"/>
        <w:ind w:firstLine="634" w:firstLineChars="200"/>
        <w:rPr>
          <w:rFonts w:ascii="黑体" w:hAnsi="黑体" w:eastAsia="黑体"/>
          <w:sz w:val="32"/>
          <w:szCs w:val="32"/>
        </w:rPr>
      </w:pPr>
      <w:r>
        <w:rPr>
          <w:rFonts w:hint="eastAsia" w:ascii="黑体" w:hAnsi="黑体" w:eastAsia="黑体"/>
          <w:sz w:val="32"/>
          <w:szCs w:val="32"/>
        </w:rPr>
        <w:t>四、自评报告综述（文字部分）</w:t>
      </w:r>
    </w:p>
    <w:p>
      <w:pPr>
        <w:adjustRightInd w:val="0"/>
        <w:snapToGrid w:val="0"/>
        <w:spacing w:line="620" w:lineRule="exact"/>
        <w:ind w:firstLine="634" w:firstLineChars="200"/>
        <w:rPr>
          <w:rFonts w:eastAsia="仿宋_GB2312"/>
          <w:bCs/>
          <w:sz w:val="32"/>
          <w:szCs w:val="32"/>
        </w:rPr>
      </w:pPr>
      <w:r>
        <w:rPr>
          <w:rFonts w:hint="eastAsia" w:eastAsia="仿宋_GB2312"/>
          <w:bCs/>
          <w:sz w:val="32"/>
          <w:szCs w:val="32"/>
        </w:rPr>
        <w:t>评价组应根据下列提纲对各项内容进行详细说明：</w:t>
      </w:r>
    </w:p>
    <w:p>
      <w:pPr>
        <w:adjustRightInd w:val="0"/>
        <w:snapToGrid w:val="0"/>
        <w:spacing w:line="620" w:lineRule="exact"/>
        <w:ind w:firstLine="634"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（一）部门（单位）概况</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1、部门（单位）基本情况（包括部门（单位）的在职人员情况、机构设置、主要职能及重点工作计划等）。</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2、部门（单位）整体支出规模、使用方向和主要内容、涉及范围等。</w:t>
      </w:r>
    </w:p>
    <w:p>
      <w:pPr>
        <w:adjustRightInd w:val="0"/>
        <w:snapToGrid w:val="0"/>
        <w:spacing w:line="620" w:lineRule="exact"/>
        <w:ind w:firstLine="634"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（二）部门（单位）整体支出管理及使用情况</w:t>
      </w:r>
    </w:p>
    <w:p>
      <w:pPr>
        <w:adjustRightInd w:val="0"/>
        <w:snapToGrid w:val="0"/>
        <w:spacing w:line="620" w:lineRule="exact"/>
        <w:ind w:firstLine="634" w:firstLineChars="200"/>
        <w:rPr>
          <w:rFonts w:ascii="仿宋_GB2312" w:eastAsia="仿宋_GB2312"/>
          <w:b/>
          <w:bCs/>
          <w:sz w:val="32"/>
          <w:szCs w:val="32"/>
        </w:rPr>
      </w:pPr>
      <w:r>
        <w:rPr>
          <w:rFonts w:hint="eastAsia" w:ascii="仿宋_GB2312" w:eastAsia="仿宋_GB2312"/>
          <w:b/>
          <w:bCs/>
          <w:sz w:val="32"/>
          <w:szCs w:val="32"/>
        </w:rPr>
        <w:t>1、基本支出</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介绍基本支出的主要用途、范围以及资金的管理情况，尤其是“三公”经费的使用和管理情况。</w:t>
      </w:r>
    </w:p>
    <w:p>
      <w:pPr>
        <w:adjustRightInd w:val="0"/>
        <w:snapToGrid w:val="0"/>
        <w:spacing w:line="620" w:lineRule="exact"/>
        <w:ind w:firstLine="634" w:firstLineChars="200"/>
        <w:rPr>
          <w:rFonts w:ascii="仿宋_GB2312" w:eastAsia="仿宋_GB2312"/>
          <w:b/>
          <w:bCs/>
          <w:sz w:val="32"/>
          <w:szCs w:val="32"/>
        </w:rPr>
      </w:pPr>
      <w:r>
        <w:rPr>
          <w:rFonts w:hint="eastAsia" w:ascii="仿宋_GB2312" w:eastAsia="仿宋_GB2312"/>
          <w:b/>
          <w:bCs/>
          <w:sz w:val="32"/>
          <w:szCs w:val="32"/>
        </w:rPr>
        <w:t>2、专项支出</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（1）专项资金（包括财政资金、自筹资金等）安排落实、总投入等情况分析。</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（2）专项资金（主要指财政资金）实际使用情况分析。</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（3）专项资金管理情况分析，主要包括管理制度、办法的制订及执行情况。</w:t>
      </w:r>
    </w:p>
    <w:p>
      <w:pPr>
        <w:adjustRightInd w:val="0"/>
        <w:snapToGrid w:val="0"/>
        <w:spacing w:line="620" w:lineRule="exact"/>
        <w:ind w:firstLine="634"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（三）部门（单位）专项组织实施情况</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1、专项组织情况分析，主要包括项目招投标、调整、竣工验收等情况。</w:t>
      </w:r>
    </w:p>
    <w:p>
      <w:pPr>
        <w:adjustRightInd w:val="0"/>
        <w:snapToGrid w:val="0"/>
        <w:spacing w:line="620" w:lineRule="exact"/>
        <w:ind w:firstLine="634" w:firstLineChars="200"/>
        <w:rPr>
          <w:rFonts w:ascii="仿宋_GB2312" w:eastAsia="仿宋_GB2312"/>
          <w:bCs/>
          <w:sz w:val="32"/>
          <w:szCs w:val="32"/>
        </w:rPr>
      </w:pPr>
      <w:r>
        <w:rPr>
          <w:rFonts w:hint="eastAsia" w:ascii="仿宋_GB2312" w:eastAsia="仿宋_GB2312"/>
          <w:bCs/>
          <w:sz w:val="32"/>
          <w:szCs w:val="32"/>
        </w:rPr>
        <w:t>2、专项管理情况分析，主要包括项目管理制度建设、日常检查监督管理等情况。</w:t>
      </w:r>
    </w:p>
    <w:p>
      <w:pPr>
        <w:adjustRightInd w:val="0"/>
        <w:snapToGrid w:val="0"/>
        <w:spacing w:line="620" w:lineRule="exact"/>
        <w:ind w:firstLine="634"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（四）部门（单位）整体支出绩效情况</w:t>
      </w:r>
    </w:p>
    <w:p>
      <w:pPr>
        <w:adjustRightInd w:val="0"/>
        <w:snapToGrid w:val="0"/>
        <w:spacing w:line="620" w:lineRule="exact"/>
        <w:ind w:firstLine="634" w:firstLineChars="200"/>
        <w:rPr>
          <w:rFonts w:eastAsia="仿宋_GB2312"/>
          <w:bCs/>
          <w:sz w:val="32"/>
          <w:szCs w:val="32"/>
        </w:rPr>
      </w:pPr>
      <w:r>
        <w:rPr>
          <w:rFonts w:hint="eastAsia" w:eastAsia="仿宋_GB2312"/>
          <w:bCs/>
          <w:sz w:val="32"/>
          <w:szCs w:val="32"/>
        </w:rPr>
        <w:t>反映部门（单位）履职及履职效益情况。主要从部门（单位）整体支出的经济性、效率性、有效性和可持续性等方面进行量化、具体分析。其中：经济性分析主要是对成本（预算）控制、节约等情况进行分析；效率性分析主要是对各项工作、专项完成的进度及质量等情况进行分析；有效性分析主要是对反映部门（单位）整体支出使用效果的个性指标进行分析；可持续性分析主要是对支出完成后，后续政策、资金、人员机构安排和管理措施等影响项目持续发展的因素进行分析。</w:t>
      </w:r>
    </w:p>
    <w:p>
      <w:pPr>
        <w:adjustRightInd w:val="0"/>
        <w:snapToGrid w:val="0"/>
        <w:spacing w:line="620" w:lineRule="exact"/>
        <w:ind w:firstLine="634"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（五）存在的主要问题</w:t>
      </w:r>
    </w:p>
    <w:p>
      <w:pPr>
        <w:adjustRightInd w:val="0"/>
        <w:snapToGrid w:val="0"/>
        <w:spacing w:line="620" w:lineRule="exact"/>
        <w:ind w:firstLine="634" w:firstLineChars="200"/>
        <w:rPr>
          <w:rFonts w:eastAsia="仿宋_GB2312"/>
          <w:bCs/>
          <w:sz w:val="32"/>
          <w:szCs w:val="32"/>
        </w:rPr>
      </w:pPr>
      <w:r>
        <w:rPr>
          <w:rFonts w:hint="eastAsia" w:eastAsia="仿宋_GB2312"/>
          <w:bCs/>
          <w:sz w:val="32"/>
          <w:szCs w:val="32"/>
        </w:rPr>
        <w:t>主要阐述资金安排、使用过程中存在的问题</w:t>
      </w:r>
    </w:p>
    <w:p>
      <w:pPr>
        <w:adjustRightInd w:val="0"/>
        <w:snapToGrid w:val="0"/>
        <w:spacing w:line="620" w:lineRule="exact"/>
        <w:ind w:firstLine="634"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（六）改进措施和有关建议</w:t>
      </w:r>
    </w:p>
    <w:p>
      <w:pPr>
        <w:spacing w:line="620" w:lineRule="exact"/>
        <w:ind w:firstLine="634" w:firstLineChars="200"/>
        <w:rPr>
          <w:rFonts w:eastAsia="仿宋_GB2312"/>
          <w:bCs/>
          <w:sz w:val="32"/>
          <w:szCs w:val="32"/>
        </w:rPr>
      </w:pPr>
      <w:r>
        <w:rPr>
          <w:rFonts w:hint="eastAsia" w:eastAsia="仿宋_GB2312"/>
          <w:bCs/>
          <w:sz w:val="32"/>
          <w:szCs w:val="32"/>
        </w:rPr>
        <w:t>对存在的问题提出切实可行的改进措施和有关建议等。</w:t>
      </w:r>
    </w:p>
    <w:p>
      <w:pPr>
        <w:spacing w:line="620" w:lineRule="exact"/>
        <w:rPr>
          <w:rFonts w:eastAsia="仿宋_GB2312"/>
          <w:bCs/>
          <w:sz w:val="32"/>
          <w:szCs w:val="32"/>
        </w:rPr>
      </w:pPr>
    </w:p>
    <w:p>
      <w:pPr>
        <w:spacing w:line="620" w:lineRule="exact"/>
        <w:rPr>
          <w:rFonts w:ascii="黑体" w:hAnsi="黑体" w:eastAsia="黑体" w:cs="黑体"/>
          <w:bCs/>
          <w:sz w:val="32"/>
          <w:szCs w:val="32"/>
        </w:rPr>
      </w:pPr>
    </w:p>
    <w:p>
      <w:pPr>
        <w:spacing w:line="620" w:lineRule="exact"/>
        <w:rPr>
          <w:rFonts w:ascii="黑体" w:hAnsi="黑体" w:eastAsia="黑体"/>
          <w:bCs/>
          <w:sz w:val="32"/>
          <w:szCs w:val="32"/>
        </w:rPr>
      </w:pPr>
      <w:r>
        <w:rPr>
          <w:rFonts w:hint="eastAsia" w:ascii="黑体" w:hAnsi="黑体" w:eastAsia="黑体" w:cs="黑体"/>
          <w:bCs/>
          <w:sz w:val="32"/>
          <w:szCs w:val="32"/>
        </w:rPr>
        <w:br w:type="page"/>
      </w:r>
      <w:r>
        <w:rPr>
          <w:rFonts w:hint="eastAsia" w:ascii="黑体" w:hAnsi="黑体" w:eastAsia="黑体" w:cs="黑体"/>
          <w:bCs/>
          <w:sz w:val="32"/>
          <w:szCs w:val="32"/>
        </w:rPr>
        <w:t>附件1-2</w:t>
      </w:r>
    </w:p>
    <w:p>
      <w:pPr>
        <w:snapToGrid w:val="0"/>
        <w:spacing w:line="620" w:lineRule="exact"/>
        <w:jc w:val="center"/>
        <w:rPr>
          <w:rFonts w:eastAsia="方正小标宋简体" w:cs="方正小标宋简体"/>
          <w:bCs/>
          <w:sz w:val="44"/>
          <w:szCs w:val="44"/>
        </w:rPr>
      </w:pPr>
    </w:p>
    <w:p>
      <w:pPr>
        <w:snapToGrid w:val="0"/>
        <w:spacing w:line="620" w:lineRule="exact"/>
        <w:jc w:val="center"/>
        <w:rPr>
          <w:rFonts w:eastAsia="方正小标宋简体" w:cs="方正小标宋简体"/>
          <w:bCs/>
          <w:sz w:val="44"/>
          <w:szCs w:val="44"/>
        </w:rPr>
      </w:pPr>
      <w:r>
        <w:rPr>
          <w:rFonts w:hint="eastAsia" w:eastAsia="方正小标宋简体" w:cs="方正小标宋简体"/>
          <w:bCs/>
          <w:sz w:val="44"/>
          <w:szCs w:val="44"/>
        </w:rPr>
        <w:t>岳阳县项目支出绩效评价自评报告</w:t>
      </w:r>
    </w:p>
    <w:p>
      <w:pPr>
        <w:snapToGrid w:val="0"/>
        <w:spacing w:line="620" w:lineRule="exact"/>
        <w:jc w:val="center"/>
        <w:rPr>
          <w:rFonts w:eastAsia="方正小标宋简体" w:cs="方正小标宋简体"/>
          <w:bCs/>
          <w:sz w:val="44"/>
          <w:szCs w:val="44"/>
        </w:rPr>
      </w:pPr>
      <w:r>
        <w:rPr>
          <w:rFonts w:hint="eastAsia" w:eastAsia="方正小标宋简体" w:cs="方正小标宋简体"/>
          <w:bCs/>
          <w:sz w:val="44"/>
          <w:szCs w:val="44"/>
        </w:rPr>
        <w:t>填</w:t>
      </w:r>
      <w:r>
        <w:rPr>
          <w:rFonts w:eastAsia="方正小标宋简体" w:cs="方正小标宋简体"/>
          <w:bCs/>
          <w:sz w:val="44"/>
          <w:szCs w:val="44"/>
        </w:rPr>
        <w:t xml:space="preserve"> </w:t>
      </w:r>
      <w:r>
        <w:rPr>
          <w:rFonts w:hint="eastAsia" w:eastAsia="方正小标宋简体" w:cs="方正小标宋简体"/>
          <w:bCs/>
          <w:sz w:val="44"/>
          <w:szCs w:val="44"/>
        </w:rPr>
        <w:t>报</w:t>
      </w:r>
      <w:r>
        <w:rPr>
          <w:rFonts w:eastAsia="方正小标宋简体" w:cs="方正小标宋简体"/>
          <w:bCs/>
          <w:sz w:val="44"/>
          <w:szCs w:val="44"/>
        </w:rPr>
        <w:t xml:space="preserve"> </w:t>
      </w:r>
      <w:r>
        <w:rPr>
          <w:rFonts w:hint="eastAsia" w:eastAsia="方正小标宋简体" w:cs="方正小标宋简体"/>
          <w:bCs/>
          <w:sz w:val="44"/>
          <w:szCs w:val="44"/>
        </w:rPr>
        <w:t>说</w:t>
      </w:r>
      <w:r>
        <w:rPr>
          <w:rFonts w:eastAsia="方正小标宋简体" w:cs="方正小标宋简体"/>
          <w:bCs/>
          <w:sz w:val="44"/>
          <w:szCs w:val="44"/>
        </w:rPr>
        <w:t xml:space="preserve"> </w:t>
      </w:r>
      <w:r>
        <w:rPr>
          <w:rFonts w:hint="eastAsia" w:eastAsia="方正小标宋简体" w:cs="方正小标宋简体"/>
          <w:bCs/>
          <w:sz w:val="44"/>
          <w:szCs w:val="44"/>
        </w:rPr>
        <w:t>明</w:t>
      </w:r>
    </w:p>
    <w:p>
      <w:pPr>
        <w:spacing w:line="620" w:lineRule="exact"/>
        <w:rPr>
          <w:rFonts w:ascii="仿宋_GB2312" w:eastAsia="仿宋_GB2312"/>
          <w:sz w:val="32"/>
          <w:szCs w:val="32"/>
        </w:rPr>
      </w:pPr>
    </w:p>
    <w:p>
      <w:pPr>
        <w:spacing w:line="620" w:lineRule="exact"/>
        <w:ind w:firstLine="634" w:firstLineChars="200"/>
        <w:rPr>
          <w:rFonts w:ascii="仿宋_GB2312" w:hAnsi="黑体" w:eastAsia="仿宋_GB2312"/>
          <w:sz w:val="32"/>
          <w:szCs w:val="32"/>
        </w:rPr>
      </w:pPr>
      <w:r>
        <w:rPr>
          <w:rFonts w:hint="eastAsia" w:ascii="黑体" w:hAnsi="黑体" w:eastAsia="黑体"/>
          <w:sz w:val="32"/>
          <w:szCs w:val="32"/>
        </w:rPr>
        <w:t>一、</w:t>
      </w:r>
      <w:r>
        <w:rPr>
          <w:rFonts w:hint="eastAsia" w:ascii="仿宋_GB2312" w:hAnsi="黑体" w:eastAsia="仿宋_GB2312"/>
          <w:sz w:val="32"/>
          <w:szCs w:val="32"/>
        </w:rPr>
        <w:t>项目绩效评价自评报告由部门（单位）评价组填写，所有内容必须客观、真实、准确。</w:t>
      </w:r>
    </w:p>
    <w:p>
      <w:pPr>
        <w:spacing w:line="620" w:lineRule="exact"/>
        <w:ind w:firstLine="634" w:firstLineChars="200"/>
        <w:rPr>
          <w:rFonts w:ascii="黑体" w:hAnsi="黑体" w:eastAsia="黑体"/>
          <w:sz w:val="32"/>
          <w:szCs w:val="32"/>
        </w:rPr>
      </w:pPr>
      <w:r>
        <w:rPr>
          <w:rFonts w:hint="eastAsia" w:ascii="黑体" w:hAnsi="黑体" w:eastAsia="黑体"/>
          <w:sz w:val="32"/>
          <w:szCs w:val="32"/>
        </w:rPr>
        <w:t>二、封面填写</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1、评价类型：</w:t>
      </w:r>
      <w:r>
        <w:rPr>
          <w:rFonts w:hint="eastAsia" w:ascii="仿宋_GB2312" w:eastAsia="仿宋_GB2312"/>
          <w:sz w:val="32"/>
          <w:szCs w:val="32"/>
        </w:rPr>
        <w:t>分为“项目实施过程评价”和“ 项目完成结果评价”两类，在项目所属类型的方框内打“√”。属于项目实施过程评价的勾选“项目实施过程评价”；属于项目完成评价的勾选“项目完成结果评价”。</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2、项目名称：</w:t>
      </w:r>
      <w:r>
        <w:rPr>
          <w:rFonts w:hint="eastAsia" w:ascii="仿宋_GB2312" w:eastAsia="仿宋_GB2312"/>
          <w:sz w:val="32"/>
          <w:szCs w:val="32"/>
        </w:rPr>
        <w:t>须与项目预算批复文件一致。</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3、项目单位：</w:t>
      </w:r>
      <w:r>
        <w:rPr>
          <w:rFonts w:hint="eastAsia" w:ascii="仿宋_GB2312" w:eastAsia="仿宋_GB2312"/>
          <w:sz w:val="32"/>
          <w:szCs w:val="32"/>
        </w:rPr>
        <w:t>填写全称，不得省略。</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4、主管部门：</w:t>
      </w:r>
      <w:r>
        <w:rPr>
          <w:rFonts w:hint="eastAsia" w:ascii="仿宋_GB2312" w:eastAsia="仿宋_GB2312"/>
          <w:sz w:val="32"/>
          <w:szCs w:val="32"/>
        </w:rPr>
        <w:t>填写全称，不得省略。</w:t>
      </w:r>
    </w:p>
    <w:p>
      <w:pPr>
        <w:spacing w:line="620" w:lineRule="exact"/>
        <w:ind w:firstLine="634" w:firstLineChars="200"/>
        <w:rPr>
          <w:rFonts w:ascii="黑体" w:hAnsi="黑体" w:eastAsia="黑体"/>
          <w:sz w:val="32"/>
          <w:szCs w:val="32"/>
        </w:rPr>
      </w:pPr>
      <w:r>
        <w:rPr>
          <w:rFonts w:hint="eastAsia" w:ascii="黑体" w:hAnsi="黑体" w:eastAsia="黑体"/>
          <w:sz w:val="32"/>
          <w:szCs w:val="32"/>
        </w:rPr>
        <w:t>三、绩效评价自评报告表格内容填写</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1、项目负责人：</w:t>
      </w:r>
      <w:r>
        <w:rPr>
          <w:rFonts w:hint="eastAsia" w:ascii="仿宋_GB2312" w:eastAsia="仿宋_GB2312"/>
          <w:sz w:val="32"/>
          <w:szCs w:val="32"/>
        </w:rPr>
        <w:t>当项目负责人有多个时，项目负责人、联系电话、地址和邮编等栏目，可调整格式，逐个填写。</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2、项目起止时间：</w:t>
      </w:r>
      <w:r>
        <w:rPr>
          <w:rFonts w:hint="eastAsia" w:ascii="仿宋_GB2312" w:eastAsia="仿宋_GB2312"/>
          <w:sz w:val="32"/>
          <w:szCs w:val="32"/>
        </w:rPr>
        <w:t>按照项目预算批复至项目完工（预算执行结束）的实际时间填写。</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3、项目明细支出内容：</w:t>
      </w:r>
      <w:r>
        <w:rPr>
          <w:rFonts w:hint="eastAsia" w:ascii="仿宋_GB2312" w:eastAsia="仿宋_GB2312"/>
          <w:sz w:val="32"/>
          <w:szCs w:val="32"/>
        </w:rPr>
        <w:t>在项目支出总额内详细列出项目的具体支出内容和金额，并注明会计凭证号。有不同资金来源的支出请在“备注”栏注明；“支出内容”要按项目明细支出的具体事项填列，不按经济分类填列。</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4、项目绩效定性目标及实施计划完成情况：</w:t>
      </w:r>
      <w:r>
        <w:rPr>
          <w:rFonts w:hint="eastAsia" w:ascii="仿宋_GB2312" w:eastAsia="仿宋_GB2312"/>
          <w:sz w:val="32"/>
          <w:szCs w:val="32"/>
        </w:rPr>
        <w:t>“预期目标”栏按部门预算项目申报目标的有关内容直接填写，“实际完成”栏主要填写项目绩效目标及实施计划的实际完成情况，应与“预期目标”栏相关内容逐条对应。</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5、项目绩效定量目标（指标）及完成情况：</w:t>
      </w:r>
      <w:r>
        <w:rPr>
          <w:rFonts w:hint="eastAsia" w:ascii="仿宋_GB2312" w:eastAsia="仿宋_GB2312"/>
          <w:sz w:val="32"/>
          <w:szCs w:val="32"/>
        </w:rPr>
        <w:t>对项目绩效目标进行细化和量化，根据项目实际从表中所给参考的方面或其他方面，设定绩效指标，填写“指标内容”，要尽可能量化测算，设置</w:t>
      </w:r>
      <w:r>
        <w:rPr>
          <w:rFonts w:hint="eastAsia" w:ascii="仿宋_GB2312" w:eastAsia="仿宋_GB2312"/>
          <w:spacing w:val="-6"/>
          <w:sz w:val="32"/>
          <w:szCs w:val="32"/>
        </w:rPr>
        <w:t>“指标（目标）值”。“实际完成值”栏主要填写项目指标的实际完成情况，应与“指标内容”、“指标（目标）值”栏相关内容逐条对应。</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6、绩效自评综合得分：</w:t>
      </w:r>
      <w:r>
        <w:rPr>
          <w:rFonts w:hint="eastAsia" w:ascii="仿宋_GB2312" w:eastAsia="仿宋_GB2312"/>
          <w:sz w:val="32"/>
          <w:szCs w:val="32"/>
        </w:rPr>
        <w:t>对照附件3《项目支出绩效评价指标体系（参考样表）》打分，按照最后综合得分填写“绩效自评综合得分”栏。</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7、评价等次：</w:t>
      </w:r>
      <w:r>
        <w:rPr>
          <w:rFonts w:hint="eastAsia" w:ascii="仿宋_GB2312" w:eastAsia="仿宋_GB2312"/>
          <w:sz w:val="32"/>
          <w:szCs w:val="32"/>
        </w:rPr>
        <w:t>按照综合得分（S）的分值填写相应的评价等次。评价等次分为优秀（S≥90）、良好（90＞S≥80）、合格（80＞S≥70）、不合格（S＜70）4个评价等次。</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8、评价人员：</w:t>
      </w:r>
      <w:r>
        <w:rPr>
          <w:rFonts w:hint="eastAsia" w:ascii="仿宋_GB2312" w:eastAsia="仿宋_GB2312"/>
          <w:sz w:val="32"/>
          <w:szCs w:val="32"/>
        </w:rPr>
        <w:t>填写参与项目评价的绩效评价工作小组成员名单，并由评价组组长签字。</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9、项目单位意见：</w:t>
      </w:r>
      <w:r>
        <w:rPr>
          <w:rFonts w:hint="eastAsia" w:ascii="仿宋_GB2312" w:eastAsia="仿宋_GB2312"/>
          <w:sz w:val="32"/>
          <w:szCs w:val="32"/>
        </w:rPr>
        <w:t>项目实施单位签署意见，由单位负责人签字后加盖行政公章。</w:t>
      </w:r>
    </w:p>
    <w:p>
      <w:pPr>
        <w:spacing w:line="620" w:lineRule="exact"/>
        <w:ind w:firstLine="634" w:firstLineChars="200"/>
        <w:rPr>
          <w:rFonts w:ascii="仿宋_GB2312" w:eastAsia="仿宋_GB2312"/>
          <w:sz w:val="32"/>
          <w:szCs w:val="32"/>
        </w:rPr>
      </w:pPr>
      <w:r>
        <w:rPr>
          <w:rFonts w:hint="eastAsia" w:ascii="仿宋_GB2312" w:eastAsia="仿宋_GB2312"/>
          <w:b/>
          <w:sz w:val="32"/>
          <w:szCs w:val="32"/>
        </w:rPr>
        <w:t>10、主管部门意见：</w:t>
      </w:r>
      <w:r>
        <w:rPr>
          <w:rFonts w:hint="eastAsia" w:ascii="仿宋_GB2312" w:eastAsia="仿宋_GB2312"/>
          <w:sz w:val="32"/>
          <w:szCs w:val="32"/>
        </w:rPr>
        <w:t>主管部门签署意见，由主管部门负责人签字后加盖行政公章。</w:t>
      </w:r>
    </w:p>
    <w:p>
      <w:pPr>
        <w:spacing w:line="620" w:lineRule="exact"/>
        <w:ind w:firstLine="634" w:firstLineChars="200"/>
        <w:rPr>
          <w:rFonts w:ascii="黑体" w:hAnsi="黑体" w:eastAsia="黑体"/>
          <w:sz w:val="32"/>
          <w:szCs w:val="32"/>
        </w:rPr>
      </w:pPr>
      <w:r>
        <w:rPr>
          <w:rFonts w:hint="eastAsia" w:ascii="黑体" w:hAnsi="黑体" w:eastAsia="黑体"/>
          <w:sz w:val="32"/>
          <w:szCs w:val="32"/>
        </w:rPr>
        <w:t>四、自评报告综述（文字部分）</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评价组应根据下列提纲对各项内容进行详细说明：</w:t>
      </w:r>
    </w:p>
    <w:p>
      <w:pPr>
        <w:spacing w:line="620" w:lineRule="exact"/>
        <w:ind w:firstLine="634" w:firstLineChars="200"/>
        <w:rPr>
          <w:rFonts w:ascii="楷体_GB2312" w:hAnsi="楷体" w:eastAsia="楷体_GB2312"/>
          <w:b/>
          <w:sz w:val="32"/>
          <w:szCs w:val="32"/>
        </w:rPr>
      </w:pPr>
      <w:r>
        <w:rPr>
          <w:rFonts w:hint="eastAsia" w:ascii="楷体_GB2312" w:hAnsi="楷体" w:eastAsia="楷体_GB2312"/>
          <w:b/>
          <w:sz w:val="32"/>
          <w:szCs w:val="32"/>
        </w:rPr>
        <w:t>（一）项目概况</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1、项目单位基本情况。</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2、项目年度预算绩效目标、绩效指标设定情况，包括预期总目标及阶段性目标、项目基本性质、用途和主要内容、涉及范围。</w:t>
      </w:r>
    </w:p>
    <w:p>
      <w:pPr>
        <w:spacing w:line="620" w:lineRule="exact"/>
        <w:ind w:firstLine="634" w:firstLineChars="200"/>
        <w:rPr>
          <w:rFonts w:ascii="楷体_GB2312" w:hAnsi="楷体" w:eastAsia="楷体_GB2312"/>
          <w:b/>
          <w:sz w:val="32"/>
          <w:szCs w:val="32"/>
        </w:rPr>
      </w:pPr>
      <w:r>
        <w:rPr>
          <w:rFonts w:hint="eastAsia" w:ascii="楷体_GB2312" w:hAnsi="楷体" w:eastAsia="楷体_GB2312"/>
          <w:b/>
          <w:sz w:val="32"/>
          <w:szCs w:val="32"/>
        </w:rPr>
        <w:t>（二）项目资金使用及管理情况</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1、项目资金（包括财政资金、自筹资金等）安排落实、总投入等情况分析。</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2、项目资金（主要是指财政资金）实际使用情况分析。</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3、项目资金管理情况（包括管理制度、办法的制订及执</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行情况）分析。</w:t>
      </w:r>
    </w:p>
    <w:p>
      <w:pPr>
        <w:spacing w:line="620" w:lineRule="exact"/>
        <w:ind w:firstLine="634" w:firstLineChars="200"/>
        <w:rPr>
          <w:rFonts w:ascii="楷体_GB2312" w:hAnsi="楷体" w:eastAsia="楷体_GB2312"/>
          <w:b/>
          <w:sz w:val="32"/>
          <w:szCs w:val="32"/>
        </w:rPr>
      </w:pPr>
      <w:r>
        <w:rPr>
          <w:rFonts w:hint="eastAsia" w:ascii="楷体_GB2312" w:hAnsi="楷体" w:eastAsia="楷体_GB2312"/>
          <w:b/>
          <w:sz w:val="32"/>
          <w:szCs w:val="32"/>
        </w:rPr>
        <w:t>（三）项目组织实施情况</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1、项目组织情况（包括项目招投标情况、调整情况、完成验收等）分析。</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2、项目管理情况（包括项目管理制度建设、日常检查监督管理等情况）分析。</w:t>
      </w:r>
    </w:p>
    <w:p>
      <w:pPr>
        <w:spacing w:line="620" w:lineRule="exact"/>
        <w:ind w:firstLine="634" w:firstLineChars="200"/>
        <w:rPr>
          <w:rFonts w:ascii="楷体_GB2312" w:hAnsi="楷体" w:eastAsia="楷体_GB2312"/>
          <w:b/>
          <w:sz w:val="32"/>
          <w:szCs w:val="32"/>
        </w:rPr>
      </w:pPr>
      <w:r>
        <w:rPr>
          <w:rFonts w:hint="eastAsia" w:ascii="楷体_GB2312" w:hAnsi="楷体" w:eastAsia="楷体_GB2312"/>
          <w:b/>
          <w:sz w:val="32"/>
          <w:szCs w:val="32"/>
        </w:rPr>
        <w:t>（四）项目主要绩效情况分析</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从项目的经济性、效率性、有效性和可持续性等方面进行量化、具体分析。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spacing w:line="620" w:lineRule="exact"/>
        <w:ind w:firstLine="634" w:firstLineChars="200"/>
        <w:rPr>
          <w:rFonts w:ascii="楷体_GB2312" w:hAnsi="楷体" w:eastAsia="楷体_GB2312"/>
          <w:b/>
          <w:sz w:val="32"/>
          <w:szCs w:val="32"/>
        </w:rPr>
      </w:pPr>
      <w:r>
        <w:rPr>
          <w:rFonts w:hint="eastAsia" w:ascii="楷体_GB2312" w:hAnsi="楷体" w:eastAsia="楷体_GB2312"/>
          <w:b/>
          <w:sz w:val="32"/>
          <w:szCs w:val="32"/>
        </w:rPr>
        <w:t>（五）主要经验及做法、存在问题和建议</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包括资金安排、使用过程中的经验、做法、存在问题、改进措施和有关建议等。</w:t>
      </w:r>
    </w:p>
    <w:p>
      <w:pPr>
        <w:spacing w:line="620" w:lineRule="exact"/>
        <w:ind w:firstLine="634" w:firstLineChars="200"/>
        <w:rPr>
          <w:rFonts w:ascii="楷体_GB2312" w:hAnsi="楷体" w:eastAsia="楷体_GB2312"/>
          <w:b/>
          <w:sz w:val="32"/>
          <w:szCs w:val="32"/>
        </w:rPr>
      </w:pPr>
      <w:r>
        <w:rPr>
          <w:rFonts w:hint="eastAsia" w:ascii="楷体_GB2312" w:hAnsi="楷体" w:eastAsia="楷体_GB2312"/>
          <w:b/>
          <w:sz w:val="32"/>
          <w:szCs w:val="32"/>
        </w:rPr>
        <w:t>（六）附件</w:t>
      </w:r>
    </w:p>
    <w:p>
      <w:pPr>
        <w:spacing w:line="620" w:lineRule="exact"/>
        <w:ind w:firstLine="634" w:firstLineChars="200"/>
        <w:rPr>
          <w:rFonts w:ascii="仿宋_GB2312" w:eastAsia="仿宋_GB2312"/>
          <w:sz w:val="32"/>
          <w:szCs w:val="32"/>
        </w:rPr>
      </w:pPr>
      <w:r>
        <w:rPr>
          <w:rFonts w:hint="eastAsia" w:ascii="仿宋_GB2312" w:eastAsia="仿宋_GB2312"/>
          <w:sz w:val="32"/>
          <w:szCs w:val="32"/>
        </w:rPr>
        <w:t>评价组认为需要作为评价报告附件的有关文件、资料等，以进一步解释和证明报告所反映的相关内容。</w:t>
      </w:r>
    </w:p>
    <w:p>
      <w:pPr>
        <w:rPr>
          <w:rFonts w:eastAsia="仿宋_GB2312"/>
          <w:bCs/>
          <w:sz w:val="32"/>
          <w:szCs w:val="32"/>
        </w:rPr>
      </w:pPr>
    </w:p>
    <w:p/>
    <w:p/>
    <w:p/>
    <w:p>
      <w:pPr>
        <w:spacing w:line="348" w:lineRule="auto"/>
        <w:rPr>
          <w:rFonts w:ascii="黑体" w:hAnsi="黑体" w:eastAsia="黑体" w:cs="黑体"/>
          <w:bCs/>
          <w:sz w:val="32"/>
          <w:szCs w:val="32"/>
        </w:rPr>
      </w:pPr>
      <w:r>
        <w:br w:type="page"/>
      </w:r>
      <w:r>
        <w:rPr>
          <w:rFonts w:hint="eastAsia" w:ascii="黑体" w:hAnsi="黑体" w:eastAsia="黑体" w:cs="黑体"/>
          <w:bCs/>
          <w:sz w:val="32"/>
          <w:szCs w:val="32"/>
        </w:rPr>
        <w:t>附件2-1</w:t>
      </w:r>
    </w:p>
    <w:p>
      <w:pPr>
        <w:spacing w:line="348" w:lineRule="auto"/>
        <w:jc w:val="center"/>
        <w:rPr>
          <w:rFonts w:eastAsia="方正小标宋简体"/>
          <w:bCs/>
          <w:sz w:val="42"/>
          <w:szCs w:val="42"/>
        </w:rPr>
      </w:pPr>
    </w:p>
    <w:p>
      <w:pPr>
        <w:spacing w:line="800" w:lineRule="exact"/>
        <w:jc w:val="center"/>
        <w:rPr>
          <w:rFonts w:eastAsia="方正小标宋简体"/>
          <w:bCs/>
          <w:sz w:val="46"/>
          <w:szCs w:val="46"/>
        </w:rPr>
      </w:pPr>
      <w:r>
        <w:rPr>
          <w:rFonts w:hint="eastAsia" w:eastAsia="方正小标宋简体"/>
          <w:bCs/>
          <w:sz w:val="46"/>
          <w:szCs w:val="46"/>
        </w:rPr>
        <w:t>岳阳县</w:t>
      </w:r>
      <w:r>
        <w:rPr>
          <w:rFonts w:eastAsia="方正小标宋简体"/>
          <w:bCs/>
          <w:sz w:val="46"/>
          <w:szCs w:val="46"/>
        </w:rPr>
        <w:t>20</w:t>
      </w:r>
      <w:r>
        <w:rPr>
          <w:rFonts w:hint="eastAsia" w:eastAsia="方正小标宋简体"/>
          <w:bCs/>
          <w:sz w:val="46"/>
          <w:szCs w:val="46"/>
          <w:u w:val="single"/>
        </w:rPr>
        <w:t>20</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Lines="50" w:line="348" w:lineRule="auto"/>
        <w:ind w:firstLine="476" w:firstLineChars="150"/>
        <w:rPr>
          <w:rFonts w:eastAsia="仿宋_GB2312"/>
          <w:sz w:val="32"/>
          <w:szCs w:val="32"/>
          <w:u w:val="single"/>
        </w:rPr>
      </w:pPr>
      <w:r>
        <w:rPr>
          <w:rFonts w:hint="eastAsia" w:eastAsia="仿宋_GB2312"/>
          <w:sz w:val="32"/>
          <w:szCs w:val="32"/>
        </w:rPr>
        <w:t>部门</w:t>
      </w:r>
      <w:r>
        <w:rPr>
          <w:rFonts w:eastAsia="仿宋_GB2312"/>
          <w:sz w:val="32"/>
          <w:szCs w:val="32"/>
        </w:rPr>
        <w:t>(</w:t>
      </w:r>
      <w:r>
        <w:rPr>
          <w:rFonts w:hint="eastAsia" w:eastAsia="仿宋_GB2312"/>
          <w:sz w:val="32"/>
          <w:szCs w:val="32"/>
        </w:rPr>
        <w:t>单位</w:t>
      </w:r>
      <w:r>
        <w:rPr>
          <w:rFonts w:eastAsia="仿宋_GB2312"/>
          <w:sz w:val="32"/>
          <w:szCs w:val="32"/>
        </w:rPr>
        <w:t>)</w:t>
      </w:r>
      <w:r>
        <w:rPr>
          <w:rFonts w:hint="eastAsia" w:eastAsia="仿宋_GB2312"/>
          <w:sz w:val="32"/>
          <w:szCs w:val="32"/>
        </w:rPr>
        <w:t>名称：</w:t>
      </w:r>
      <w:r>
        <w:rPr>
          <w:rFonts w:eastAsia="仿宋_GB2312"/>
          <w:sz w:val="32"/>
          <w:szCs w:val="32"/>
          <w:u w:val="single"/>
        </w:rPr>
        <w:t xml:space="preserve"> </w:t>
      </w:r>
      <w:r>
        <w:rPr>
          <w:rFonts w:hint="eastAsia" w:eastAsia="仿宋_GB2312"/>
          <w:sz w:val="32"/>
          <w:szCs w:val="32"/>
          <w:u w:val="single"/>
          <w:lang w:eastAsia="zh-CN"/>
        </w:rPr>
        <w:t>岳阳县生态能源服务中心</w:t>
      </w:r>
      <w:r>
        <w:rPr>
          <w:rFonts w:eastAsia="仿宋_GB2312"/>
          <w:sz w:val="32"/>
          <w:szCs w:val="32"/>
          <w:u w:val="single"/>
        </w:rPr>
        <w:t xml:space="preserve">                                  </w:t>
      </w:r>
    </w:p>
    <w:p>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eastAsia="仿宋_GB2312"/>
          <w:spacing w:val="30"/>
          <w:sz w:val="32"/>
          <w:szCs w:val="32"/>
        </w:rPr>
        <w:t xml:space="preserve"> </w:t>
      </w:r>
      <w:r>
        <w:rPr>
          <w:rFonts w:hint="eastAsia" w:eastAsia="仿宋_GB2312"/>
          <w:spacing w:val="30"/>
          <w:sz w:val="32"/>
          <w:szCs w:val="32"/>
        </w:rPr>
        <w:t>算</w:t>
      </w:r>
      <w:r>
        <w:rPr>
          <w:rFonts w:eastAsia="仿宋_GB2312"/>
          <w:spacing w:val="30"/>
          <w:sz w:val="32"/>
          <w:szCs w:val="32"/>
        </w:rPr>
        <w:t xml:space="preserve"> </w:t>
      </w:r>
      <w:r>
        <w:rPr>
          <w:rFonts w:hint="eastAsia" w:eastAsia="仿宋_GB2312"/>
          <w:spacing w:val="30"/>
          <w:sz w:val="32"/>
          <w:szCs w:val="32"/>
        </w:rPr>
        <w:t>编</w:t>
      </w:r>
      <w:r>
        <w:rPr>
          <w:rFonts w:eastAsia="仿宋_GB2312"/>
          <w:spacing w:val="30"/>
          <w:sz w:val="32"/>
          <w:szCs w:val="32"/>
        </w:rPr>
        <w:t xml:space="preserve"> </w:t>
      </w:r>
      <w:r>
        <w:rPr>
          <w:rFonts w:hint="eastAsia" w:eastAsia="仿宋_GB2312"/>
          <w:spacing w:val="30"/>
          <w:sz w:val="32"/>
          <w:szCs w:val="32"/>
        </w:rPr>
        <w:t>码：</w:t>
      </w:r>
      <w:r>
        <w:rPr>
          <w:rFonts w:eastAsia="仿宋_GB2312"/>
          <w:spacing w:val="20"/>
          <w:sz w:val="32"/>
          <w:szCs w:val="32"/>
          <w:u w:val="single"/>
        </w:rPr>
        <w:t xml:space="preserve">  </w:t>
      </w:r>
      <w:r>
        <w:rPr>
          <w:rFonts w:hint="eastAsia" w:eastAsia="仿宋_GB2312"/>
          <w:spacing w:val="20"/>
          <w:sz w:val="32"/>
          <w:szCs w:val="32"/>
          <w:u w:val="single"/>
          <w:lang w:val="en-US" w:eastAsia="zh-CN"/>
        </w:rPr>
        <w:t>419003</w:t>
      </w:r>
      <w:r>
        <w:rPr>
          <w:rFonts w:eastAsia="仿宋_GB2312"/>
          <w:spacing w:val="20"/>
          <w:sz w:val="32"/>
          <w:szCs w:val="32"/>
          <w:u w:val="single"/>
        </w:rPr>
        <w:t xml:space="preserve">                          </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评价机构：部门（单位）评价组</w:t>
      </w:r>
      <w:r>
        <w:rPr>
          <w:rFonts w:eastAsia="仿宋_GB2312"/>
          <w:sz w:val="32"/>
          <w:szCs w:val="32"/>
        </w:rPr>
        <w:t xml:space="preserve">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报告日期：</w:t>
      </w:r>
      <w:r>
        <w:rPr>
          <w:rFonts w:hint="eastAsia" w:eastAsia="仿宋_GB2312"/>
          <w:sz w:val="32"/>
          <w:lang w:val="en-US" w:eastAsia="zh-CN"/>
        </w:rPr>
        <w:t>2022</w:t>
      </w:r>
      <w:r>
        <w:rPr>
          <w:rFonts w:hint="eastAsia" w:eastAsia="仿宋_GB2312"/>
          <w:sz w:val="32"/>
        </w:rPr>
        <w:t>年</w:t>
      </w:r>
      <w:r>
        <w:rPr>
          <w:rFonts w:eastAsia="仿宋_GB2312"/>
          <w:sz w:val="32"/>
        </w:rPr>
        <w:t xml:space="preserve">   </w:t>
      </w:r>
      <w:r>
        <w:rPr>
          <w:rFonts w:hint="eastAsia" w:eastAsia="仿宋_GB2312"/>
          <w:sz w:val="32"/>
        </w:rPr>
        <w:t>月</w:t>
      </w:r>
      <w:r>
        <w:rPr>
          <w:rFonts w:eastAsia="仿宋_GB2312"/>
          <w:sz w:val="32"/>
        </w:rPr>
        <w:t xml:space="preserve">   </w:t>
      </w:r>
      <w:r>
        <w:rPr>
          <w:rFonts w:hint="eastAsia" w:eastAsia="仿宋_GB2312"/>
          <w:sz w:val="32"/>
        </w:rPr>
        <w:t>日</w:t>
      </w:r>
    </w:p>
    <w:p>
      <w:pPr>
        <w:autoSpaceDN w:val="0"/>
        <w:jc w:val="center"/>
        <w:textAlignment w:val="center"/>
        <w:rPr>
          <w:rFonts w:eastAsia="仿宋_GB2312"/>
          <w:sz w:val="32"/>
          <w:szCs w:val="32"/>
        </w:rPr>
      </w:pPr>
      <w:r>
        <w:rPr>
          <w:rFonts w:hint="eastAsia" w:eastAsia="仿宋_GB2312"/>
          <w:sz w:val="32"/>
        </w:rPr>
        <w:t>岳阳县财政</w:t>
      </w:r>
      <w:r>
        <w:rPr>
          <w:rFonts w:hint="eastAsia" w:eastAsia="仿宋_GB2312"/>
          <w:sz w:val="32"/>
          <w:szCs w:val="32"/>
        </w:rPr>
        <w:t>局（制）</w:t>
      </w:r>
    </w:p>
    <w:p>
      <w:pPr>
        <w:widowControl/>
        <w:jc w:val="left"/>
        <w:rPr>
          <w:rFonts w:eastAsia="仿宋_GB2312"/>
          <w:sz w:val="32"/>
          <w:szCs w:val="32"/>
        </w:rPr>
        <w:sectPr>
          <w:pgSz w:w="11906" w:h="16838"/>
          <w:pgMar w:top="1588" w:right="1588" w:bottom="1588" w:left="1588" w:header="851" w:footer="992" w:gutter="0"/>
          <w:pgNumType w:start="1"/>
          <w:cols w:space="720" w:num="1"/>
          <w:docGrid w:type="linesAndChars" w:linePitch="602" w:charSpace="-782"/>
        </w:sectPr>
      </w:pPr>
    </w:p>
    <w:tbl>
      <w:tblPr>
        <w:tblStyle w:val="6"/>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王有新</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13974011882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56"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 w:hAnsi="仿宋" w:eastAsia="仿宋"/>
                <w:sz w:val="24"/>
              </w:rPr>
              <w:t>负责实施农村可再生能源法律、法规，抓好本县生态能源建设的开发利用；</w:t>
            </w:r>
            <w:r>
              <w:rPr>
                <w:rFonts w:ascii="仿宋" w:hAnsi="仿宋" w:eastAsia="仿宋"/>
                <w:sz w:val="24"/>
              </w:rPr>
              <w:t>2</w:t>
            </w:r>
            <w:r>
              <w:rPr>
                <w:rFonts w:hint="eastAsia" w:ascii="仿宋" w:hAnsi="仿宋" w:eastAsia="仿宋"/>
                <w:sz w:val="24"/>
              </w:rPr>
              <w:t>、开展资源调查，组织编制实施本县农村可再生能源建设发展规划；</w:t>
            </w:r>
            <w:r>
              <w:rPr>
                <w:rFonts w:ascii="仿宋" w:hAnsi="仿宋" w:eastAsia="仿宋"/>
                <w:sz w:val="24"/>
              </w:rPr>
              <w:t>3</w:t>
            </w:r>
            <w:r>
              <w:rPr>
                <w:rFonts w:hint="eastAsia" w:ascii="仿宋" w:hAnsi="仿宋" w:eastAsia="仿宋"/>
                <w:sz w:val="24"/>
              </w:rPr>
              <w:t>、组织指导本县农村可再生能源科学开发，抓好技术队伍建设，推广利用可再生能源的节能产品；</w:t>
            </w:r>
            <w:r>
              <w:rPr>
                <w:rFonts w:ascii="仿宋" w:hAnsi="仿宋" w:eastAsia="仿宋"/>
                <w:sz w:val="24"/>
              </w:rPr>
              <w:t>4</w:t>
            </w:r>
            <w:r>
              <w:rPr>
                <w:rFonts w:hint="eastAsia" w:ascii="仿宋" w:hAnsi="仿宋" w:eastAsia="仿宋"/>
                <w:sz w:val="24"/>
              </w:rPr>
              <w:t>、负责指导本县可再生能源服务体系建设和能源开发利用项目的实施；</w:t>
            </w:r>
            <w:r>
              <w:rPr>
                <w:rFonts w:ascii="仿宋" w:hAnsi="仿宋" w:eastAsia="仿宋"/>
                <w:sz w:val="24"/>
              </w:rPr>
              <w:t>5</w:t>
            </w:r>
            <w:r>
              <w:rPr>
                <w:rFonts w:hint="eastAsia" w:ascii="仿宋" w:hAnsi="仿宋" w:eastAsia="仿宋"/>
                <w:sz w:val="24"/>
              </w:rPr>
              <w:t>、负责城镇厌氧净化处理的规划与实施。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64"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任务1：</w:t>
            </w:r>
            <w:r>
              <w:rPr>
                <w:rFonts w:hint="eastAsia" w:ascii="仿宋_GB2312" w:hAnsi="仿宋_GB2312" w:eastAsia="仿宋_GB2312" w:cs="仿宋_GB2312"/>
                <w:color w:val="000000"/>
                <w:sz w:val="24"/>
                <w:lang w:eastAsia="zh-CN"/>
              </w:rPr>
              <w:t>完成农村可再生能源建设工作年度任务</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任务2：</w:t>
            </w:r>
            <w:r>
              <w:rPr>
                <w:rFonts w:hint="eastAsia" w:ascii="仿宋_GB2312" w:hAnsi="仿宋_GB2312" w:eastAsia="仿宋_GB2312" w:cs="仿宋_GB2312"/>
                <w:color w:val="000000"/>
                <w:sz w:val="24"/>
                <w:lang w:eastAsia="zh-CN"/>
              </w:rPr>
              <w:t>与畜牧中心共同完成</w:t>
            </w:r>
            <w:r>
              <w:rPr>
                <w:rFonts w:hint="eastAsia" w:ascii="仿宋_GB2312" w:hAnsi="仿宋_GB2312" w:eastAsia="仿宋_GB2312" w:cs="仿宋_GB2312"/>
                <w:color w:val="000000"/>
                <w:sz w:val="24"/>
                <w:lang w:val="en-US" w:eastAsia="zh-CN"/>
              </w:rPr>
              <w:t>2019年畜禽粪污资源化利用工作任务</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任务3：</w:t>
            </w:r>
            <w:r>
              <w:rPr>
                <w:rFonts w:hint="eastAsia" w:ascii="仿宋_GB2312" w:hAnsi="仿宋_GB2312" w:eastAsia="仿宋_GB2312" w:cs="仿宋_GB2312"/>
                <w:color w:val="000000"/>
                <w:sz w:val="24"/>
                <w:lang w:eastAsia="zh-CN"/>
              </w:rPr>
              <w:t>开展沼气安全巡察及交办的其他任务</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与县畜牧中心一道完成</w:t>
            </w:r>
            <w:r>
              <w:rPr>
                <w:rFonts w:hint="eastAsia" w:ascii="仿宋_GB2312" w:hAnsi="仿宋_GB2312" w:eastAsia="仿宋_GB2312" w:cs="仿宋_GB2312"/>
                <w:color w:val="000000"/>
                <w:sz w:val="24"/>
                <w:lang w:val="en-US" w:eastAsia="zh-CN"/>
              </w:rPr>
              <w:t>2019年畜禽粪污综合治理任务，新建101处厌氧发酵沼气工程，全县畜禽粪污综合利用率达90%以上，开展沼气工程安全督查及安全指导，完成2019年洞庭湖秸秆收储运项目验收及运。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2"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局机关及二级机构汇总</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岳阳县生态能源服务中心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420.58</w:t>
            </w: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67.52</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344.37</w:t>
            </w: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top w:val="single" w:color="000000" w:sz="4" w:space="0"/>
              <w:left w:val="single" w:color="auto" w:sz="4" w:space="0"/>
              <w:bottom w:val="single" w:color="auto"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top w:val="single" w:color="000000" w:sz="4" w:space="0"/>
              <w:left w:val="single" w:color="auto" w:sz="4" w:space="0"/>
              <w:bottom w:val="single" w:color="auto"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720" w:type="dxa"/>
            <w:gridSpan w:val="3"/>
            <w:vMerge w:val="restart"/>
            <w:tcBorders>
              <w:top w:val="single" w:color="auto" w:sz="4" w:space="0"/>
              <w:left w:val="single" w:color="auto"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top w:val="single" w:color="auto"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720"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625"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color w:val="000000"/>
                <w:sz w:val="24"/>
              </w:rPr>
            </w:pPr>
            <w:r>
              <w:rPr>
                <w:rFonts w:hint="eastAsia" w:ascii="仿宋_GB2312" w:hAnsi="仿宋_GB2312" w:eastAsia="仿宋_GB2312" w:cs="仿宋_GB2312"/>
                <w:sz w:val="24"/>
              </w:rPr>
              <w:t>1、局机关</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hint="eastAsia" w:ascii="仿宋_GB2312" w:hAnsi="仿宋_GB2312" w:eastAsia="仿宋_GB2312" w:cs="仿宋_GB2312"/>
                <w:color w:val="000000"/>
                <w:sz w:val="24"/>
                <w:lang w:eastAsia="zh-CN"/>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岳阳县生态能源服务中心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400.92</w:t>
            </w: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106.95</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72</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34.95</w:t>
            </w: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293.97</w:t>
            </w: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19.66</w:t>
            </w: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19.66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color w:val="000000"/>
                <w:sz w:val="24"/>
              </w:rPr>
            </w:pPr>
            <w:r>
              <w:rPr>
                <w:rFonts w:hint="eastAsia" w:ascii="仿宋_GB2312" w:hAnsi="仿宋_GB2312" w:eastAsia="仿宋_GB2312" w:cs="仿宋_GB2312"/>
                <w:sz w:val="24"/>
              </w:rPr>
              <w:t>3、二级机构2</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8"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岳阳县生态能源服务中心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1.27</w:t>
            </w: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1.27</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top w:val="single" w:color="000000" w:sz="4" w:space="0"/>
              <w:left w:val="single" w:color="auto"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岳阳县生态能源服务中心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36.99</w:t>
            </w: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36.99</w:t>
            </w: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1" w:hRule="atLeast"/>
          <w:jc w:val="center"/>
        </w:trPr>
        <w:tc>
          <w:tcPr>
            <w:tcW w:w="144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2"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377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eastAsia="zh-CN"/>
              </w:rPr>
              <w:t>完成农村可再生能源建设工作年度任务</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z w:val="24"/>
                <w:lang w:eastAsia="zh-CN"/>
              </w:rPr>
              <w:t>与畜牧中心共同完成</w:t>
            </w:r>
            <w:r>
              <w:rPr>
                <w:rFonts w:hint="eastAsia" w:ascii="仿宋_GB2312" w:hAnsi="仿宋_GB2312" w:eastAsia="仿宋_GB2312" w:cs="仿宋_GB2312"/>
                <w:color w:val="000000"/>
                <w:sz w:val="24"/>
                <w:lang w:val="en-US" w:eastAsia="zh-CN"/>
              </w:rPr>
              <w:t>2019年畜禽粪污资源化利用工作任务</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sz w:val="24"/>
                <w:lang w:eastAsia="zh-CN"/>
              </w:rPr>
              <w:t>开展沼气安全巡察及交办的其他任务</w:t>
            </w:r>
          </w:p>
          <w:p>
            <w:pPr>
              <w:autoSpaceDN w:val="0"/>
              <w:spacing w:line="320" w:lineRule="exact"/>
              <w:jc w:val="left"/>
              <w:textAlignment w:val="center"/>
              <w:rPr>
                <w:rFonts w:ascii="仿宋_GB2312" w:hAnsi="仿宋_GB2312" w:eastAsia="仿宋_GB2312" w:cs="仿宋_GB2312"/>
                <w:color w:val="000000"/>
                <w:sz w:val="24"/>
              </w:rPr>
            </w:pPr>
          </w:p>
        </w:tc>
        <w:tc>
          <w:tcPr>
            <w:tcW w:w="4585" w:type="dxa"/>
            <w:gridSpan w:val="9"/>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both"/>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与县畜牧中心一道完成</w:t>
            </w:r>
            <w:r>
              <w:rPr>
                <w:rFonts w:hint="eastAsia" w:ascii="仿宋_GB2312" w:hAnsi="仿宋_GB2312" w:eastAsia="仿宋_GB2312" w:cs="仿宋_GB2312"/>
                <w:color w:val="000000"/>
                <w:sz w:val="24"/>
                <w:lang w:val="en-US" w:eastAsia="zh-CN"/>
              </w:rPr>
              <w:t>2019年畜禽粪污综合治理任务，新建101处厌氧发酵沼气工程，全县畜禽粪污综合利用率达90%以上，开展沼气工程安全督查及安全指导，完成2019年洞庭湖秸秆收储运项目验收及运。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4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完成</w:t>
            </w:r>
            <w:r>
              <w:rPr>
                <w:rFonts w:hint="eastAsia" w:ascii="仿宋_GB2312" w:hAnsi="仿宋_GB2312" w:eastAsia="仿宋_GB2312" w:cs="仿宋_GB2312"/>
                <w:color w:val="000000"/>
                <w:sz w:val="24"/>
                <w:lang w:val="en-US" w:eastAsia="zh-CN"/>
              </w:rPr>
              <w:t>2019年畜禽粪污治理项目</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b/>
                <w:color w:val="000000"/>
                <w:sz w:val="24"/>
                <w:lang w:eastAsia="zh-CN"/>
              </w:rPr>
            </w:pPr>
            <w:r>
              <w:rPr>
                <w:rFonts w:hint="eastAsia" w:ascii="仿宋_GB2312" w:hAnsi="仿宋_GB2312" w:eastAsia="仿宋_GB2312" w:cs="仿宋_GB2312"/>
                <w:b/>
                <w:color w:val="000000"/>
                <w:sz w:val="24"/>
                <w:lang w:eastAsia="zh-CN"/>
              </w:rPr>
              <w:t>已超额完成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完成洞庭湖秸秆收储运网点建设</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b/>
                <w:color w:val="000000"/>
                <w:sz w:val="24"/>
                <w:lang w:eastAsia="zh-CN"/>
              </w:rPr>
            </w:pPr>
            <w:r>
              <w:rPr>
                <w:rFonts w:hint="eastAsia" w:ascii="仿宋_GB2312" w:hAnsi="仿宋_GB2312" w:eastAsia="仿宋_GB2312" w:cs="仿宋_GB2312"/>
                <w:b/>
                <w:color w:val="000000"/>
                <w:sz w:val="24"/>
                <w:lang w:eastAsia="zh-CN"/>
              </w:rPr>
              <w:t>已超额完成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新建中小型沼气工程</w:t>
            </w:r>
            <w:r>
              <w:rPr>
                <w:rFonts w:hint="eastAsia" w:ascii="仿宋_GB2312" w:hAnsi="仿宋_GB2312" w:eastAsia="仿宋_GB2312" w:cs="仿宋_GB2312"/>
                <w:color w:val="000000"/>
                <w:sz w:val="24"/>
                <w:lang w:val="en-US" w:eastAsia="zh-CN"/>
              </w:rPr>
              <w:t>80处</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eastAsia="zh-CN"/>
              </w:rPr>
              <w:t>建设完成</w:t>
            </w:r>
            <w:r>
              <w:rPr>
                <w:rFonts w:hint="eastAsia" w:ascii="仿宋_GB2312" w:hAnsi="仿宋_GB2312" w:eastAsia="仿宋_GB2312" w:cs="仿宋_GB2312"/>
                <w:b/>
                <w:color w:val="000000"/>
                <w:sz w:val="24"/>
                <w:lang w:val="en-US" w:eastAsia="zh-CN"/>
              </w:rPr>
              <w:t>101处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采购秸秆收贮运专用设备</w:t>
            </w:r>
            <w:r>
              <w:rPr>
                <w:rFonts w:hint="eastAsia" w:ascii="仿宋_GB2312" w:hAnsi="仿宋_GB2312" w:eastAsia="仿宋_GB2312" w:cs="仿宋_GB2312"/>
                <w:color w:val="000000"/>
                <w:sz w:val="24"/>
                <w:lang w:val="en-US" w:eastAsia="zh-CN"/>
              </w:rPr>
              <w:t>4台套</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eastAsia="zh-CN"/>
              </w:rPr>
              <w:t>完成采购秸秆收贮运专用设备</w:t>
            </w:r>
            <w:r>
              <w:rPr>
                <w:rFonts w:hint="eastAsia" w:ascii="仿宋_GB2312" w:hAnsi="仿宋_GB2312" w:eastAsia="仿宋_GB2312" w:cs="仿宋_GB2312"/>
                <w:b/>
                <w:color w:val="000000"/>
                <w:sz w:val="24"/>
                <w:lang w:val="en-US" w:eastAsia="zh-CN"/>
              </w:rPr>
              <w:t>6台套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完成投入</w:t>
            </w:r>
            <w:r>
              <w:rPr>
                <w:rFonts w:hint="eastAsia" w:ascii="仿宋_GB2312" w:hAnsi="仿宋_GB2312" w:eastAsia="仿宋_GB2312" w:cs="仿宋_GB2312"/>
                <w:color w:val="000000"/>
                <w:sz w:val="24"/>
                <w:lang w:val="en-US" w:eastAsia="zh-CN"/>
              </w:rPr>
              <w:t>600万元</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eastAsia="zh-CN"/>
              </w:rPr>
              <w:t>完成农村能源建设社会投入</w:t>
            </w:r>
            <w:r>
              <w:rPr>
                <w:rFonts w:hint="eastAsia" w:ascii="仿宋_GB2312" w:hAnsi="仿宋_GB2312" w:eastAsia="仿宋_GB2312" w:cs="仿宋_GB2312"/>
                <w:b/>
                <w:color w:val="000000"/>
                <w:sz w:val="24"/>
                <w:lang w:val="en-US" w:eastAsia="zh-CN"/>
              </w:rPr>
              <w:t>720万元左右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年增收节支</w:t>
            </w:r>
            <w:r>
              <w:rPr>
                <w:rFonts w:hint="eastAsia" w:ascii="仿宋_GB2312" w:hAnsi="仿宋_GB2312" w:eastAsia="仿宋_GB2312" w:cs="仿宋_GB2312"/>
                <w:color w:val="000000"/>
                <w:sz w:val="24"/>
                <w:lang w:val="en-US" w:eastAsia="zh-CN"/>
              </w:rPr>
              <w:t>40万元左右</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eastAsia="zh-CN"/>
              </w:rPr>
              <w:t>年增收节支</w:t>
            </w:r>
            <w:r>
              <w:rPr>
                <w:rFonts w:hint="eastAsia" w:ascii="仿宋_GB2312" w:hAnsi="仿宋_GB2312" w:eastAsia="仿宋_GB2312" w:cs="仿宋_GB2312"/>
                <w:b/>
                <w:color w:val="000000"/>
                <w:sz w:val="24"/>
                <w:lang w:val="en-US" w:eastAsia="zh-CN"/>
              </w:rPr>
              <w:t>48万元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全县资源化利用率达</w:t>
            </w:r>
            <w:r>
              <w:rPr>
                <w:rFonts w:hint="eastAsia" w:ascii="仿宋_GB2312" w:hAnsi="仿宋_GB2312" w:eastAsia="仿宋_GB2312" w:cs="仿宋_GB2312"/>
                <w:color w:val="000000"/>
                <w:sz w:val="24"/>
                <w:lang w:val="en-US" w:eastAsia="zh-CN"/>
              </w:rPr>
              <w:t>100%</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社会公众满意度</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990"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990"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吴爱桃</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副局长</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岳阳县农业农村局</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王有新</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主任</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岳阳县生态能源服务中心</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袁沛</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副主任</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岳阳县生态能源服务中心</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戴湘波</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业务股长</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岳阳县生态能源服务中心</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2"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2"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ascii="仿宋_GB2312" w:hAnsi="仿宋_GB2312" w:eastAsia="仿宋_GB2312" w:cs="仿宋_GB2312"/>
          <w:color w:val="000000"/>
          <w:sz w:val="24"/>
          <w:lang w:eastAsia="zh-CN"/>
        </w:rPr>
        <w:t>袁沛</w:t>
      </w:r>
      <w:r>
        <w:rPr>
          <w:rFonts w:eastAsia="仿宋_GB2312" w:cs="仿宋_GB2312"/>
          <w:bCs/>
          <w:sz w:val="28"/>
          <w:szCs w:val="28"/>
        </w:rPr>
        <w:t xml:space="preserve">                          </w:t>
      </w:r>
      <w:r>
        <w:rPr>
          <w:rFonts w:hint="eastAsia" w:eastAsia="仿宋_GB2312" w:cs="仿宋_GB2312"/>
          <w:bCs/>
          <w:sz w:val="28"/>
          <w:szCs w:val="28"/>
        </w:rPr>
        <w:t>联系电话：</w:t>
      </w:r>
      <w:r>
        <w:rPr>
          <w:rFonts w:hint="eastAsia" w:eastAsia="仿宋_GB2312" w:cs="仿宋_GB2312"/>
          <w:bCs/>
          <w:sz w:val="28"/>
          <w:szCs w:val="28"/>
          <w:lang w:val="en-US" w:eastAsia="zh-CN"/>
        </w:rPr>
        <w:t>7630475</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Borders>
              <w:top w:val="single" w:color="auto" w:sz="4" w:space="0"/>
              <w:left w:val="single" w:color="auto" w:sz="4" w:space="0"/>
              <w:bottom w:val="single" w:color="auto" w:sz="4" w:space="0"/>
              <w:right w:val="single" w:color="auto" w:sz="4" w:space="0"/>
            </w:tcBorders>
          </w:tcPr>
          <w:p>
            <w:pPr>
              <w:jc w:val="center"/>
              <w:rPr>
                <w:rFonts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eastAsia="仿宋_GB2312"/>
                <w:sz w:val="32"/>
                <w:szCs w:val="32"/>
              </w:rPr>
            </w:pP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一、部门（单位）概况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（一）部门（单位）基本情况</w:t>
            </w:r>
          </w:p>
          <w:p>
            <w:pPr>
              <w:widowControl/>
              <w:spacing w:before="100" w:beforeAutospacing="1" w:after="100" w:afterAutospacing="1"/>
              <w:ind w:firstLine="646"/>
              <w:jc w:val="left"/>
              <w:outlineLvl w:val="0"/>
              <w:rPr>
                <w:rFonts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1、</w:t>
            </w:r>
            <w:r>
              <w:rPr>
                <w:rFonts w:hint="eastAsia" w:ascii="仿宋" w:hAnsi="仿宋" w:eastAsia="仿宋" w:cs="宋体"/>
                <w:color w:val="000000"/>
                <w:kern w:val="0"/>
                <w:sz w:val="28"/>
                <w:szCs w:val="28"/>
              </w:rPr>
              <w:t>机构设置</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岳阳县生态能源中心为副科级行政支持类事业单位，隶属县农业局二级机构。在编在岗职工8人，退休3人，临聘人员1人。内设有4个股室：业务股、财务股、后续服务管理股、办公室。</w:t>
            </w:r>
          </w:p>
          <w:p>
            <w:pPr>
              <w:widowControl/>
              <w:spacing w:before="100" w:beforeAutospacing="1" w:after="100" w:afterAutospacing="1"/>
              <w:ind w:firstLine="646"/>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2、</w:t>
            </w:r>
            <w:r>
              <w:rPr>
                <w:rFonts w:hint="eastAsia" w:ascii="仿宋" w:hAnsi="仿宋" w:eastAsia="仿宋" w:cs="宋体"/>
                <w:color w:val="000000"/>
                <w:kern w:val="0"/>
                <w:sz w:val="28"/>
                <w:szCs w:val="28"/>
              </w:rPr>
              <w:t>主要职责</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1、贯彻实施农村可再生能源的法律、法规和政策，抓好本县生态能源建设的开发利用。</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2、开展资源调查，组织编制、实施本县农村可再生能源建设发展规划。</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3、组织指导本县农村可再生能源科学技术开发、新技术引进、推广，抓好技术队伍建设。负责宣传、推广利用可再生能源的节能商品。</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4、负责指导本县农村可再生能源服务体系建设和能源开发利用项目的实施，负责城镇污水厌氧净化处理的规划与实施。</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5、会同有关部门执行农村可再生能源技术和产品标准，协同质量技术监督、工商行政管理部门进行质量监督和市场监管。</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6、完成县委、县政府和上级主管部门交办的其他事项。</w:t>
            </w:r>
          </w:p>
          <w:p>
            <w:pPr>
              <w:widowControl/>
              <w:spacing w:before="100" w:beforeAutospacing="1" w:after="100" w:afterAutospacing="1"/>
              <w:ind w:firstLine="645"/>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3、</w:t>
            </w:r>
            <w:r>
              <w:rPr>
                <w:rFonts w:hint="eastAsia" w:ascii="仿宋" w:hAnsi="仿宋" w:eastAsia="仿宋" w:cs="宋体"/>
                <w:color w:val="000000"/>
                <w:kern w:val="0"/>
                <w:sz w:val="28"/>
                <w:szCs w:val="28"/>
              </w:rPr>
              <w:t>主要资产情况</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岳阳县生态能源管理局固定资产年末总值36.99万元，其中一般公务用车1台，价值16.28万元（已于2017年1月5日交由政府公车平台）。</w:t>
            </w:r>
          </w:p>
          <w:p>
            <w:pPr>
              <w:spacing w:line="560" w:lineRule="exact"/>
              <w:ind w:firstLine="560" w:firstLineChars="200"/>
              <w:rPr>
                <w:rFonts w:hint="eastAsia" w:ascii="仿宋_GB2312" w:hAnsi="仿宋_GB2312" w:eastAsia="仿宋_GB2312" w:cs="仿宋_GB2312"/>
                <w:bCs/>
                <w:sz w:val="28"/>
                <w:szCs w:val="28"/>
              </w:rPr>
            </w:pPr>
          </w:p>
          <w:p>
            <w:pPr>
              <w:numPr>
                <w:ilvl w:val="0"/>
                <w:numId w:val="2"/>
              </w:num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部门（单位）整体支出规模、使用方向和主要内容、涉及范围等</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2020年度支出总计420.58万元（含年末结转和结余资金19.66万元），2020年度财政拨款支出400.92万元，主要用于以下方面：一般公共服务（类）支出106.95万元，占26.68%，主要用于人员工资、福利、社会保障缴费及办公室公用支出等，项目支出293.97万元，占73.32%，主要为2019年畜禽粪污资源化利用项目中小型沼气工程等开支。</w:t>
            </w: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二、部门（单位）整体支出管理及使用情况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pPr>
              <w:pStyle w:val="19"/>
              <w:ind w:firstLine="560" w:firstLineChars="200"/>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2020年度财政拨款基本支出98.26万元，其中：人员经费71.9万元，占基本支出的73.27,主要包括基本工资、津贴补贴、奖金、伙食补助费、职业年金缴费、职工基本医疗保险缴费、</w:t>
            </w:r>
            <w:bookmarkStart w:id="0" w:name="_GoBack"/>
            <w:bookmarkEnd w:id="0"/>
            <w:r>
              <w:rPr>
                <w:rFonts w:hint="eastAsia" w:ascii="仿宋" w:hAnsi="仿宋" w:eastAsia="仿宋" w:cs="Times New Roman"/>
                <w:color w:val="auto"/>
                <w:kern w:val="2"/>
                <w:sz w:val="28"/>
                <w:szCs w:val="28"/>
                <w:lang w:val="en-US" w:eastAsia="zh-CN" w:bidi="ar-SA"/>
              </w:rPr>
              <w:t>公务员医疗补助缴费、其他社会保障缴费、住房公积金；公用经费26.26万元，占基本支出的26.73%，主要包括手续费、电费、邮电费、差旅费、维修费、会议费、培训费、公务接待费、工会经费、其他交通费用、其他商品和服务支出。</w:t>
            </w:r>
          </w:p>
          <w:p>
            <w:pPr>
              <w:spacing w:line="560" w:lineRule="exact"/>
              <w:ind w:firstLine="560" w:firstLineChars="200"/>
              <w:rPr>
                <w:rFonts w:hint="eastAsia" w:ascii="仿宋_GB2312" w:hAnsi="仿宋_GB2312" w:eastAsia="仿宋_GB2312" w:cs="仿宋_GB2312"/>
                <w:bCs/>
                <w:sz w:val="28"/>
                <w:szCs w:val="28"/>
              </w:rPr>
            </w:pPr>
          </w:p>
          <w:p>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1、专项资金安排落实、总投入等情况分析</w:t>
            </w:r>
          </w:p>
          <w:p>
            <w:pPr>
              <w:spacing w:line="560" w:lineRule="exact"/>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2020年本单位专项项目主要是完成2019年畜禽粪污资源化利用项目80处任务，总资金250万元左右，实际到位专项资金293.97万元，完成总投入780万元左右。</w:t>
            </w:r>
          </w:p>
          <w:p>
            <w:pPr>
              <w:numPr>
                <w:ilvl w:val="0"/>
                <w:numId w:val="3"/>
              </w:num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专项资金实际使用情况分析</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2020年度实际争取各级财政专项资金293.97万元，主要用于中小型沼气工程建设，全县2020年新建中小型厌氧沼气工程101处，总投入780万左右，其中补助农村能源建设专项资金293.97万元，超额完成项目任务和资金，全县畜禽粪污综合利用率达90%以上。</w:t>
            </w:r>
          </w:p>
          <w:p>
            <w:pPr>
              <w:numPr>
                <w:ilvl w:val="0"/>
                <w:numId w:val="3"/>
              </w:numPr>
              <w:spacing w:line="560" w:lineRule="exact"/>
              <w:ind w:left="0" w:leftChars="0"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专项资金管理情况分析</w:t>
            </w:r>
          </w:p>
          <w:p>
            <w:pPr>
              <w:numPr>
                <w:ilvl w:val="0"/>
                <w:numId w:val="0"/>
              </w:numPr>
              <w:spacing w:line="560" w:lineRule="exact"/>
              <w:ind w:left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本单位项目资金严格按照资金用途开支，实行专帐专户管理，项目实施资金发放进行公开公示，项目验收，完工结算等邀请专业部门进行专项审计，开展项目绩效评价，确保资金充分发挥效益。</w:t>
            </w: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三、部门（单位）专项组织实施情况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（一）专项组织情况分析</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精心组织、狠抓落实，扎实推进。</w:t>
            </w:r>
          </w:p>
          <w:p>
            <w:pPr>
              <w:numPr>
                <w:ilvl w:val="0"/>
                <w:numId w:val="0"/>
              </w:num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（二）</w:t>
            </w:r>
            <w:r>
              <w:rPr>
                <w:rFonts w:hint="eastAsia" w:ascii="仿宋_GB2312" w:hAnsi="仿宋_GB2312" w:eastAsia="仿宋_GB2312" w:cs="仿宋_GB2312"/>
                <w:bCs/>
                <w:sz w:val="28"/>
                <w:szCs w:val="28"/>
              </w:rPr>
              <w:t>专项管理情况分析</w:t>
            </w:r>
          </w:p>
          <w:p>
            <w:pPr>
              <w:numPr>
                <w:ilvl w:val="0"/>
                <w:numId w:val="0"/>
              </w:numPr>
              <w:spacing w:line="560" w:lineRule="exact"/>
              <w:ind w:leftChars="200"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严格按照资金用途和资金性质安全、高效使用项目资金，做到专款专用，专户管理，确保项目资金充分发挥效益</w:t>
            </w:r>
            <w:r>
              <w:rPr>
                <w:rFonts w:hint="eastAsia" w:ascii="仿宋_GB2312" w:hAnsi="仿宋_GB2312" w:eastAsia="仿宋_GB2312" w:cs="仿宋_GB2312"/>
                <w:bCs/>
                <w:sz w:val="28"/>
                <w:szCs w:val="28"/>
              </w:rPr>
              <w:t>。</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四、部门（单位）整体支出绩效情况</w:t>
            </w:r>
          </w:p>
          <w:p>
            <w:pPr>
              <w:widowControl/>
              <w:spacing w:before="100" w:beforeAutospacing="1" w:after="100" w:afterAutospacing="1"/>
              <w:ind w:firstLine="560" w:firstLineChars="200"/>
              <w:jc w:val="left"/>
              <w:rPr>
                <w:rFonts w:ascii="仿宋" w:hAnsi="仿宋" w:eastAsia="仿宋" w:cs="宋体"/>
                <w:color w:val="000000"/>
                <w:kern w:val="0"/>
                <w:sz w:val="28"/>
                <w:szCs w:val="28"/>
              </w:rPr>
            </w:pPr>
            <w:r>
              <w:rPr>
                <w:rFonts w:hint="eastAsia" w:ascii="仿宋" w:hAnsi="仿宋" w:eastAsia="仿宋" w:cs="黑体"/>
                <w:bCs/>
                <w:sz w:val="28"/>
                <w:szCs w:val="28"/>
              </w:rPr>
              <w:t>我们对整个财政资金支出情况和工作成果进行了认真分析，部门整体支出达到了预期工作成果，实现了预期工作目标，通过部门整体评价，特别是专项项目的实施，“三沼”综合利用的推广，既增加了清洁能源用户数量，又提高了能源循环发展利用的经济效益，为我县能源转型升级探索了很好的发展模式。</w:t>
            </w:r>
          </w:p>
          <w:p>
            <w:pPr>
              <w:spacing w:line="560" w:lineRule="exact"/>
              <w:ind w:firstLine="560" w:firstLineChars="200"/>
              <w:rPr>
                <w:rFonts w:hint="eastAsia" w:ascii="黑体" w:hAnsi="黑体" w:eastAsia="黑体" w:cs="黑体"/>
                <w:bCs/>
                <w:sz w:val="28"/>
                <w:szCs w:val="28"/>
              </w:rPr>
            </w:pPr>
          </w:p>
          <w:p>
            <w:pPr>
              <w:numPr>
                <w:ilvl w:val="0"/>
                <w:numId w:val="4"/>
              </w:num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存在的主要问题</w:t>
            </w:r>
          </w:p>
          <w:p>
            <w:pPr>
              <w:spacing w:line="380" w:lineRule="atLeas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、资金使用方面</w:t>
            </w:r>
          </w:p>
          <w:p>
            <w:pPr>
              <w:spacing w:line="380" w:lineRule="atLeast"/>
              <w:ind w:firstLine="560" w:firstLineChars="200"/>
              <w:rPr>
                <w:rFonts w:ascii="仿宋" w:hAnsi="仿宋" w:eastAsia="仿宋"/>
                <w:sz w:val="28"/>
                <w:szCs w:val="28"/>
              </w:rPr>
            </w:pPr>
            <w:r>
              <w:rPr>
                <w:rFonts w:hint="eastAsia" w:ascii="仿宋" w:hAnsi="仿宋" w:eastAsia="仿宋"/>
                <w:sz w:val="28"/>
                <w:szCs w:val="28"/>
              </w:rPr>
              <w:t>虽在专项资金管理上我们制订了《岳阳县农村能源专项资金管理办法》，由于资金量少且分散，在执行和使用过程中程序过于复杂，管理条款过于繁锁，导致资金在拨付上不太及时，使用上不太规范，示范效益不明显。</w:t>
            </w:r>
            <w:r>
              <w:rPr>
                <w:rFonts w:ascii="仿宋" w:hAnsi="仿宋" w:eastAsia="仿宋"/>
                <w:sz w:val="28"/>
                <w:szCs w:val="28"/>
              </w:rPr>
              <w:t xml:space="preserve"> </w:t>
            </w:r>
            <w:r>
              <w:rPr>
                <w:rFonts w:ascii="仿宋" w:hAnsi="仿宋" w:eastAsia="仿宋"/>
                <w:b/>
                <w:sz w:val="28"/>
                <w:szCs w:val="28"/>
              </w:rPr>
              <w:t xml:space="preserve"> </w:t>
            </w:r>
          </w:p>
          <w:p>
            <w:pPr>
              <w:spacing w:line="380" w:lineRule="atLeast"/>
              <w:ind w:firstLine="560" w:firstLineChars="200"/>
              <w:rPr>
                <w:rFonts w:ascii="仿宋" w:hAnsi="仿宋" w:eastAsia="仿宋" w:cs="黑体"/>
                <w:bCs/>
                <w:sz w:val="28"/>
                <w:szCs w:val="28"/>
              </w:rPr>
            </w:pPr>
            <w:r>
              <w:rPr>
                <w:rFonts w:hint="eastAsia" w:ascii="仿宋" w:hAnsi="仿宋" w:eastAsia="仿宋" w:cs="黑体"/>
                <w:bCs/>
                <w:sz w:val="28"/>
                <w:szCs w:val="28"/>
                <w:lang w:val="en-US" w:eastAsia="zh-CN"/>
              </w:rPr>
              <w:t>2</w:t>
            </w:r>
            <w:r>
              <w:rPr>
                <w:rFonts w:hint="eastAsia" w:ascii="仿宋" w:hAnsi="仿宋" w:eastAsia="仿宋" w:cs="黑体"/>
                <w:bCs/>
                <w:sz w:val="28"/>
                <w:szCs w:val="28"/>
              </w:rPr>
              <w:t>、秸秆综合利用方面</w:t>
            </w:r>
          </w:p>
          <w:p>
            <w:pPr>
              <w:spacing w:line="380" w:lineRule="atLeast"/>
              <w:ind w:firstLine="560" w:firstLineChars="200"/>
              <w:rPr>
                <w:rFonts w:ascii="仿宋" w:hAnsi="仿宋" w:eastAsia="仿宋" w:cs="黑体"/>
                <w:bCs/>
                <w:sz w:val="28"/>
                <w:szCs w:val="28"/>
              </w:rPr>
            </w:pPr>
            <w:r>
              <w:rPr>
                <w:rFonts w:hint="eastAsia" w:ascii="仿宋" w:hAnsi="仿宋" w:eastAsia="仿宋" w:cs="黑体"/>
                <w:bCs/>
                <w:sz w:val="28"/>
                <w:szCs w:val="28"/>
              </w:rPr>
              <w:t>加大对秸秆综合利用的投入，加强秸秆禁烧工作的执法力度，出台相关秸秆综合利用的激励措施和奖补政策，引导农业废弃物资源化利用。</w:t>
            </w:r>
          </w:p>
          <w:p>
            <w:pPr>
              <w:numPr>
                <w:ilvl w:val="0"/>
                <w:numId w:val="0"/>
              </w:numPr>
              <w:spacing w:line="560" w:lineRule="exact"/>
              <w:rPr>
                <w:rFonts w:hint="eastAsia" w:ascii="黑体" w:hAnsi="黑体" w:eastAsia="黑体" w:cs="黑体"/>
                <w:bCs/>
                <w:sz w:val="28"/>
                <w:szCs w:val="28"/>
              </w:rPr>
            </w:pPr>
          </w:p>
          <w:p>
            <w:pPr>
              <w:numPr>
                <w:ilvl w:val="0"/>
                <w:numId w:val="4"/>
              </w:numPr>
              <w:spacing w:line="560" w:lineRule="exact"/>
              <w:ind w:left="0" w:leftChars="0" w:firstLine="560" w:firstLineChars="200"/>
              <w:rPr>
                <w:rFonts w:hint="eastAsia" w:ascii="黑体" w:hAnsi="黑体" w:eastAsia="黑体" w:cs="黑体"/>
                <w:bCs/>
                <w:sz w:val="28"/>
                <w:szCs w:val="28"/>
              </w:rPr>
            </w:pPr>
            <w:r>
              <w:rPr>
                <w:rFonts w:hint="eastAsia" w:ascii="黑体" w:hAnsi="黑体" w:eastAsia="黑体" w:cs="黑体"/>
                <w:bCs/>
                <w:sz w:val="28"/>
                <w:szCs w:val="28"/>
              </w:rPr>
              <w:t>改进措施和有关建议</w:t>
            </w:r>
          </w:p>
          <w:p>
            <w:pPr>
              <w:spacing w:line="380" w:lineRule="atLeast"/>
              <w:ind w:firstLine="560" w:firstLineChars="200"/>
              <w:rPr>
                <w:rFonts w:hint="eastAsia" w:ascii="仿宋" w:hAnsi="仿宋" w:eastAsia="仿宋" w:cs="黑体"/>
                <w:bCs/>
                <w:sz w:val="28"/>
                <w:szCs w:val="28"/>
              </w:rPr>
            </w:pPr>
            <w:r>
              <w:rPr>
                <w:rFonts w:hint="eastAsia" w:ascii="仿宋" w:hAnsi="仿宋" w:eastAsia="仿宋" w:cs="黑体"/>
                <w:bCs/>
                <w:sz w:val="28"/>
                <w:szCs w:val="28"/>
                <w:lang w:val="en-US" w:eastAsia="zh-CN"/>
              </w:rPr>
              <w:t>1、在专项资金使用上建议</w:t>
            </w:r>
            <w:r>
              <w:rPr>
                <w:rFonts w:hint="eastAsia" w:ascii="仿宋" w:hAnsi="仿宋" w:eastAsia="仿宋" w:cs="黑体"/>
                <w:bCs/>
                <w:sz w:val="28"/>
                <w:szCs w:val="28"/>
              </w:rPr>
              <w:t>能源专项资金对示范效益明显、可推广性强的项目在投入上要有集中性和连续性。</w:t>
            </w:r>
          </w:p>
          <w:p>
            <w:pPr>
              <w:spacing w:line="380" w:lineRule="atLeast"/>
              <w:ind w:firstLine="560" w:firstLineChars="200"/>
              <w:rPr>
                <w:rFonts w:hint="eastAsia" w:ascii="仿宋" w:hAnsi="仿宋" w:eastAsia="仿宋" w:cs="黑体"/>
                <w:bCs/>
                <w:sz w:val="28"/>
                <w:szCs w:val="28"/>
              </w:rPr>
            </w:pPr>
            <w:r>
              <w:rPr>
                <w:rFonts w:hint="eastAsia" w:ascii="仿宋" w:hAnsi="仿宋" w:eastAsia="仿宋" w:cs="黑体"/>
                <w:bCs/>
                <w:sz w:val="28"/>
                <w:szCs w:val="28"/>
                <w:lang w:val="en-US" w:eastAsia="zh-CN"/>
              </w:rPr>
              <w:t>2、</w:t>
            </w:r>
            <w:r>
              <w:rPr>
                <w:rFonts w:hint="eastAsia" w:ascii="仿宋" w:hAnsi="仿宋" w:eastAsia="仿宋" w:cs="黑体"/>
                <w:bCs/>
                <w:sz w:val="28"/>
                <w:szCs w:val="28"/>
                <w:lang w:eastAsia="zh-CN"/>
              </w:rPr>
              <w:t>政府加大秸秆综合利用资金的投入，特别是“五化”利用资金的投入</w:t>
            </w:r>
          </w:p>
          <w:p>
            <w:pPr>
              <w:numPr>
                <w:ilvl w:val="0"/>
                <w:numId w:val="0"/>
              </w:numPr>
              <w:spacing w:line="560" w:lineRule="exact"/>
              <w:ind w:leftChars="200"/>
              <w:rPr>
                <w:rFonts w:hint="eastAsia" w:ascii="黑体" w:hAnsi="黑体" w:eastAsia="黑体" w:cs="黑体"/>
                <w:bCs/>
                <w:sz w:val="28"/>
                <w:szCs w:val="28"/>
                <w:lang w:val="en-US" w:eastAsia="zh-CN"/>
              </w:rPr>
            </w:pPr>
          </w:p>
          <w:p>
            <w:pPr>
              <w:rPr>
                <w:rFonts w:eastAsia="楷体_GB2312"/>
                <w:bCs/>
                <w:sz w:val="28"/>
                <w:szCs w:val="28"/>
              </w:rPr>
            </w:pPr>
          </w:p>
        </w:tc>
      </w:tr>
    </w:tbl>
    <w:p>
      <w:pPr>
        <w:spacing w:line="348" w:lineRule="auto"/>
        <w:rPr>
          <w:rFonts w:eastAsia="楷体_GB2312"/>
          <w:bCs/>
          <w:sz w:val="28"/>
          <w:szCs w:val="28"/>
        </w:rPr>
      </w:pPr>
    </w:p>
    <w:p/>
    <w:sectPr>
      <w:pgSz w:w="11906" w:h="16838"/>
      <w:pgMar w:top="1418" w:right="1361" w:bottom="113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6"/>
      <w:lvlText w:val="%1."/>
      <w:lvlJc w:val="left"/>
      <w:pPr>
        <w:tabs>
          <w:tab w:val="left" w:pos="780"/>
        </w:tabs>
        <w:ind w:left="780" w:hanging="360"/>
      </w:pPr>
    </w:lvl>
  </w:abstractNum>
  <w:abstractNum w:abstractNumId="1">
    <w:nsid w:val="02DF93D5"/>
    <w:multiLevelType w:val="singleLevel"/>
    <w:tmpl w:val="02DF93D5"/>
    <w:lvl w:ilvl="0" w:tentative="0">
      <w:start w:val="2"/>
      <w:numFmt w:val="decimal"/>
      <w:suff w:val="nothing"/>
      <w:lvlText w:val="%1、"/>
      <w:lvlJc w:val="left"/>
    </w:lvl>
  </w:abstractNum>
  <w:abstractNum w:abstractNumId="2">
    <w:nsid w:val="4D36AC7E"/>
    <w:multiLevelType w:val="singleLevel"/>
    <w:tmpl w:val="4D36AC7E"/>
    <w:lvl w:ilvl="0" w:tentative="0">
      <w:start w:val="5"/>
      <w:numFmt w:val="chineseCounting"/>
      <w:suff w:val="nothing"/>
      <w:lvlText w:val="%1、"/>
      <w:lvlJc w:val="left"/>
      <w:rPr>
        <w:rFonts w:hint="eastAsia"/>
      </w:rPr>
    </w:lvl>
  </w:abstractNum>
  <w:abstractNum w:abstractNumId="3">
    <w:nsid w:val="7B2CBD1B"/>
    <w:multiLevelType w:val="singleLevel"/>
    <w:tmpl w:val="7B2CBD1B"/>
    <w:lvl w:ilvl="0" w:tentative="0">
      <w:start w:val="2"/>
      <w:numFmt w:val="chineseCounting"/>
      <w:suff w:val="nothing"/>
      <w:lvlText w:val="（%1）"/>
      <w:lvlJc w:val="left"/>
      <w:rPr>
        <w:rFonts w:hint="eastAsia"/>
      </w:rPr>
    </w:lvl>
  </w:abstractNum>
  <w:num w:numId="1">
    <w:abstractNumId w:val="0"/>
    <w:lvlOverride w:ilvl="0">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M5MDQzMzI1Y2YyOTRiY2FhMTNhY2QxMzQwNWY3NjUifQ=="/>
  </w:docVars>
  <w:rsids>
    <w:rsidRoot w:val="00C854FD"/>
    <w:rsid w:val="0000241F"/>
    <w:rsid w:val="000056A6"/>
    <w:rsid w:val="00005A3B"/>
    <w:rsid w:val="0000610C"/>
    <w:rsid w:val="00014921"/>
    <w:rsid w:val="0005701C"/>
    <w:rsid w:val="00073AAF"/>
    <w:rsid w:val="00090417"/>
    <w:rsid w:val="00093B20"/>
    <w:rsid w:val="000A0E5C"/>
    <w:rsid w:val="000B4BEB"/>
    <w:rsid w:val="000B7DCB"/>
    <w:rsid w:val="00100175"/>
    <w:rsid w:val="00107CC6"/>
    <w:rsid w:val="00122C2E"/>
    <w:rsid w:val="0014350A"/>
    <w:rsid w:val="001442A2"/>
    <w:rsid w:val="00146C23"/>
    <w:rsid w:val="00151B82"/>
    <w:rsid w:val="00157862"/>
    <w:rsid w:val="00165E89"/>
    <w:rsid w:val="0017192D"/>
    <w:rsid w:val="001A21D5"/>
    <w:rsid w:val="001A709B"/>
    <w:rsid w:val="001B0CF4"/>
    <w:rsid w:val="001B1869"/>
    <w:rsid w:val="001B2F7F"/>
    <w:rsid w:val="001B4EA7"/>
    <w:rsid w:val="001C4AD7"/>
    <w:rsid w:val="001C5954"/>
    <w:rsid w:val="001E26FB"/>
    <w:rsid w:val="001F2104"/>
    <w:rsid w:val="002318F0"/>
    <w:rsid w:val="00235B3A"/>
    <w:rsid w:val="00240F9A"/>
    <w:rsid w:val="00242262"/>
    <w:rsid w:val="00253B1F"/>
    <w:rsid w:val="00254CF8"/>
    <w:rsid w:val="00255404"/>
    <w:rsid w:val="00257206"/>
    <w:rsid w:val="00292AC1"/>
    <w:rsid w:val="0029605B"/>
    <w:rsid w:val="002969D6"/>
    <w:rsid w:val="002B26F1"/>
    <w:rsid w:val="002B569D"/>
    <w:rsid w:val="002B7EF4"/>
    <w:rsid w:val="002C4D24"/>
    <w:rsid w:val="002D5840"/>
    <w:rsid w:val="00315C29"/>
    <w:rsid w:val="00321D2B"/>
    <w:rsid w:val="0033659F"/>
    <w:rsid w:val="00351AD3"/>
    <w:rsid w:val="00354479"/>
    <w:rsid w:val="00356458"/>
    <w:rsid w:val="0039290C"/>
    <w:rsid w:val="00392F62"/>
    <w:rsid w:val="00394BC2"/>
    <w:rsid w:val="003A2363"/>
    <w:rsid w:val="003A2FC5"/>
    <w:rsid w:val="003B7876"/>
    <w:rsid w:val="003E4F5E"/>
    <w:rsid w:val="004036B5"/>
    <w:rsid w:val="004222D1"/>
    <w:rsid w:val="00422E14"/>
    <w:rsid w:val="00430153"/>
    <w:rsid w:val="00432C79"/>
    <w:rsid w:val="004503BD"/>
    <w:rsid w:val="00461395"/>
    <w:rsid w:val="00477933"/>
    <w:rsid w:val="004A44EA"/>
    <w:rsid w:val="004A51DC"/>
    <w:rsid w:val="004A671C"/>
    <w:rsid w:val="004C73DE"/>
    <w:rsid w:val="004E0A8E"/>
    <w:rsid w:val="004E3BE9"/>
    <w:rsid w:val="005072C9"/>
    <w:rsid w:val="00513037"/>
    <w:rsid w:val="005210E6"/>
    <w:rsid w:val="00530E15"/>
    <w:rsid w:val="005314BA"/>
    <w:rsid w:val="005422E5"/>
    <w:rsid w:val="0054679D"/>
    <w:rsid w:val="005477E5"/>
    <w:rsid w:val="00566F17"/>
    <w:rsid w:val="005865B1"/>
    <w:rsid w:val="005A3532"/>
    <w:rsid w:val="005B4076"/>
    <w:rsid w:val="005C50B2"/>
    <w:rsid w:val="005C68D7"/>
    <w:rsid w:val="005F6DB6"/>
    <w:rsid w:val="00607401"/>
    <w:rsid w:val="006320B1"/>
    <w:rsid w:val="0064544F"/>
    <w:rsid w:val="00664E76"/>
    <w:rsid w:val="006841C9"/>
    <w:rsid w:val="00684E4B"/>
    <w:rsid w:val="00696545"/>
    <w:rsid w:val="006A5D82"/>
    <w:rsid w:val="006B6330"/>
    <w:rsid w:val="006D65AD"/>
    <w:rsid w:val="006E7307"/>
    <w:rsid w:val="006F5735"/>
    <w:rsid w:val="006F5FD4"/>
    <w:rsid w:val="007225D2"/>
    <w:rsid w:val="00735258"/>
    <w:rsid w:val="00742DAE"/>
    <w:rsid w:val="00764B34"/>
    <w:rsid w:val="00774D83"/>
    <w:rsid w:val="007829F0"/>
    <w:rsid w:val="007865A2"/>
    <w:rsid w:val="007C77EE"/>
    <w:rsid w:val="007D5B9F"/>
    <w:rsid w:val="007E1392"/>
    <w:rsid w:val="007E6513"/>
    <w:rsid w:val="007F487F"/>
    <w:rsid w:val="00815FBF"/>
    <w:rsid w:val="00841CD0"/>
    <w:rsid w:val="00847D60"/>
    <w:rsid w:val="00860AFD"/>
    <w:rsid w:val="008A2E6B"/>
    <w:rsid w:val="008A7515"/>
    <w:rsid w:val="008C039F"/>
    <w:rsid w:val="008E1F76"/>
    <w:rsid w:val="008E57E1"/>
    <w:rsid w:val="009006A1"/>
    <w:rsid w:val="00956508"/>
    <w:rsid w:val="00962EF0"/>
    <w:rsid w:val="0097320B"/>
    <w:rsid w:val="00977F7F"/>
    <w:rsid w:val="009815AA"/>
    <w:rsid w:val="00982CDC"/>
    <w:rsid w:val="009863CE"/>
    <w:rsid w:val="00995ED0"/>
    <w:rsid w:val="00996441"/>
    <w:rsid w:val="009A298D"/>
    <w:rsid w:val="009B217B"/>
    <w:rsid w:val="009B50F2"/>
    <w:rsid w:val="009D2E85"/>
    <w:rsid w:val="009D5C2C"/>
    <w:rsid w:val="009D72EA"/>
    <w:rsid w:val="009E5A8A"/>
    <w:rsid w:val="009F3479"/>
    <w:rsid w:val="00A13259"/>
    <w:rsid w:val="00A16D05"/>
    <w:rsid w:val="00A30E83"/>
    <w:rsid w:val="00A4501D"/>
    <w:rsid w:val="00A51AA2"/>
    <w:rsid w:val="00A54BCA"/>
    <w:rsid w:val="00A61FD7"/>
    <w:rsid w:val="00A76673"/>
    <w:rsid w:val="00A87BCE"/>
    <w:rsid w:val="00A94900"/>
    <w:rsid w:val="00AA3FFE"/>
    <w:rsid w:val="00AA565C"/>
    <w:rsid w:val="00AA68AE"/>
    <w:rsid w:val="00AB7085"/>
    <w:rsid w:val="00AD4448"/>
    <w:rsid w:val="00AE1B6C"/>
    <w:rsid w:val="00AF11BE"/>
    <w:rsid w:val="00AF38EC"/>
    <w:rsid w:val="00B0185B"/>
    <w:rsid w:val="00B161A4"/>
    <w:rsid w:val="00B41813"/>
    <w:rsid w:val="00B427C3"/>
    <w:rsid w:val="00B43845"/>
    <w:rsid w:val="00B9518E"/>
    <w:rsid w:val="00BA392F"/>
    <w:rsid w:val="00BB1C78"/>
    <w:rsid w:val="00BB378C"/>
    <w:rsid w:val="00BB3C71"/>
    <w:rsid w:val="00BB6CF4"/>
    <w:rsid w:val="00BD02C0"/>
    <w:rsid w:val="00BD1DDD"/>
    <w:rsid w:val="00C11953"/>
    <w:rsid w:val="00C12B4A"/>
    <w:rsid w:val="00C32332"/>
    <w:rsid w:val="00C33347"/>
    <w:rsid w:val="00C37D62"/>
    <w:rsid w:val="00C704A3"/>
    <w:rsid w:val="00C71B07"/>
    <w:rsid w:val="00C74701"/>
    <w:rsid w:val="00C854FD"/>
    <w:rsid w:val="00C873D8"/>
    <w:rsid w:val="00C8756E"/>
    <w:rsid w:val="00C87FDB"/>
    <w:rsid w:val="00C921BC"/>
    <w:rsid w:val="00C94085"/>
    <w:rsid w:val="00C971C1"/>
    <w:rsid w:val="00C97C43"/>
    <w:rsid w:val="00CA1CF9"/>
    <w:rsid w:val="00CA6065"/>
    <w:rsid w:val="00CB1A56"/>
    <w:rsid w:val="00CB4149"/>
    <w:rsid w:val="00CC00C8"/>
    <w:rsid w:val="00CE54A6"/>
    <w:rsid w:val="00CE5516"/>
    <w:rsid w:val="00D22353"/>
    <w:rsid w:val="00D255AA"/>
    <w:rsid w:val="00D523D6"/>
    <w:rsid w:val="00D54888"/>
    <w:rsid w:val="00D54CCA"/>
    <w:rsid w:val="00D77EE9"/>
    <w:rsid w:val="00D81B1D"/>
    <w:rsid w:val="00DA0456"/>
    <w:rsid w:val="00DB5442"/>
    <w:rsid w:val="00DC10F5"/>
    <w:rsid w:val="00DD1EB3"/>
    <w:rsid w:val="00DF1C77"/>
    <w:rsid w:val="00E142CB"/>
    <w:rsid w:val="00E35E48"/>
    <w:rsid w:val="00E40ED6"/>
    <w:rsid w:val="00E4198B"/>
    <w:rsid w:val="00E63914"/>
    <w:rsid w:val="00E95B71"/>
    <w:rsid w:val="00EB35F4"/>
    <w:rsid w:val="00EC40AF"/>
    <w:rsid w:val="00EC6F27"/>
    <w:rsid w:val="00ED7ACA"/>
    <w:rsid w:val="00EE315F"/>
    <w:rsid w:val="00EE67E1"/>
    <w:rsid w:val="00F435F8"/>
    <w:rsid w:val="00F60EC8"/>
    <w:rsid w:val="00F61205"/>
    <w:rsid w:val="00F766DE"/>
    <w:rsid w:val="00F81CBB"/>
    <w:rsid w:val="00F947E3"/>
    <w:rsid w:val="00FA6EE7"/>
    <w:rsid w:val="00FB16AF"/>
    <w:rsid w:val="00FB2BA1"/>
    <w:rsid w:val="00FD21C0"/>
    <w:rsid w:val="00FD708D"/>
    <w:rsid w:val="00FF3258"/>
    <w:rsid w:val="00FF605E"/>
    <w:rsid w:val="0C1D1B25"/>
    <w:rsid w:val="0E1753B2"/>
    <w:rsid w:val="36E37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name="header"/>
    <w:lsdException w:qFormat="1"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uiPriority="99" w:name="Body Text Indent 3"/>
    <w:lsdException w:uiPriority="99" w:name="Block Text"/>
    <w:lsdException w:qFormat="1" w:uiPriority="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0"/>
    <w:pPr>
      <w:ind w:left="100" w:leftChars="2500"/>
    </w:pPr>
  </w:style>
  <w:style w:type="paragraph" w:styleId="3">
    <w:name w:val="Body Text Indent 2"/>
    <w:basedOn w:val="1"/>
    <w:link w:val="13"/>
    <w:semiHidden/>
    <w:unhideWhenUsed/>
    <w:qFormat/>
    <w:uiPriority w:val="0"/>
    <w:pPr>
      <w:ind w:firstLine="588" w:firstLineChars="200"/>
    </w:pPr>
    <w:rPr>
      <w:rFonts w:ascii="仿宋_GB2312" w:hAnsi="Calibri" w:eastAsia="仿宋_GB2312"/>
      <w:sz w:val="32"/>
    </w:rPr>
  </w:style>
  <w:style w:type="paragraph" w:styleId="4">
    <w:name w:val="footer"/>
    <w:basedOn w:val="1"/>
    <w:link w:val="17"/>
    <w:semiHidden/>
    <w:unhideWhenUsed/>
    <w:qFormat/>
    <w:uiPriority w:val="0"/>
    <w:pPr>
      <w:tabs>
        <w:tab w:val="center" w:pos="4153"/>
        <w:tab w:val="right" w:pos="8306"/>
      </w:tabs>
      <w:snapToGrid w:val="0"/>
      <w:jc w:val="left"/>
    </w:pPr>
    <w:rPr>
      <w:kern w:val="0"/>
      <w:sz w:val="18"/>
      <w:szCs w:val="18"/>
    </w:rPr>
  </w:style>
  <w:style w:type="paragraph" w:styleId="5">
    <w:name w:val="header"/>
    <w:basedOn w:val="1"/>
    <w:link w:val="10"/>
    <w:semiHidden/>
    <w:unhideWhenUsed/>
    <w:qFormat/>
    <w:uiPriority w:val="0"/>
    <w:pP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800080" w:themeColor="followedHyperlink"/>
      <w:u w:val="single"/>
    </w:rPr>
  </w:style>
  <w:style w:type="character" w:styleId="9">
    <w:name w:val="Hyperlink"/>
    <w:basedOn w:val="7"/>
    <w:semiHidden/>
    <w:unhideWhenUsed/>
    <w:qFormat/>
    <w:uiPriority w:val="0"/>
    <w:rPr>
      <w:color w:val="0000FF"/>
      <w:u w:val="single"/>
    </w:rPr>
  </w:style>
  <w:style w:type="character" w:customStyle="1" w:styleId="10">
    <w:name w:val="页眉 Char"/>
    <w:basedOn w:val="7"/>
    <w:link w:val="5"/>
    <w:semiHidden/>
    <w:qFormat/>
    <w:uiPriority w:val="0"/>
    <w:rPr>
      <w:rFonts w:ascii="Times New Roman" w:hAnsi="Times New Roman" w:eastAsia="宋体" w:cs="Times New Roman"/>
      <w:sz w:val="18"/>
      <w:szCs w:val="18"/>
    </w:rPr>
  </w:style>
  <w:style w:type="character" w:customStyle="1" w:styleId="11">
    <w:name w:val="页脚 Char"/>
    <w:basedOn w:val="7"/>
    <w:link w:val="4"/>
    <w:semiHidden/>
    <w:qFormat/>
    <w:uiPriority w:val="0"/>
    <w:rPr>
      <w:rFonts w:ascii="Times New Roman" w:hAnsi="Times New Roman" w:eastAsia="宋体" w:cs="Times New Roman"/>
      <w:sz w:val="18"/>
      <w:szCs w:val="18"/>
    </w:rPr>
  </w:style>
  <w:style w:type="character" w:customStyle="1" w:styleId="12">
    <w:name w:val="日期 Char"/>
    <w:basedOn w:val="7"/>
    <w:link w:val="2"/>
    <w:semiHidden/>
    <w:qFormat/>
    <w:uiPriority w:val="0"/>
    <w:rPr>
      <w:rFonts w:ascii="Times New Roman" w:hAnsi="Times New Roman" w:eastAsia="宋体" w:cs="Times New Roman"/>
      <w:szCs w:val="24"/>
    </w:rPr>
  </w:style>
  <w:style w:type="character" w:customStyle="1" w:styleId="13">
    <w:name w:val="正文文本缩进 2 Char"/>
    <w:basedOn w:val="7"/>
    <w:link w:val="3"/>
    <w:semiHidden/>
    <w:qFormat/>
    <w:uiPriority w:val="0"/>
    <w:rPr>
      <w:rFonts w:ascii="仿宋_GB2312" w:hAnsi="Calibri" w:eastAsia="仿宋_GB2312" w:cs="Times New Roman"/>
      <w:sz w:val="32"/>
      <w:szCs w:val="24"/>
    </w:rPr>
  </w:style>
  <w:style w:type="paragraph" w:customStyle="1" w:styleId="14">
    <w:name w:val="Char"/>
    <w:basedOn w:val="1"/>
    <w:qFormat/>
    <w:uiPriority w:val="0"/>
    <w:pPr>
      <w:autoSpaceDE w:val="0"/>
      <w:autoSpaceDN w:val="0"/>
      <w:adjustRightInd w:val="0"/>
    </w:pPr>
    <w:rPr>
      <w:rFonts w:ascii="宋体" w:cs="宋体"/>
      <w:kern w:val="0"/>
      <w:sz w:val="20"/>
      <w:szCs w:val="20"/>
      <w:lang w:val="zh-CN"/>
    </w:rPr>
  </w:style>
  <w:style w:type="paragraph" w:customStyle="1" w:styleId="15">
    <w:name w:val="Char1"/>
    <w:basedOn w:val="1"/>
    <w:qFormat/>
    <w:uiPriority w:val="0"/>
    <w:rPr>
      <w:rFonts w:ascii="仿宋_GB2312" w:eastAsia="仿宋_GB2312"/>
      <w:sz w:val="32"/>
    </w:rPr>
  </w:style>
  <w:style w:type="paragraph" w:customStyle="1" w:styleId="16">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7">
    <w:name w:val="页脚 Char1"/>
    <w:basedOn w:val="7"/>
    <w:link w:val="4"/>
    <w:semiHidden/>
    <w:qFormat/>
    <w:locked/>
    <w:uiPriority w:val="0"/>
    <w:rPr>
      <w:rFonts w:ascii="Times New Roman" w:hAnsi="Times New Roman" w:eastAsia="宋体" w:cs="Times New Roman"/>
      <w:kern w:val="0"/>
      <w:sz w:val="18"/>
      <w:szCs w:val="18"/>
    </w:rPr>
  </w:style>
  <w:style w:type="character" w:customStyle="1" w:styleId="18">
    <w:name w:val="标题 3 Char Char"/>
    <w:qFormat/>
    <w:uiPriority w:val="0"/>
    <w:rPr>
      <w:rFonts w:hint="eastAsia" w:ascii="楷体_GB2312" w:eastAsia="楷体_GB2312"/>
      <w:b/>
      <w:kern w:val="2"/>
      <w:sz w:val="32"/>
      <w:szCs w:val="24"/>
      <w:lang w:val="en-US" w:eastAsia="zh-CN" w:bidi="ar-SA"/>
    </w:rPr>
  </w:style>
  <w:style w:type="paragraph" w:customStyle="1" w:styleId="1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17</Pages>
  <Words>6393</Words>
  <Characters>6667</Characters>
  <Lines>82</Lines>
  <Paragraphs>23</Paragraphs>
  <TotalTime>12</TotalTime>
  <ScaleCrop>false</ScaleCrop>
  <LinksUpToDate>false</LinksUpToDate>
  <CharactersWithSpaces>7045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2020-05-20T01:02:00Z</dcterms:created>
  <dc:creator>许节来 10.105.116.156</dc:creator>
  <cp:lastModifiedBy>Administrator</cp:lastModifiedBy>
  <dcterms:modified xsi:type="dcterms:W3CDTF">2022-08-27T16:32:01Z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176150C253504EE3B9D891232DA8CB14</vt:lpwstr>
  </property>
</Properties>
</file>