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岳阳县第三中学</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rPr>
          <w:sz w:val="32"/>
          <w:szCs w:val="32"/>
        </w:rPr>
      </w:pPr>
      <w:r>
        <w:rPr>
          <w:rFonts w:hint="eastAsia"/>
          <w:sz w:val="32"/>
          <w:szCs w:val="32"/>
        </w:rPr>
        <w:t>严格按照模板内容逐条公开，公开内容没有或内容涉密的，也应注明没有该事项发生或涉密不予公开（此句公开时请删除）。</w:t>
      </w: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第一部分XX单位概况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岳阳县第三中学</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widowControl w:val="0"/>
        <w:suppressLineNumbers w:val="0"/>
        <w:spacing w:before="0" w:beforeAutospacing="0" w:after="0" w:afterAutospacing="0"/>
        <w:ind w:left="0" w:right="0" w:firstLine="700" w:firstLineChars="250"/>
        <w:jc w:val="both"/>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color w:val="000000" w:themeColor="text1"/>
          <w:kern w:val="2"/>
          <w:sz w:val="28"/>
          <w:szCs w:val="28"/>
          <w:lang w:val="en-US" w:eastAsia="zh-CN" w:bidi="ar"/>
          <w14:textFill>
            <w14:solidFill>
              <w14:schemeClr w14:val="tx1"/>
            </w14:solidFill>
          </w14:textFill>
        </w:rPr>
        <w:t>高中学历教育及相关社会服务。</w:t>
      </w:r>
    </w:p>
    <w:p>
      <w:pPr>
        <w:jc w:val="left"/>
        <w:rPr>
          <w:rFonts w:ascii="仿宋_GB2312" w:eastAsia="仿宋_GB2312" w:hAnsiTheme="minorEastAsia"/>
          <w:sz w:val="28"/>
          <w:szCs w:val="32"/>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eastAsiaTheme="minorEastAsia" w:cstheme="minorEastAsia"/>
          <w:bCs/>
          <w:kern w:val="0"/>
          <w:sz w:val="32"/>
          <w:szCs w:val="32"/>
        </w:rPr>
      </w:pPr>
      <w:r>
        <w:rPr>
          <w:rFonts w:hint="eastAsia" w:asciiTheme="minorEastAsia" w:hAnsiTheme="minorEastAsia"/>
          <w:bCs/>
          <w:kern w:val="0"/>
          <w:sz w:val="32"/>
          <w:szCs w:val="32"/>
        </w:rPr>
        <w:t>（一）</w:t>
      </w:r>
      <w:r>
        <w:rPr>
          <w:rFonts w:hint="eastAsia" w:asciiTheme="minorEastAsia" w:hAnsiTheme="minorEastAsia" w:eastAsiaTheme="minorEastAsia" w:cstheme="minorEastAsia"/>
          <w:bCs/>
          <w:kern w:val="0"/>
          <w:sz w:val="32"/>
          <w:szCs w:val="32"/>
        </w:rPr>
        <w:t>内设机构设置。</w:t>
      </w:r>
      <w:r>
        <w:rPr>
          <w:rFonts w:hint="eastAsia" w:asciiTheme="minorEastAsia" w:hAnsiTheme="minorEastAsia" w:eastAsiaTheme="minorEastAsia" w:cstheme="minorEastAsia"/>
          <w:bCs/>
          <w:kern w:val="0"/>
          <w:sz w:val="32"/>
          <w:szCs w:val="32"/>
          <w:lang w:eastAsia="zh-CN"/>
        </w:rPr>
        <w:t>岳阳县第三中学</w:t>
      </w:r>
      <w:r>
        <w:rPr>
          <w:rFonts w:hint="eastAsia" w:asciiTheme="minorEastAsia" w:hAnsiTheme="minorEastAsia" w:eastAsiaTheme="minorEastAsia" w:cstheme="minorEastAsia"/>
          <w:bCs/>
          <w:kern w:val="0"/>
          <w:sz w:val="32"/>
          <w:szCs w:val="32"/>
        </w:rPr>
        <w:t>单位内设机构包括：</w:t>
      </w:r>
      <w:r>
        <w:rPr>
          <w:rFonts w:hint="eastAsia" w:asciiTheme="minorEastAsia" w:hAnsiTheme="minorEastAsia" w:eastAsiaTheme="minorEastAsia" w:cstheme="minorEastAsia"/>
          <w:i w:val="0"/>
          <w:iCs w:val="0"/>
          <w:caps w:val="0"/>
          <w:color w:val="000000" w:themeColor="text1"/>
          <w:spacing w:val="0"/>
          <w:sz w:val="32"/>
          <w:szCs w:val="32"/>
          <w:shd w:val="clear" w:fill="FFFFFF"/>
          <w:lang w:eastAsia="zh-CN"/>
          <w14:textFill>
            <w14:solidFill>
              <w14:schemeClr w14:val="tx1"/>
            </w14:solidFill>
          </w14:textFill>
        </w:rPr>
        <w:t>学校下设办公室、总务处、教导处、党建办、工会等，另有三个年级组负责管理学生。</w:t>
      </w:r>
    </w:p>
    <w:p>
      <w:pPr>
        <w:widowControl/>
        <w:spacing w:line="600" w:lineRule="exact"/>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岳阳县第三中学</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岳阳县第三中学</w:t>
      </w:r>
      <w:r>
        <w:rPr>
          <w:rFonts w:hint="eastAsia" w:asciiTheme="minorEastAsia" w:hAnsiTheme="minorEastAsia"/>
          <w:bCs/>
          <w:kern w:val="0"/>
          <w:sz w:val="32"/>
          <w:szCs w:val="32"/>
        </w:rPr>
        <w:t>单位本级</w:t>
      </w:r>
      <w:r>
        <w:rPr>
          <w:rFonts w:hint="eastAsia" w:asciiTheme="minorEastAsia" w:hAnsiTheme="minorEastAsia"/>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xml:space="preserve">      2,354.00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xml:space="preserve">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707.00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auto"/>
                <w:sz w:val="22"/>
                <w:szCs w:val="22"/>
                <w:u w:val="none"/>
              </w:rPr>
              <w:t xml:space="preserve">      3,138.00 </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xml:space="preserve">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xml:space="preserve">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77.00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auto"/>
                <w:kern w:val="0"/>
                <w:sz w:val="22"/>
                <w:szCs w:val="22"/>
                <w:u w:val="none"/>
                <w:lang w:val="en-US" w:eastAsia="zh-CN" w:bidi="ar"/>
              </w:rPr>
              <w:t xml:space="preserve">2,354.00 </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i w:val="0"/>
                <w:iCs w:val="0"/>
                <w:color w:val="auto"/>
                <w:sz w:val="22"/>
                <w:szCs w:val="22"/>
                <w:u w:val="none"/>
              </w:rPr>
              <w:t xml:space="preserve">      3,138.00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auto"/>
                <w:sz w:val="22"/>
                <w:szCs w:val="22"/>
                <w:u w:val="none"/>
              </w:rPr>
              <w:t xml:space="preserve"> 3,138.00 </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i w:val="0"/>
                <w:iCs w:val="0"/>
                <w:color w:val="auto"/>
                <w:sz w:val="22"/>
                <w:szCs w:val="22"/>
                <w:u w:val="none"/>
              </w:rPr>
              <w:t xml:space="preserve">      3,138.00</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3900" w:type="dxa"/>
        <w:tblInd w:w="0" w:type="dxa"/>
        <w:tblLayout w:type="autofit"/>
        <w:tblCellMar>
          <w:top w:w="0" w:type="dxa"/>
          <w:left w:w="0" w:type="dxa"/>
          <w:bottom w:w="0" w:type="dxa"/>
          <w:right w:w="0" w:type="dxa"/>
        </w:tblCellMar>
      </w:tblPr>
      <w:tblGrid>
        <w:gridCol w:w="421"/>
        <w:gridCol w:w="379"/>
        <w:gridCol w:w="1375"/>
        <w:gridCol w:w="1678"/>
        <w:gridCol w:w="1678"/>
        <w:gridCol w:w="1678"/>
        <w:gridCol w:w="1678"/>
        <w:gridCol w:w="1678"/>
        <w:gridCol w:w="1678"/>
        <w:gridCol w:w="2385"/>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auto"/>
                <w:kern w:val="0"/>
                <w:sz w:val="22"/>
                <w:szCs w:val="22"/>
                <w:u w:val="none"/>
                <w:lang w:val="en-US" w:eastAsia="zh-CN" w:bidi="ar"/>
              </w:rPr>
              <w:t>205</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auto"/>
                <w:kern w:val="0"/>
                <w:sz w:val="22"/>
                <w:szCs w:val="22"/>
                <w:u w:val="none"/>
                <w:lang w:val="en-US" w:eastAsia="zh-CN" w:bidi="ar"/>
              </w:rPr>
              <w:t>教育支出</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3,138.00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2,354.00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707.00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77.00</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auto"/>
                <w:kern w:val="0"/>
                <w:sz w:val="22"/>
                <w:szCs w:val="22"/>
                <w:u w:val="none"/>
                <w:lang w:val="en-US" w:eastAsia="zh-CN" w:bidi="ar"/>
              </w:rPr>
              <w:t>20502</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b/>
                <w:bCs/>
                <w:i w:val="0"/>
                <w:iCs w:val="0"/>
                <w:color w:val="auto"/>
                <w:kern w:val="0"/>
                <w:sz w:val="22"/>
                <w:szCs w:val="22"/>
                <w:u w:val="none"/>
                <w:lang w:val="en-US" w:eastAsia="zh-CN" w:bidi="ar"/>
              </w:rPr>
              <w:t>普通教育</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24"/>
                <w:szCs w:val="24"/>
              </w:rPr>
            </w:pPr>
            <w:r>
              <w:rPr>
                <w:rFonts w:hint="eastAsia" w:ascii="宋体" w:hAnsi="宋体" w:eastAsia="宋体" w:cs="宋体"/>
                <w:b/>
                <w:bCs/>
                <w:i w:val="0"/>
                <w:iCs w:val="0"/>
                <w:color w:val="auto"/>
                <w:kern w:val="0"/>
                <w:sz w:val="24"/>
                <w:szCs w:val="24"/>
                <w:u w:val="none"/>
                <w:lang w:val="en-US" w:eastAsia="zh-CN" w:bidi="ar"/>
              </w:rPr>
              <w:t>3,138.00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2,354.00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707.00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auto"/>
                <w:kern w:val="0"/>
                <w:sz w:val="24"/>
                <w:szCs w:val="24"/>
                <w:u w:val="none"/>
                <w:lang w:val="en-US" w:eastAsia="zh-CN" w:bidi="ar"/>
              </w:rPr>
              <w:t>77.00</w:t>
            </w:r>
          </w:p>
        </w:tc>
      </w:tr>
      <w:tr>
        <w:tblPrEx>
          <w:tblCellMar>
            <w:top w:w="0" w:type="dxa"/>
            <w:left w:w="0" w:type="dxa"/>
            <w:bottom w:w="0" w:type="dxa"/>
            <w:right w:w="0" w:type="dxa"/>
          </w:tblCellMar>
        </w:tblPrEx>
        <w:trPr>
          <w:trHeight w:val="450" w:hRule="atLeast"/>
        </w:trPr>
        <w:tc>
          <w:tcPr>
            <w:tcW w:w="6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auto"/>
                <w:kern w:val="0"/>
                <w:sz w:val="22"/>
                <w:szCs w:val="22"/>
                <w:u w:val="none"/>
                <w:lang w:val="en-US" w:eastAsia="zh-CN" w:bidi="ar"/>
              </w:rPr>
              <w:t>2050204</w:t>
            </w:r>
          </w:p>
        </w:tc>
        <w:tc>
          <w:tcPr>
            <w:tcW w:w="13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auto"/>
                <w:kern w:val="0"/>
                <w:sz w:val="22"/>
                <w:szCs w:val="22"/>
                <w:u w:val="none"/>
                <w:lang w:val="en-US" w:eastAsia="zh-CN" w:bidi="ar"/>
              </w:rPr>
              <w:t xml:space="preserve">  高中教育</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auto"/>
                <w:kern w:val="0"/>
                <w:sz w:val="22"/>
                <w:szCs w:val="22"/>
                <w:u w:val="none"/>
                <w:lang w:val="en-US" w:eastAsia="zh-CN" w:bidi="ar"/>
              </w:rPr>
              <w:t>3,138.00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auto"/>
                <w:kern w:val="0"/>
                <w:sz w:val="22"/>
                <w:szCs w:val="22"/>
                <w:u w:val="none"/>
                <w:lang w:val="en-US" w:eastAsia="zh-CN" w:bidi="ar"/>
              </w:rPr>
              <w:t>2,354.00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auto"/>
                <w:kern w:val="0"/>
                <w:sz w:val="22"/>
                <w:szCs w:val="22"/>
                <w:u w:val="none"/>
                <w:lang w:val="en-US" w:eastAsia="zh-CN" w:bidi="ar"/>
              </w:rPr>
              <w:t>707.00</w:t>
            </w: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16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p>
        </w:tc>
        <w:tc>
          <w:tcPr>
            <w:tcW w:w="23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auto"/>
                <w:kern w:val="0"/>
                <w:sz w:val="22"/>
                <w:szCs w:val="22"/>
                <w:u w:val="none"/>
                <w:lang w:val="en-US" w:eastAsia="zh-CN" w:bidi="ar"/>
              </w:rPr>
              <w:t>77.00</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3021" w:type="dxa"/>
        <w:tblInd w:w="93" w:type="dxa"/>
        <w:tblLayout w:type="autofit"/>
        <w:tblCellMar>
          <w:top w:w="0" w:type="dxa"/>
          <w:left w:w="108" w:type="dxa"/>
          <w:bottom w:w="0" w:type="dxa"/>
          <w:right w:w="108" w:type="dxa"/>
        </w:tblCellMar>
      </w:tblPr>
      <w:tblGrid>
        <w:gridCol w:w="1042"/>
        <w:gridCol w:w="222"/>
        <w:gridCol w:w="1249"/>
        <w:gridCol w:w="1646"/>
        <w:gridCol w:w="1679"/>
        <w:gridCol w:w="1679"/>
        <w:gridCol w:w="1679"/>
        <w:gridCol w:w="1679"/>
        <w:gridCol w:w="2308"/>
      </w:tblGrid>
      <w:tr>
        <w:tblPrEx>
          <w:tblCellMar>
            <w:top w:w="0" w:type="dxa"/>
            <w:left w:w="108" w:type="dxa"/>
            <w:bottom w:w="0" w:type="dxa"/>
            <w:right w:w="108" w:type="dxa"/>
          </w:tblCellMar>
        </w:tblPrEx>
        <w:trPr>
          <w:trHeight w:val="435" w:hRule="atLeast"/>
        </w:trPr>
        <w:tc>
          <w:tcPr>
            <w:tcW w:w="1302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6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1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4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11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235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205</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教育支出</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 xml:space="preserve">       -   </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 xml:space="preserve">   3,138.00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20502</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 xml:space="preserve"> 普通教育</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auto"/>
                <w:kern w:val="0"/>
                <w:sz w:val="22"/>
                <w:szCs w:val="22"/>
                <w:u w:val="none"/>
                <w:lang w:val="en-US" w:eastAsia="zh-CN" w:bidi="ar"/>
              </w:rPr>
              <w:t xml:space="preserve">       -   </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auto"/>
                <w:kern w:val="0"/>
                <w:sz w:val="22"/>
                <w:szCs w:val="22"/>
                <w:u w:val="none"/>
                <w:lang w:val="en-US" w:eastAsia="zh-CN" w:bidi="ar"/>
              </w:rPr>
              <w:t xml:space="preserve">  3,138.00</w:t>
            </w:r>
            <w:r>
              <w:rPr>
                <w:rFonts w:hint="eastAsia" w:ascii="宋体" w:hAnsi="宋体" w:eastAsia="宋体" w:cs="宋体"/>
                <w:b/>
                <w:bCs/>
                <w:i w:val="0"/>
                <w:iCs w:val="0"/>
                <w:color w:val="auto"/>
                <w:kern w:val="0"/>
                <w:sz w:val="22"/>
                <w:szCs w:val="22"/>
                <w:u w:val="none"/>
                <w:lang w:val="en-US" w:eastAsia="zh-CN" w:bidi="ar"/>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87"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auto"/>
                <w:kern w:val="0"/>
                <w:sz w:val="22"/>
                <w:szCs w:val="22"/>
                <w:u w:val="none"/>
                <w:lang w:val="en-US" w:eastAsia="zh-CN" w:bidi="ar"/>
              </w:rPr>
              <w:t>2050204</w:t>
            </w:r>
          </w:p>
        </w:tc>
        <w:tc>
          <w:tcPr>
            <w:tcW w:w="12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auto"/>
                <w:kern w:val="0"/>
                <w:sz w:val="22"/>
                <w:szCs w:val="22"/>
                <w:u w:val="none"/>
                <w:lang w:val="en-US" w:eastAsia="zh-CN" w:bidi="ar"/>
              </w:rPr>
              <w:t xml:space="preserve"> 高中教育</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auto"/>
                <w:kern w:val="0"/>
                <w:sz w:val="22"/>
                <w:szCs w:val="22"/>
                <w:u w:val="none"/>
                <w:lang w:val="en-US" w:eastAsia="zh-CN" w:bidi="ar"/>
              </w:rPr>
              <w:t xml:space="preserve">    3,138.00 </w:t>
            </w:r>
          </w:p>
        </w:tc>
        <w:tc>
          <w:tcPr>
            <w:tcW w:w="16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auto"/>
                <w:kern w:val="0"/>
                <w:sz w:val="22"/>
                <w:szCs w:val="22"/>
                <w:u w:val="none"/>
                <w:lang w:val="en-US" w:eastAsia="zh-CN" w:bidi="ar"/>
              </w:rPr>
              <w:t xml:space="preserve">     3,138.00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trPr>
        <w:tc>
          <w:tcPr>
            <w:tcW w:w="110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30" w:hRule="atLeast"/>
        </w:trPr>
        <w:tc>
          <w:tcPr>
            <w:tcW w:w="1302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lang w:val="en-US" w:eastAsia="zh-CN" w:bidi="ar-SA"/>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lang w:val="en-US" w:eastAsia="zh-CN" w:bidi="ar-SA"/>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b/>
                <w:bCs/>
                <w:i w:val="0"/>
                <w:iCs w:val="0"/>
                <w:color w:val="auto"/>
                <w:sz w:val="21"/>
                <w:szCs w:val="21"/>
                <w:u w:val="none"/>
              </w:rPr>
              <w:t>2,354.00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b/>
                <w:bCs/>
                <w:i w:val="0"/>
                <w:iCs w:val="0"/>
                <w:color w:val="auto"/>
                <w:sz w:val="21"/>
                <w:szCs w:val="21"/>
                <w:u w:val="none"/>
              </w:rPr>
              <w:t xml:space="preserve">   2,354.00 </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4"/>
                <w:szCs w:val="24"/>
                <w:u w:val="none"/>
                <w:lang w:val="en-US" w:eastAsia="zh-CN" w:bidi="ar"/>
              </w:rPr>
              <w:t xml:space="preserve">              2,354.00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4"/>
                <w:szCs w:val="24"/>
                <w:u w:val="none"/>
                <w:lang w:val="en-US" w:eastAsia="zh-CN" w:bidi="ar"/>
              </w:rPr>
              <w:t xml:space="preserve">              2,354.00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2"/>
                <w:szCs w:val="22"/>
                <w:u w:val="none"/>
                <w:lang w:val="en-US" w:eastAsia="zh-CN" w:bidi="ar"/>
              </w:rPr>
              <w:t xml:space="preserve">  普通教育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4"/>
                <w:szCs w:val="24"/>
                <w:u w:val="none"/>
                <w:lang w:val="en-US" w:eastAsia="zh-CN" w:bidi="ar"/>
              </w:rPr>
              <w:t xml:space="preserve">              2,354.00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auto"/>
                <w:kern w:val="0"/>
                <w:sz w:val="24"/>
                <w:szCs w:val="24"/>
                <w:u w:val="none"/>
                <w:lang w:val="en-US" w:eastAsia="zh-CN" w:bidi="ar"/>
              </w:rPr>
              <w:t xml:space="preserve">              2,354.00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auto"/>
                <w:kern w:val="0"/>
                <w:sz w:val="22"/>
                <w:szCs w:val="22"/>
                <w:u w:val="none"/>
                <w:lang w:val="en-US" w:eastAsia="zh-CN" w:bidi="ar"/>
              </w:rPr>
              <w:t>2050204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auto"/>
                <w:kern w:val="0"/>
                <w:sz w:val="22"/>
                <w:szCs w:val="22"/>
                <w:u w:val="none"/>
                <w:lang w:val="en-US" w:eastAsia="zh-CN" w:bidi="ar"/>
              </w:rPr>
              <w:t xml:space="preserve">    高中教育</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auto"/>
                <w:kern w:val="0"/>
                <w:sz w:val="22"/>
                <w:szCs w:val="22"/>
                <w:u w:val="none"/>
                <w:lang w:val="en-US" w:eastAsia="zh-CN" w:bidi="ar"/>
              </w:rPr>
              <w:t xml:space="preserve">                 2,354.00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auto"/>
                <w:kern w:val="0"/>
                <w:sz w:val="22"/>
                <w:szCs w:val="22"/>
                <w:u w:val="none"/>
                <w:lang w:val="en-US" w:eastAsia="zh-CN" w:bidi="ar"/>
              </w:rPr>
              <w:t xml:space="preserve">                 2,354.00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739" w:type="dxa"/>
        <w:tblInd w:w="0" w:type="dxa"/>
        <w:tblLayout w:type="fixed"/>
        <w:tblCellMar>
          <w:top w:w="0" w:type="dxa"/>
          <w:left w:w="108" w:type="dxa"/>
          <w:bottom w:w="0" w:type="dxa"/>
          <w:right w:w="108" w:type="dxa"/>
        </w:tblCellMar>
      </w:tblPr>
      <w:tblGrid>
        <w:gridCol w:w="1338"/>
        <w:gridCol w:w="3150"/>
        <w:gridCol w:w="1088"/>
        <w:gridCol w:w="1269"/>
        <w:gridCol w:w="2316"/>
        <w:gridCol w:w="765"/>
        <w:gridCol w:w="876"/>
        <w:gridCol w:w="4049"/>
        <w:gridCol w:w="888"/>
      </w:tblGrid>
      <w:tr>
        <w:tblPrEx>
          <w:tblCellMar>
            <w:top w:w="0" w:type="dxa"/>
            <w:left w:w="108" w:type="dxa"/>
            <w:bottom w:w="0" w:type="dxa"/>
            <w:right w:w="108" w:type="dxa"/>
          </w:tblCellMar>
        </w:tblPrEx>
        <w:trPr>
          <w:trHeight w:val="113" w:hRule="atLeast"/>
        </w:trPr>
        <w:tc>
          <w:tcPr>
            <w:tcW w:w="15739"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b/>
                <w:bCs/>
                <w:i w:val="0"/>
                <w:iCs w:val="0"/>
                <w:color w:val="000000"/>
                <w:kern w:val="0"/>
                <w:sz w:val="18"/>
                <w:szCs w:val="18"/>
                <w:u w:val="none"/>
                <w:lang w:val="en-US" w:eastAsia="zh-CN" w:bidi="ar"/>
              </w:rPr>
              <w:t xml:space="preserve">1667.10 1,667.10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223.21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820.00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50.00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120.00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59.40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19.50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18.60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450.00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30.10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184.00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14.20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bookmarkStart w:id="3" w:name="_GoBack"/>
            <w:bookmarkEnd w:id="3"/>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17.60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b/>
                <w:bCs/>
                <w:i w:val="0"/>
                <w:iCs w:val="0"/>
                <w:color w:val="000000"/>
                <w:sz w:val="18"/>
                <w:szCs w:val="18"/>
                <w:u w:val="none"/>
              </w:rPr>
              <w:t xml:space="preserve"> 463.69</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10.00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151.00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6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96.91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7.03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1.46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80.00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xml:space="preserve"> 138.00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8"/>
                <w:szCs w:val="18"/>
                <w:u w:val="none"/>
                <w:lang w:val="en-US" w:eastAsia="zh-CN" w:bidi="ar"/>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6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4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2130.79</w:t>
            </w:r>
            <w:r>
              <w:rPr>
                <w:rFonts w:hint="eastAsia" w:ascii="宋体" w:hAnsi="宋体" w:eastAsia="宋体" w:cs="宋体"/>
                <w:b/>
                <w:bCs/>
                <w:i w:val="0"/>
                <w:iCs w:val="0"/>
                <w:color w:val="000000"/>
                <w:sz w:val="18"/>
                <w:szCs w:val="18"/>
                <w:u w:val="none"/>
              </w:rPr>
              <w:t xml:space="preserve"> 2,130.79</w:t>
            </w:r>
          </w:p>
        </w:tc>
        <w:tc>
          <w:tcPr>
            <w:tcW w:w="92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223.21</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739"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1.28</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cs="宋体"/>
          <w:sz w:val="32"/>
          <w:szCs w:val="32"/>
        </w:rPr>
      </w:pPr>
      <w:r>
        <w:rPr>
          <w:rFonts w:hint="eastAsia" w:ascii="宋体" w:hAnsi="宋体" w:eastAsia="宋体" w:cs="宋体"/>
          <w:sz w:val="32"/>
          <w:szCs w:val="32"/>
        </w:rPr>
        <w:t>2020年度收入总计</w:t>
      </w:r>
      <w:r>
        <w:rPr>
          <w:rFonts w:hint="eastAsia" w:ascii="宋体" w:hAnsi="宋体" w:eastAsia="宋体" w:cs="宋体"/>
          <w:sz w:val="32"/>
          <w:szCs w:val="32"/>
          <w:lang w:val="en-US" w:eastAsia="zh-CN"/>
        </w:rPr>
        <w:t>3138</w:t>
      </w:r>
      <w:r>
        <w:rPr>
          <w:rFonts w:hint="eastAsia" w:ascii="宋体" w:hAnsi="宋体" w:eastAsia="宋体" w:cs="宋体"/>
          <w:sz w:val="32"/>
          <w:szCs w:val="32"/>
        </w:rPr>
        <w:t>万元，与上年相比，增长</w:t>
      </w:r>
      <w:r>
        <w:rPr>
          <w:rFonts w:hint="eastAsia" w:ascii="宋体" w:hAnsi="宋体" w:eastAsia="宋体" w:cs="宋体"/>
          <w:sz w:val="32"/>
          <w:szCs w:val="32"/>
          <w:lang w:val="en-US" w:eastAsia="zh-CN"/>
        </w:rPr>
        <w:t>158</w:t>
      </w:r>
      <w:r>
        <w:rPr>
          <w:rFonts w:hint="eastAsia" w:ascii="宋体" w:hAnsi="宋体" w:eastAsia="宋体" w:cs="宋体"/>
          <w:sz w:val="32"/>
          <w:szCs w:val="32"/>
        </w:rPr>
        <w:t>万元，增长</w:t>
      </w:r>
      <w:r>
        <w:rPr>
          <w:rFonts w:hint="eastAsia" w:ascii="宋体" w:hAnsi="宋体" w:eastAsia="宋体" w:cs="宋体"/>
          <w:sz w:val="32"/>
          <w:szCs w:val="32"/>
          <w:lang w:val="en-US" w:eastAsia="zh-CN"/>
        </w:rPr>
        <w:t>5</w:t>
      </w:r>
      <w:r>
        <w:rPr>
          <w:rFonts w:hint="eastAsia" w:ascii="宋体" w:hAnsi="宋体" w:eastAsia="宋体" w:cs="宋体"/>
          <w:sz w:val="32"/>
          <w:szCs w:val="32"/>
        </w:rPr>
        <w:t>%，</w:t>
      </w: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1、干部职工工资普调和晋级增加了收入；2、教师基本工资、绩效工资提标;3、教师津补贴和年终绩效奖的提标</w:t>
      </w:r>
      <w:r>
        <w:rPr>
          <w:rFonts w:hint="eastAsia" w:ascii="宋体" w:hAnsi="宋体" w:eastAsia="宋体" w:cs="宋体"/>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iCs w:val="0"/>
          <w:caps w:val="0"/>
          <w:color w:val="000000" w:themeColor="text1"/>
          <w:spacing w:val="0"/>
          <w:sz w:val="32"/>
          <w:szCs w:val="32"/>
          <w14:textFill>
            <w14:solidFill>
              <w14:schemeClr w14:val="tx1"/>
            </w14:solidFill>
          </w14:textFill>
        </w:rPr>
      </w:pPr>
      <w:r>
        <w:rPr>
          <w:rFonts w:hint="eastAsia" w:ascii="宋体" w:hAnsi="宋体" w:eastAsia="宋体"/>
          <w:sz w:val="32"/>
          <w:szCs w:val="32"/>
        </w:rPr>
        <w:t>2020年度支出总计</w:t>
      </w:r>
      <w:r>
        <w:rPr>
          <w:rFonts w:hint="eastAsia" w:ascii="宋体" w:hAnsi="宋体" w:eastAsia="宋体"/>
          <w:sz w:val="32"/>
          <w:szCs w:val="32"/>
          <w:lang w:val="en-US" w:eastAsia="zh-CN"/>
        </w:rPr>
        <w:t>3138</w:t>
      </w:r>
      <w:r>
        <w:rPr>
          <w:rFonts w:hint="eastAsia" w:ascii="宋体" w:hAnsi="宋体" w:eastAsia="宋体"/>
          <w:sz w:val="32"/>
          <w:szCs w:val="32"/>
        </w:rPr>
        <w:t>万元，与上年相比，增长</w:t>
      </w:r>
      <w:r>
        <w:rPr>
          <w:rFonts w:hint="eastAsia" w:ascii="宋体" w:hAnsi="宋体" w:eastAsia="宋体"/>
          <w:sz w:val="32"/>
          <w:szCs w:val="32"/>
          <w:lang w:val="en-US" w:eastAsia="zh-CN"/>
        </w:rPr>
        <w:t>158</w:t>
      </w:r>
      <w:r>
        <w:rPr>
          <w:rFonts w:hint="eastAsia" w:ascii="宋体" w:hAnsi="宋体" w:eastAsia="宋体"/>
          <w:sz w:val="32"/>
          <w:szCs w:val="32"/>
        </w:rPr>
        <w:t>万元，增长</w:t>
      </w:r>
      <w:r>
        <w:rPr>
          <w:rFonts w:hint="eastAsia" w:ascii="宋体" w:hAnsi="宋体" w:eastAsia="宋体"/>
          <w:sz w:val="32"/>
          <w:szCs w:val="32"/>
          <w:lang w:val="en-US" w:eastAsia="zh-CN"/>
        </w:rPr>
        <w:t>5%</w:t>
      </w:r>
      <w:r>
        <w:rPr>
          <w:rFonts w:hint="eastAsia" w:ascii="宋体" w:hAnsi="宋体" w:eastAsia="宋体"/>
          <w:sz w:val="32"/>
          <w:szCs w:val="32"/>
        </w:rPr>
        <w:t>，</w:t>
      </w:r>
      <w:r>
        <w:rPr>
          <w:rFonts w:hint="eastAsia" w:ascii="宋体" w:hAnsi="宋体" w:eastAsia="宋体" w:cs="宋体"/>
          <w:sz w:val="32"/>
          <w:szCs w:val="32"/>
        </w:rPr>
        <w:t>主要是因为</w:t>
      </w: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教育费附加、项目建设、薄改和长效机制经费较上年投入有所增加。</w:t>
      </w:r>
    </w:p>
    <w:p>
      <w:pPr>
        <w:pStyle w:val="10"/>
        <w:ind w:firstLine="640" w:firstLineChars="20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3138</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75</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706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77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3138</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3138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b w:val="0"/>
          <w:bCs w:val="0"/>
          <w:i w:val="0"/>
          <w:iCs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宋体" w:hAnsi="宋体" w:eastAsia="宋体"/>
          <w:sz w:val="32"/>
          <w:szCs w:val="32"/>
          <w:lang w:val="en-US" w:eastAsia="zh-CN"/>
        </w:rPr>
        <w:t>2354</w:t>
      </w:r>
      <w:r>
        <w:rPr>
          <w:rFonts w:hint="eastAsia" w:ascii="宋体" w:hAnsi="宋体" w:eastAsia="宋体"/>
          <w:sz w:val="32"/>
          <w:szCs w:val="32"/>
        </w:rPr>
        <w:t>万元（不含年初财政拨款结转和结余资金），与上年相比，增加</w:t>
      </w:r>
      <w:r>
        <w:rPr>
          <w:rFonts w:hint="eastAsia" w:ascii="宋体" w:hAnsi="宋体" w:eastAsia="宋体"/>
          <w:sz w:val="32"/>
          <w:szCs w:val="32"/>
          <w:lang w:val="en-US" w:eastAsia="zh-CN"/>
        </w:rPr>
        <w:t>181</w:t>
      </w:r>
      <w:r>
        <w:rPr>
          <w:rFonts w:hint="eastAsia" w:ascii="宋体" w:hAnsi="宋体" w:eastAsia="宋体"/>
          <w:sz w:val="32"/>
          <w:szCs w:val="32"/>
        </w:rPr>
        <w:t>万元,增长</w:t>
      </w:r>
      <w:r>
        <w:rPr>
          <w:rFonts w:hint="eastAsia" w:ascii="宋体" w:hAnsi="宋体" w:eastAsia="宋体"/>
          <w:sz w:val="32"/>
          <w:szCs w:val="32"/>
          <w:lang w:val="en-US" w:eastAsia="zh-CN"/>
        </w:rPr>
        <w:t>7.6</w:t>
      </w:r>
      <w:r>
        <w:rPr>
          <w:rFonts w:hint="eastAsia" w:ascii="宋体" w:hAnsi="宋体" w:eastAsia="宋体"/>
          <w:sz w:val="32"/>
          <w:szCs w:val="32"/>
        </w:rPr>
        <w:t>%，主要是因为1、干部职工工资普调和晋级增加了收入；2、教师基本工资、绩效工资提标;3、教师年终绩效奖的提标。2020年度财政拨款支出合计</w:t>
      </w:r>
      <w:r>
        <w:rPr>
          <w:rFonts w:hint="eastAsia" w:ascii="宋体" w:hAnsi="宋体" w:eastAsia="宋体"/>
          <w:sz w:val="32"/>
          <w:szCs w:val="32"/>
          <w:lang w:val="en-US" w:eastAsia="zh-CN"/>
        </w:rPr>
        <w:t>2354</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lang w:val="en-US" w:eastAsia="zh-CN"/>
        </w:rPr>
        <w:t>307</w:t>
      </w:r>
      <w:r>
        <w:rPr>
          <w:rFonts w:hint="eastAsia" w:ascii="宋体" w:hAnsi="宋体" w:eastAsia="宋体"/>
          <w:sz w:val="32"/>
          <w:szCs w:val="32"/>
        </w:rPr>
        <w:t>万元,增长</w:t>
      </w:r>
      <w:r>
        <w:rPr>
          <w:rFonts w:hint="eastAsia" w:ascii="宋体" w:hAnsi="宋体" w:eastAsia="宋体"/>
          <w:sz w:val="32"/>
          <w:szCs w:val="32"/>
          <w:lang w:val="en-US" w:eastAsia="zh-CN"/>
        </w:rPr>
        <w:t>13</w:t>
      </w:r>
      <w:r>
        <w:rPr>
          <w:rFonts w:hint="eastAsia" w:ascii="宋体" w:hAnsi="宋体" w:eastAsia="宋体"/>
          <w:sz w:val="32"/>
          <w:szCs w:val="32"/>
        </w:rPr>
        <w:t>%，主要是因为</w:t>
      </w:r>
      <w:r>
        <w:rPr>
          <w:rFonts w:hint="eastAsia" w:ascii="宋体" w:hAnsi="宋体" w:eastAsia="宋体" w:cs="宋体"/>
          <w:b w:val="0"/>
          <w:bCs w:val="0"/>
          <w:sz w:val="32"/>
          <w:szCs w:val="32"/>
          <w:lang w:val="en-US" w:eastAsia="zh-CN"/>
        </w:rPr>
        <w:t>:</w:t>
      </w:r>
      <w:r>
        <w:rPr>
          <w:rFonts w:hint="eastAsia" w:ascii="宋体" w:hAnsi="宋体" w:eastAsia="宋体" w:cs="宋体"/>
          <w:b w:val="0"/>
          <w:bCs w:val="0"/>
          <w:i w:val="0"/>
          <w:iCs w:val="0"/>
          <w:caps w:val="0"/>
          <w:color w:val="000000" w:themeColor="text1"/>
          <w:spacing w:val="0"/>
          <w:sz w:val="32"/>
          <w:szCs w:val="32"/>
          <w:shd w:val="clear" w:fill="FFFFFF"/>
          <w14:textFill>
            <w14:solidFill>
              <w14:schemeClr w14:val="tx1"/>
            </w14:solidFill>
          </w14:textFill>
        </w:rPr>
        <w:t>1、干部职工工资普调和晋级增加了收入；2、教师基本工资、绩效工资提标;3、教师津补贴和年终绩效奖的提标。</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宋体" w:hAnsi="宋体" w:eastAsia="宋体" w:cs="宋体"/>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153</w:t>
      </w:r>
      <w:r>
        <w:rPr>
          <w:rFonts w:hint="eastAsia" w:asciiTheme="minorEastAsia" w:hAnsiTheme="minorEastAsia" w:eastAsiaTheme="minorEastAsia"/>
          <w:sz w:val="32"/>
          <w:szCs w:val="32"/>
        </w:rPr>
        <w:t>万元，增长（减少）</w:t>
      </w:r>
      <w:r>
        <w:rPr>
          <w:rFonts w:hint="eastAsia" w:asciiTheme="minorEastAsia" w:hAnsiTheme="minorEastAsia" w:eastAsiaTheme="minorEastAsia"/>
          <w:sz w:val="32"/>
          <w:szCs w:val="32"/>
          <w:lang w:val="en-US" w:eastAsia="zh-CN"/>
        </w:rPr>
        <w:t>5.12</w:t>
      </w:r>
      <w:r>
        <w:rPr>
          <w:rFonts w:hint="eastAsia" w:asciiTheme="minorEastAsia" w:hAnsiTheme="minorEastAsia" w:eastAsiaTheme="minorEastAsia"/>
          <w:sz w:val="32"/>
          <w:szCs w:val="32"/>
        </w:rPr>
        <w:t>%，</w:t>
      </w:r>
      <w:r>
        <w:rPr>
          <w:rFonts w:hint="eastAsia" w:ascii="宋体" w:hAnsi="宋体" w:eastAsia="宋体" w:cs="宋体"/>
          <w:sz w:val="32"/>
          <w:szCs w:val="32"/>
        </w:rPr>
        <w:t>主要是因为</w:t>
      </w: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（1）干部职工工资普调和晋级增加了收入；（2）教师基本工资、绩效工资提标;（3）教师年终绩效奖的提标;（4）教育费附加、项目建设、薄改和长效机制经费较上年投入有所增加。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2173</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w:t>
      </w:r>
      <w:r>
        <w:rPr>
          <w:rFonts w:hint="eastAsia" w:asciiTheme="minorEastAsia" w:hAnsiTheme="minorEastAsia" w:eastAsiaTheme="minorEastAsia"/>
          <w:sz w:val="32"/>
          <w:szCs w:val="32"/>
          <w:lang w:eastAsia="zh-CN"/>
        </w:rPr>
        <w:t>教育支出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高中教育</w:t>
      </w:r>
      <w:r>
        <w:rPr>
          <w:rFonts w:hint="eastAsia" w:asciiTheme="minorEastAsia" w:hAnsiTheme="minorEastAsia" w:eastAsiaTheme="minorEastAsia"/>
          <w:sz w:val="32"/>
          <w:szCs w:val="32"/>
        </w:rPr>
        <w:t>（项）。</w:t>
      </w:r>
    </w:p>
    <w:p>
      <w:pPr>
        <w:pStyle w:val="10"/>
        <w:ind w:firstLine="800" w:firstLineChars="250"/>
        <w:rPr>
          <w:rFonts w:hint="eastAsia" w:ascii="宋体" w:hAnsi="宋体" w:eastAsia="宋体" w:cs="宋体"/>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2173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108</w:t>
      </w:r>
      <w:r>
        <w:rPr>
          <w:rFonts w:hint="eastAsia" w:asciiTheme="minorEastAsia" w:hAnsiTheme="minorEastAsia" w:eastAsiaTheme="minorEastAsia"/>
          <w:sz w:val="32"/>
          <w:szCs w:val="32"/>
        </w:rPr>
        <w:t>%，决算数大于年初预算数的主要原因是：</w:t>
      </w:r>
      <w:r>
        <w:rPr>
          <w:rFonts w:hint="eastAsia" w:ascii="宋体" w:hAnsi="宋体" w:eastAsia="宋体" w:cs="宋体"/>
          <w:i w:val="0"/>
          <w:iCs w:val="0"/>
          <w:caps w:val="0"/>
          <w:color w:val="000000" w:themeColor="text1"/>
          <w:spacing w:val="0"/>
          <w:sz w:val="32"/>
          <w:szCs w:val="32"/>
          <w:shd w:val="clear" w:fill="FFFFFF"/>
          <w14:textFill>
            <w14:solidFill>
              <w14:schemeClr w14:val="tx1"/>
            </w14:solidFill>
          </w14:textFill>
        </w:rPr>
        <w:t>（1）干部职工工资普调和晋级增加了收入；（2）教师基本工资、绩效工资提标;（3）教师年终绩效奖的提标;（4）教育费附加、项目建设、薄改和长效机制经费较上年投入有所增加。</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2354</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2130.79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90.5</w:t>
      </w:r>
      <w:r>
        <w:rPr>
          <w:rFonts w:hint="eastAsia" w:asciiTheme="minorEastAsia" w:hAnsiTheme="minorEastAsia" w:eastAsiaTheme="minorEastAsia"/>
          <w:sz w:val="32"/>
          <w:szCs w:val="32"/>
        </w:rPr>
        <w:t>%,主要包括基本工资、津贴补贴、奖金、伙食补助费；公用经费</w:t>
      </w:r>
      <w:r>
        <w:rPr>
          <w:rFonts w:hint="eastAsia" w:asciiTheme="minorEastAsia" w:hAnsiTheme="minorEastAsia" w:eastAsiaTheme="minorEastAsia"/>
          <w:sz w:val="32"/>
          <w:szCs w:val="32"/>
          <w:lang w:val="en-US" w:eastAsia="zh-CN"/>
        </w:rPr>
        <w:t>223.21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9.5</w:t>
      </w:r>
      <w:r>
        <w:rPr>
          <w:rFonts w:hint="eastAsia" w:asciiTheme="minorEastAsia" w:hAnsiTheme="minorEastAsia" w:eastAsiaTheme="minorEastAsia"/>
          <w:sz w:val="32"/>
          <w:szCs w:val="32"/>
        </w:rPr>
        <w:t>%，主要包括办公费、印刷费、咨询费、手续费。</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w:t>
      </w:r>
      <w:r>
        <w:rPr>
          <w:rFonts w:hint="eastAsia" w:ascii="宋体" w:hAnsi="宋体" w:eastAsia="宋体" w:cs="宋体"/>
          <w:sz w:val="32"/>
          <w:szCs w:val="32"/>
        </w:rPr>
        <w:t>，与上年相比</w:t>
      </w:r>
      <w:r>
        <w:rPr>
          <w:rFonts w:hint="eastAsia" w:asciiTheme="minorEastAsia" w:hAnsiTheme="minorEastAsia" w:eastAsiaTheme="minorEastAsia"/>
          <w:sz w:val="32"/>
          <w:szCs w:val="32"/>
        </w:rPr>
        <w:t>减少（增加）</w:t>
      </w:r>
      <w:r>
        <w:rPr>
          <w:rFonts w:hint="eastAsia" w:ascii="宋体" w:hAnsi="宋体" w:eastAsia="宋体" w:cs="宋体"/>
          <w:sz w:val="32"/>
          <w:szCs w:val="32"/>
          <w:lang w:val="en-US" w:eastAsia="zh-CN"/>
        </w:rPr>
        <w:t>0</w:t>
      </w:r>
      <w:r>
        <w:rPr>
          <w:rFonts w:hint="eastAsia" w:ascii="宋体" w:hAnsi="宋体" w:eastAsia="宋体" w:cs="宋体"/>
          <w:sz w:val="32"/>
          <w:szCs w:val="32"/>
        </w:rPr>
        <w:t>万元，减少</w:t>
      </w:r>
      <w:r>
        <w:rPr>
          <w:rFonts w:hint="eastAsia" w:ascii="宋体" w:hAnsi="宋体" w:eastAsia="宋体" w:cs="宋体"/>
          <w:sz w:val="32"/>
          <w:szCs w:val="32"/>
          <w:lang w:val="en-US" w:eastAsia="zh-CN"/>
        </w:rPr>
        <w:t>0</w:t>
      </w:r>
      <w:r>
        <w:rPr>
          <w:rFonts w:hint="eastAsia" w:ascii="宋体" w:hAnsi="宋体" w:eastAsia="宋体" w:cs="宋体"/>
          <w:sz w:val="32"/>
          <w:szCs w:val="32"/>
        </w:rPr>
        <w:t>%,减少的主要原因</w:t>
      </w:r>
      <w:r>
        <w:rPr>
          <w:rFonts w:hint="eastAsia" w:asciiTheme="minorEastAsia" w:hAnsiTheme="minorEastAsia" w:eastAsiaTheme="minorEastAsia"/>
          <w:sz w:val="32"/>
          <w:szCs w:val="32"/>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42.6</w:t>
      </w:r>
      <w:r>
        <w:rPr>
          <w:rFonts w:hint="eastAsia" w:asciiTheme="minorEastAsia" w:hAnsiTheme="minorEastAsia" w:eastAsiaTheme="minorEastAsia"/>
          <w:sz w:val="32"/>
          <w:szCs w:val="32"/>
        </w:rPr>
        <w:t>%，决算数小于预算数的主要原因是</w:t>
      </w:r>
      <w:r>
        <w:rPr>
          <w:rFonts w:hint="eastAsia" w:asciiTheme="majorEastAsia" w:hAnsiTheme="majorEastAsia" w:eastAsiaTheme="majorEastAsia" w:cstheme="majorEastAsia"/>
          <w:i w:val="0"/>
          <w:iCs w:val="0"/>
          <w:caps w:val="0"/>
          <w:color w:val="000000" w:themeColor="text1"/>
          <w:spacing w:val="0"/>
          <w:sz w:val="32"/>
          <w:szCs w:val="32"/>
          <w:shd w:val="clear" w:fill="FFFFFF"/>
          <w:lang w:eastAsia="zh-CN"/>
          <w14:textFill>
            <w14:solidFill>
              <w14:schemeClr w14:val="tx1"/>
            </w14:solidFill>
          </w14:textFill>
        </w:rPr>
        <w:t>学校大力控制三公经费的开支</w:t>
      </w:r>
      <w:r>
        <w:rPr>
          <w:rFonts w:hint="eastAsia" w:asciiTheme="majorEastAsia" w:hAnsiTheme="majorEastAsia" w:eastAsiaTheme="majorEastAsia" w:cstheme="majorEastAsia"/>
          <w:sz w:val="32"/>
          <w:szCs w:val="32"/>
        </w:rPr>
        <w:t>，与上年相比减少</w:t>
      </w:r>
      <w:r>
        <w:rPr>
          <w:rFonts w:hint="eastAsia" w:asciiTheme="majorEastAsia" w:hAnsiTheme="majorEastAsia" w:eastAsiaTheme="majorEastAsia" w:cstheme="majorEastAsia"/>
          <w:sz w:val="32"/>
          <w:szCs w:val="32"/>
          <w:lang w:val="en-US" w:eastAsia="zh-CN"/>
        </w:rPr>
        <w:t>1.37</w:t>
      </w:r>
      <w:r>
        <w:rPr>
          <w:rFonts w:hint="eastAsia" w:asciiTheme="majorEastAsia" w:hAnsiTheme="majorEastAsia" w:eastAsiaTheme="majorEastAsia" w:cstheme="majorEastAsia"/>
          <w:sz w:val="32"/>
          <w:szCs w:val="32"/>
        </w:rPr>
        <w:t>万元，减少</w:t>
      </w:r>
      <w:r>
        <w:rPr>
          <w:rFonts w:hint="eastAsia" w:asciiTheme="majorEastAsia" w:hAnsiTheme="majorEastAsia" w:eastAsiaTheme="majorEastAsia" w:cstheme="majorEastAsia"/>
          <w:sz w:val="32"/>
          <w:szCs w:val="32"/>
          <w:lang w:val="en-US" w:eastAsia="zh-CN"/>
        </w:rPr>
        <w:t>51.3</w:t>
      </w:r>
      <w:r>
        <w:rPr>
          <w:rFonts w:hint="eastAsia" w:asciiTheme="majorEastAsia" w:hAnsiTheme="majorEastAsia" w:eastAsiaTheme="majorEastAsia" w:cstheme="majorEastAsia"/>
          <w:sz w:val="32"/>
          <w:szCs w:val="32"/>
        </w:rPr>
        <w:t>%,减少（增长）的主要原因是</w:t>
      </w:r>
      <w:r>
        <w:rPr>
          <w:rFonts w:hint="eastAsia" w:asciiTheme="majorEastAsia" w:hAnsiTheme="majorEastAsia" w:eastAsiaTheme="majorEastAsia" w:cstheme="majorEastAsia"/>
          <w:i w:val="0"/>
          <w:iCs w:val="0"/>
          <w:caps w:val="0"/>
          <w:color w:val="000000" w:themeColor="text1"/>
          <w:spacing w:val="0"/>
          <w:sz w:val="32"/>
          <w:szCs w:val="32"/>
          <w:shd w:val="clear" w:fill="FFFFFF"/>
          <w:lang w:eastAsia="zh-CN"/>
          <w14:textFill>
            <w14:solidFill>
              <w14:schemeClr w14:val="tx1"/>
            </w14:solidFill>
          </w14:textFill>
        </w:rPr>
        <w:t>学校大力控制三公经费的开支</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%，决算数大于（小于）预算数的主要原因是……，与上年相比减少（增加）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%,减少（增长）的主要原因是……。</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2020年度“三公”经费财政拨款支出决算中，公务接待费支出决算XXXX万元，占XX%,因公出国（境）费支出决算XXXX万元，占XX%,公务用车购置费及运行维护费支出决算XXXX万元，占XX%。其中：</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pStyle w:val="10"/>
        <w:ind w:firstLine="800" w:firstLineChars="250"/>
        <w:rPr>
          <w:rFonts w:asciiTheme="minorEastAsia" w:hAnsiTheme="minorEastAsia" w:eastAsiaTheme="minorEastAsia"/>
          <w:sz w:val="32"/>
          <w:szCs w:val="32"/>
        </w:rPr>
      </w:pPr>
      <w:r>
        <w:rPr>
          <w:rFonts w:asciiTheme="minorEastAsia" w:hAnsiTheme="minorEastAsia" w:eastAsiaTheme="minorEastAsia"/>
          <w:sz w:val="32"/>
          <w:szCs w:val="32"/>
        </w:rPr>
        <w:t>……</w:t>
      </w:r>
      <w:r>
        <w:rPr>
          <w:rFonts w:hint="eastAsia" w:asciiTheme="minorEastAsia" w:hAnsiTheme="minorEastAsia" w:eastAsiaTheme="minorEastAsia"/>
          <w:i/>
          <w:color w:val="FF0000"/>
          <w:sz w:val="32"/>
          <w:szCs w:val="32"/>
        </w:rPr>
        <w:t>（活动名称）</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万元，主要用于</w:t>
      </w:r>
      <w:r>
        <w:rPr>
          <w:rFonts w:asciiTheme="minorEastAsia" w:hAnsiTheme="minorEastAsia" w:eastAsiaTheme="minorEastAsia"/>
          <w:sz w:val="32"/>
          <w:szCs w:val="32"/>
        </w:rPr>
        <w:t>………</w:t>
      </w:r>
      <w:r>
        <w:rPr>
          <w:rFonts w:hint="eastAsia" w:asciiTheme="minorEastAsia" w:hAnsiTheme="minorEastAsia" w:eastAsiaTheme="minorEastAsia"/>
          <w:i/>
          <w:color w:val="FF0000"/>
          <w:sz w:val="32"/>
          <w:szCs w:val="32"/>
        </w:rPr>
        <w:t>（活动内容）</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w:t>
      </w:r>
      <w:r>
        <w:rPr>
          <w:rFonts w:hint="eastAsia" w:asciiTheme="minorEastAsia" w:hAnsiTheme="minorEastAsia" w:eastAsiaTheme="minorEastAsia"/>
          <w:i/>
          <w:color w:val="FF0000"/>
          <w:sz w:val="32"/>
          <w:szCs w:val="32"/>
        </w:rPr>
        <w:t>（可根据实际情况进行增减）</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1.28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363</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教育教学活动</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asciiTheme="minorEastAsia" w:hAnsiTheme="minorEastAsia"/>
          <w:sz w:val="32"/>
          <w:szCs w:val="32"/>
        </w:rPr>
        <w:t>……</w:t>
      </w:r>
      <w:r>
        <w:rPr>
          <w:rFonts w:hint="eastAsia" w:asciiTheme="minorEastAsia" w:hAnsiTheme="minorEastAsia"/>
          <w:i/>
          <w:color w:val="FF0000"/>
          <w:sz w:val="32"/>
          <w:szCs w:val="32"/>
        </w:rPr>
        <w:t>（可根据实际情况进行增减）</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asciiTheme="minorEastAsia" w:hAnsiTheme="minorEastAsia"/>
          <w:sz w:val="32"/>
          <w:szCs w:val="32"/>
        </w:rPr>
        <w:t>……</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ind w:firstLine="800" w:firstLineChars="250"/>
        <w:rPr>
          <w:rFonts w:hint="eastAsia" w:ascii="宋体" w:hAnsi="宋体" w:eastAsia="宋体"/>
          <w:b/>
          <w:bCs/>
          <w:color w:val="FF0000"/>
          <w:sz w:val="32"/>
          <w:szCs w:val="32"/>
        </w:rPr>
      </w:pPr>
      <w:r>
        <w:rPr>
          <w:rFonts w:hint="eastAsia" w:ascii="宋体" w:hAnsi="宋体" w:eastAsia="宋体"/>
          <w:b/>
          <w:bCs/>
          <w:color w:val="FF0000"/>
          <w:sz w:val="32"/>
          <w:szCs w:val="32"/>
        </w:rPr>
        <w:t>（三公经费支出口径应在专业名词解释中予以说明</w:t>
      </w:r>
      <w:r>
        <w:rPr>
          <w:rFonts w:hint="default" w:ascii="宋体" w:hAnsi="宋体" w:eastAsia="宋体"/>
          <w:b/>
          <w:bCs/>
          <w:color w:val="FF0000"/>
          <w:sz w:val="32"/>
          <w:szCs w:val="32"/>
        </w:rPr>
        <w:t>，</w:t>
      </w:r>
      <w:r>
        <w:rPr>
          <w:rFonts w:hint="eastAsia" w:ascii="宋体" w:hAnsi="宋体" w:eastAsia="宋体"/>
          <w:b/>
          <w:bCs/>
          <w:color w:val="FF0000"/>
          <w:sz w:val="32"/>
          <w:szCs w:val="32"/>
        </w:rPr>
        <w:t>严格按照模板格式说明，没有发生即在模板中数字栏填列为0即可，不可随意删除，例如“公务接待费支出决算为0万元，全年共接待来访团组0个、来宾0人次，主要是因疫情影响，未发生的接待支</w:t>
      </w:r>
      <w:r>
        <w:rPr>
          <w:rFonts w:hint="eastAsia" w:ascii="宋体" w:hAnsi="宋体" w:eastAsia="宋体"/>
          <w:b/>
          <w:bCs/>
          <w:color w:val="FF0000"/>
          <w:sz w:val="32"/>
          <w:szCs w:val="32"/>
          <w:lang w:eastAsia="zh-Hans"/>
        </w:rPr>
        <w:t>”</w:t>
      </w:r>
      <w:r>
        <w:rPr>
          <w:rFonts w:hint="eastAsia" w:ascii="宋体" w:hAnsi="宋体" w:eastAsia="宋体"/>
          <w:b/>
          <w:bCs/>
          <w:color w:val="FF0000"/>
          <w:sz w:val="32"/>
          <w:szCs w:val="32"/>
        </w:rPr>
        <w:t>）</w:t>
      </w: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sz w:val="32"/>
          <w:szCs w:val="32"/>
          <w:lang w:eastAsia="zh-CN"/>
        </w:rPr>
        <w:t>本单位无</w:t>
      </w:r>
      <w:r>
        <w:rPr>
          <w:rFonts w:hint="eastAsia" w:asciiTheme="minorEastAsia" w:hAnsiTheme="minorEastAsia" w:eastAsiaTheme="minorEastAsia"/>
          <w:sz w:val="32"/>
          <w:szCs w:val="32"/>
        </w:rPr>
        <w:t>政府性基金预算财政拨款收</w:t>
      </w:r>
      <w:r>
        <w:rPr>
          <w:rFonts w:hint="eastAsia" w:asciiTheme="minorEastAsia" w:hAnsiTheme="minorEastAsia" w:eastAsiaTheme="minorEastAsia"/>
          <w:sz w:val="32"/>
          <w:szCs w:val="32"/>
          <w:lang w:eastAsia="zh-CN"/>
        </w:rPr>
        <w:t>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w:t>
      </w:r>
      <w:r>
        <w:rPr>
          <w:rFonts w:hint="eastAsia" w:asciiTheme="minorEastAsia" w:hAnsiTheme="minorEastAsia" w:eastAsiaTheme="minorEastAsia"/>
          <w:sz w:val="32"/>
          <w:szCs w:val="32"/>
          <w:lang w:eastAsia="zh-CN"/>
        </w:rPr>
        <w:t>没有</w:t>
      </w:r>
      <w:r>
        <w:rPr>
          <w:rFonts w:hint="eastAsia" w:asciiTheme="minorEastAsia" w:hAnsiTheme="minorEastAsia" w:eastAsiaTheme="minorEastAsia"/>
          <w:sz w:val="32"/>
          <w:szCs w:val="32"/>
        </w:rPr>
        <w:t>机关运行</w:t>
      </w:r>
      <w:r>
        <w:rPr>
          <w:rFonts w:hint="eastAsia" w:asciiTheme="minorEastAsia" w:hAnsiTheme="minorEastAsia" w:eastAsiaTheme="minorEastAsia"/>
          <w:sz w:val="32"/>
          <w:szCs w:val="32"/>
          <w:lang w:eastAsia="zh-CN"/>
        </w:rPr>
        <w:t>收支。</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人，内容为……；开支培训费</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教育教学</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168</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教师各学科学习</w:t>
      </w:r>
      <w:r>
        <w:rPr>
          <w:rFonts w:hint="eastAsia" w:asciiTheme="minorEastAsia" w:hAnsiTheme="minorEastAsia" w:eastAsiaTheme="minorEastAsia"/>
          <w:sz w:val="32"/>
          <w:szCs w:val="32"/>
        </w:rPr>
        <w:t>；举办……等节庆、晚会、论坛、赛事活动，开支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color w:val="FF0000"/>
          <w:sz w:val="32"/>
          <w:szCs w:val="32"/>
        </w:rPr>
        <w:t>（注：三类会议、培训活动，节庆、晚会、论坛、赛事等活动，请分项列明活动计划及经费预算情况）</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万元、政府采购服务支出XX万元。授予中小企业合同金额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color w:val="FF0000"/>
          <w:sz w:val="32"/>
          <w:szCs w:val="32"/>
        </w:rPr>
        <w:t>（政府采购金额的计算口径为：本部门纳入2020 年度部门预算范围的各项政府采购支出金额之和，不包括涉密采购项目的支出金额</w:t>
      </w:r>
      <w:r>
        <w:rPr>
          <w:rFonts w:hint="default" w:asciiTheme="minorEastAsia" w:hAnsiTheme="minorEastAsia" w:eastAsiaTheme="minorEastAsia"/>
          <w:color w:val="FF0000"/>
          <w:sz w:val="32"/>
          <w:szCs w:val="32"/>
        </w:rPr>
        <w:t>。</w:t>
      </w:r>
      <w:r>
        <w:rPr>
          <w:rFonts w:hint="eastAsia" w:asciiTheme="minorEastAsia" w:hAnsiTheme="minorEastAsia" w:eastAsiaTheme="minorEastAsia"/>
          <w:b/>
          <w:bCs/>
          <w:color w:val="FF0000"/>
          <w:sz w:val="32"/>
          <w:szCs w:val="32"/>
        </w:rPr>
        <w:t>严格按照模板格式说明，没有发生即在模板中填列为0即可，不可随意删除</w:t>
      </w:r>
      <w:r>
        <w:rPr>
          <w:rFonts w:hint="eastAsia" w:asciiTheme="minorEastAsia" w:hAnsiTheme="minorEastAsia" w:eastAsiaTheme="minorEastAsia"/>
          <w:color w:val="FF0000"/>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ind w:firstLine="640" w:firstLineChars="200"/>
        <w:rPr>
          <w:rFonts w:hint="eastAsia" w:asciiTheme="minorEastAsia" w:hAnsiTheme="minorEastAsia" w:eastAsiaTheme="minorEastAsia"/>
          <w:sz w:val="32"/>
          <w:szCs w:val="32"/>
        </w:rPr>
      </w:pPr>
      <w:r>
        <w:rPr>
          <w:rFonts w:hint="eastAsia" w:ascii="宋体" w:hAnsi="宋体" w:eastAsia="宋体" w:cs="宋体"/>
          <w:color w:val="FF0000"/>
          <w:sz w:val="32"/>
          <w:szCs w:val="32"/>
        </w:rPr>
        <w:t>（</w:t>
      </w:r>
      <w:r>
        <w:rPr>
          <w:rFonts w:hint="eastAsia" w:ascii="宋体" w:hAnsi="宋体" w:eastAsia="宋体" w:cs="宋体"/>
          <w:b/>
          <w:bCs/>
          <w:color w:val="FF0000"/>
          <w:sz w:val="32"/>
          <w:szCs w:val="32"/>
        </w:rPr>
        <w:t>严格按照模板格式说明，没有发生即在模板中填列为0即可，不可随意删除）</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根据</w:t>
      </w:r>
      <w:r>
        <w:rPr>
          <w:rFonts w:hint="eastAsia" w:ascii="宋体" w:hAnsi="宋体" w:eastAsia="宋体"/>
          <w:sz w:val="32"/>
          <w:szCs w:val="32"/>
          <w:lang w:val="en-US" w:eastAsia="zh-Hans"/>
        </w:rPr>
        <w:t>xxxx等文件的</w:t>
      </w:r>
      <w:r>
        <w:rPr>
          <w:rFonts w:hint="eastAsia" w:ascii="宋体" w:hAnsi="宋体" w:eastAsia="宋体"/>
          <w:sz w:val="32"/>
          <w:szCs w:val="32"/>
        </w:rPr>
        <w:t>要求，为进一步规范财政资金管理，强化绩效和责任意识，切实提高财政资金使用效益，我单位对</w:t>
      </w:r>
      <w:r>
        <w:rPr>
          <w:rFonts w:hint="eastAsia" w:ascii="宋体" w:hAnsi="宋体" w:eastAsia="宋体"/>
          <w:sz w:val="32"/>
          <w:szCs w:val="32"/>
          <w:highlight w:val="yellow"/>
        </w:rPr>
        <w:t>2020年度部门整体支出、单位项目支出、重点（专项）项目支出进行了绩效自评</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92</w:t>
      </w:r>
      <w:r>
        <w:rPr>
          <w:rFonts w:hint="eastAsia" w:ascii="宋体" w:hAnsi="宋体" w:eastAsia="宋体"/>
          <w:sz w:val="32"/>
          <w:szCs w:val="32"/>
        </w:rPr>
        <w:t>，评价等级为“</w:t>
      </w:r>
      <w:r>
        <w:rPr>
          <w:rFonts w:hint="eastAsia" w:ascii="宋体" w:hAnsi="宋体" w:eastAsia="宋体"/>
          <w:sz w:val="32"/>
          <w:szCs w:val="32"/>
          <w:lang w:val="en-US"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XX项目支出绩效自评得分</w:t>
      </w:r>
      <w:r>
        <w:rPr>
          <w:rFonts w:hint="eastAsia" w:ascii="宋体" w:hAnsi="宋体" w:eastAsia="宋体"/>
          <w:sz w:val="32"/>
          <w:szCs w:val="32"/>
          <w:lang w:val="en-US" w:eastAsia="zh-CN"/>
        </w:rPr>
        <w:t>0</w:t>
      </w:r>
      <w:r>
        <w:rPr>
          <w:rFonts w:hint="eastAsia" w:ascii="宋体" w:hAnsi="宋体" w:eastAsia="宋体"/>
          <w:sz w:val="32"/>
          <w:szCs w:val="32"/>
        </w:rPr>
        <w:t>，评价等级为“</w:t>
      </w:r>
      <w:r>
        <w:rPr>
          <w:rFonts w:hint="eastAsia" w:ascii="宋体" w:hAnsi="宋体" w:eastAsia="宋体"/>
          <w:sz w:val="32"/>
          <w:szCs w:val="32"/>
          <w:lang w:val="en-US" w:eastAsia="zh-CN"/>
        </w:rPr>
        <w:t>XX</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XX重点（专项）项目支出绩效自评得分</w:t>
      </w:r>
      <w:r>
        <w:rPr>
          <w:rFonts w:hint="eastAsia" w:ascii="宋体" w:hAnsi="宋体" w:eastAsia="宋体"/>
          <w:sz w:val="32"/>
          <w:szCs w:val="32"/>
          <w:lang w:val="en-US" w:eastAsia="zh-CN"/>
        </w:rPr>
        <w:t>0</w:t>
      </w:r>
      <w:r>
        <w:rPr>
          <w:rFonts w:hint="eastAsia" w:ascii="宋体" w:hAnsi="宋体" w:eastAsia="宋体"/>
          <w:sz w:val="32"/>
          <w:szCs w:val="32"/>
        </w:rPr>
        <w:t>，评价等级为“XX”。</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highlight w:val="yellow"/>
          <w:lang w:val="en-US" w:eastAsia="zh-Hans"/>
        </w:rPr>
        <w:t>县</w:t>
      </w:r>
      <w:r>
        <w:rPr>
          <w:rFonts w:hint="eastAsia" w:ascii="宋体" w:hAnsi="宋体" w:eastAsia="宋体"/>
          <w:sz w:val="32"/>
          <w:szCs w:val="32"/>
          <w:highlight w:val="yellow"/>
        </w:rPr>
        <w:t>财政局</w:t>
      </w:r>
      <w:r>
        <w:rPr>
          <w:rFonts w:hint="eastAsia" w:ascii="宋体" w:hAnsi="宋体" w:eastAsia="宋体"/>
          <w:sz w:val="32"/>
          <w:szCs w:val="32"/>
        </w:rPr>
        <w:t>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pPr>
        <w:pStyle w:val="10"/>
        <w:jc w:val="center"/>
        <w:rPr>
          <w:rFonts w:asciiTheme="minorEastAsia" w:hAnsiTheme="minorEastAsia"/>
          <w:sz w:val="32"/>
          <w:szCs w:val="32"/>
        </w:rPr>
      </w:pPr>
      <w:r>
        <w:rPr>
          <w:rFonts w:asciiTheme="minorEastAsia" w:hAnsiTheme="minorEastAsia"/>
          <w:sz w:val="32"/>
          <w:szCs w:val="32"/>
        </w:rPr>
        <w:t>………</w:t>
      </w: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ZDNkODg5MWMzNmQzYzQxZDlkMWQ2MzdjYWFmOWU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4A3A81"/>
    <w:rsid w:val="018067FB"/>
    <w:rsid w:val="095D5673"/>
    <w:rsid w:val="0BF422BF"/>
    <w:rsid w:val="0C917085"/>
    <w:rsid w:val="0D763340"/>
    <w:rsid w:val="131308B9"/>
    <w:rsid w:val="137A6AE1"/>
    <w:rsid w:val="1384547C"/>
    <w:rsid w:val="13E841BF"/>
    <w:rsid w:val="17EF7DDE"/>
    <w:rsid w:val="1B080C08"/>
    <w:rsid w:val="1D3222D8"/>
    <w:rsid w:val="1D681191"/>
    <w:rsid w:val="1EC975DB"/>
    <w:rsid w:val="1F89225F"/>
    <w:rsid w:val="21185B4C"/>
    <w:rsid w:val="25EE7927"/>
    <w:rsid w:val="27081024"/>
    <w:rsid w:val="2E827480"/>
    <w:rsid w:val="2EA41FAF"/>
    <w:rsid w:val="318F2165"/>
    <w:rsid w:val="31AD50C8"/>
    <w:rsid w:val="33B9423A"/>
    <w:rsid w:val="379412E7"/>
    <w:rsid w:val="384A0C6C"/>
    <w:rsid w:val="3F422C13"/>
    <w:rsid w:val="3F8844F1"/>
    <w:rsid w:val="45531B2C"/>
    <w:rsid w:val="486B02E8"/>
    <w:rsid w:val="53FE568C"/>
    <w:rsid w:val="58874BEE"/>
    <w:rsid w:val="5B9718EC"/>
    <w:rsid w:val="5E231BA8"/>
    <w:rsid w:val="65754FEF"/>
    <w:rsid w:val="664B61C9"/>
    <w:rsid w:val="67BF3619"/>
    <w:rsid w:val="6C3A1F2E"/>
    <w:rsid w:val="6E070B53"/>
    <w:rsid w:val="73683E42"/>
    <w:rsid w:val="74014C81"/>
    <w:rsid w:val="760F40D7"/>
    <w:rsid w:val="76FF04A7"/>
    <w:rsid w:val="798D5FC4"/>
    <w:rsid w:val="79E01360"/>
    <w:rsid w:val="7BEB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5673</Words>
  <Characters>6733</Characters>
  <Lines>62</Lines>
  <Paragraphs>17</Paragraphs>
  <TotalTime>262</TotalTime>
  <ScaleCrop>false</ScaleCrop>
  <LinksUpToDate>false</LinksUpToDate>
  <CharactersWithSpaces>8389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一生常乐</cp:lastModifiedBy>
  <cp:lastPrinted>2021-07-28T08:12:00Z</cp:lastPrinted>
  <dcterms:modified xsi:type="dcterms:W3CDTF">2022-09-02T06:21:23Z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85374D4C81054F0E8644EE45538080B7</vt:lpwstr>
  </property>
</Properties>
</file>