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附件2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岳阳县卫生健康局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2021年度“谁执法谁普法”责任清单</w:t>
      </w:r>
    </w:p>
    <w:tbl>
      <w:tblPr>
        <w:tblStyle w:val="2"/>
        <w:tblW w:w="14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6540"/>
        <w:gridCol w:w="1395"/>
        <w:gridCol w:w="213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法律法规名称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普法措施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责任领导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责任单位（股室）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责任单位具体负责人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《中华人民共和国执业医师法》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吴修明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医政股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周湘尧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《中华人民共和国护士条例》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吴修明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医政股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周湘尧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《中华人民共和国医疗机构管理条例》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吴修明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医政股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周湘尧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《中华人民共和国公共场所卫生管理条例》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执法局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陈敏方</w:t>
            </w:r>
          </w:p>
        </w:tc>
      </w:tr>
    </w:tbl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岳阳县卫生健康局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2021年度“谁执法谁普法”责任清单</w:t>
      </w:r>
    </w:p>
    <w:tbl>
      <w:tblPr>
        <w:tblStyle w:val="2"/>
        <w:tblW w:w="14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6475"/>
        <w:gridCol w:w="1395"/>
        <w:gridCol w:w="213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法律法规名称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普法措施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责任领导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责任单位（股室）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责任单位具体负责人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《中华人民共和国母婴保健法》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妇幼股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胡耕芳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中华人民共和国老年人权益保护法》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老龄办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梁伟红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中华人民共和国人口与计划生育法》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法制股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</w:rPr>
              <w:t>金正风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中华人民共和国中医药条例》</w:t>
            </w:r>
          </w:p>
        </w:tc>
        <w:tc>
          <w:tcPr>
            <w:tcW w:w="6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吴修明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中医股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李细玖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岳阳县卫生健康局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2021年度“谁执法谁普法”责任清单 </w:t>
      </w:r>
    </w:p>
    <w:tbl>
      <w:tblPr>
        <w:tblStyle w:val="2"/>
        <w:tblW w:w="14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6540"/>
        <w:gridCol w:w="1395"/>
        <w:gridCol w:w="2130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法律法规名称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普法措施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责任领导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责任单位（股室）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责任单位具体负责人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中华人民共和国职业病防治法》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吴立山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疾控股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张新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《宪法》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法制股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肖韵嘉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《国家安全法》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许琦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法制股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1" w:firstLineChars="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肖韵嘉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《中国共产党党章中国共产党廉洁自律准则》</w:t>
            </w:r>
          </w:p>
        </w:tc>
        <w:tc>
          <w:tcPr>
            <w:tcW w:w="6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利用业务办公会、法制宣传日等，以讲解、宣传单、电子屏标语等形式开展宣传；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李林勇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党建办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付华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zMTVlYmZiMWFlZjA5MjAxYjgzNTJhMzk4ZWRlNGEifQ=="/>
  </w:docVars>
  <w:rsids>
    <w:rsidRoot w:val="00966148"/>
    <w:rsid w:val="00680148"/>
    <w:rsid w:val="00966148"/>
    <w:rsid w:val="49E5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868</Words>
  <Characters>877</Characters>
  <Lines>6</Lines>
  <Paragraphs>1</Paragraphs>
  <TotalTime>8</TotalTime>
  <ScaleCrop>false</ScaleCrop>
  <LinksUpToDate>false</LinksUpToDate>
  <CharactersWithSpaces>881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2022-10-28T02:03:00Z</dcterms:created>
  <dc:creator>Administrator</dc:creator>
  <cp:lastModifiedBy>叶子</cp:lastModifiedBy>
  <dcterms:modified xsi:type="dcterms:W3CDTF">2022-10-31T03:03:51Z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F964C640B4E44E01B5758D0C15329043</vt:lpwstr>
  </property>
</Properties>
</file>