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岳阳县文学艺界联合会</w:t>
      </w:r>
    </w:p>
    <w:p>
      <w:pPr>
        <w:spacing w:beforeLines="50" w:line="348" w:lineRule="auto"/>
        <w:ind w:firstLine="476" w:firstLineChars="150"/>
        <w:rPr>
          <w:rFonts w:hint="eastAsia" w:eastAsia="仿宋_GB2312"/>
          <w:spacing w:val="30"/>
          <w:sz w:val="32"/>
          <w:szCs w:val="32"/>
        </w:rPr>
      </w:pPr>
      <w:r>
        <w:rPr>
          <w:rFonts w:hint="eastAsia" w:eastAsia="仿宋_GB2312"/>
          <w:sz w:val="32"/>
          <w:szCs w:val="32"/>
        </w:rPr>
        <w:t>预</w:t>
      </w:r>
      <w:r>
        <w:rPr>
          <w:rFonts w:hint="eastAsia" w:eastAsia="仿宋_GB2312"/>
          <w:spacing w:val="30"/>
          <w:sz w:val="32"/>
          <w:szCs w:val="32"/>
        </w:rPr>
        <w:t>算编码：</w:t>
      </w:r>
    </w:p>
    <w:p>
      <w:pPr>
        <w:spacing w:beforeLines="50" w:line="348" w:lineRule="auto"/>
        <w:ind w:firstLine="476" w:firstLineChars="150"/>
        <w:rPr>
          <w:rFonts w:hint="default" w:eastAsia="仿宋_GB2312"/>
          <w:sz w:val="32"/>
          <w:szCs w:val="32"/>
          <w:lang w:val="en-US" w:eastAsia="zh-CN"/>
        </w:rPr>
      </w:pPr>
      <w:r>
        <w:rPr>
          <w:rFonts w:hint="eastAsia" w:eastAsia="仿宋_GB2312"/>
          <w:sz w:val="32"/>
          <w:szCs w:val="32"/>
        </w:rPr>
        <w:t>评价方式：</w:t>
      </w:r>
      <w:r>
        <w:rPr>
          <w:rFonts w:hint="eastAsia" w:eastAsia="仿宋_GB2312"/>
          <w:sz w:val="32"/>
          <w:szCs w:val="32"/>
          <w:lang w:val="en-US" w:eastAsia="zh-CN"/>
        </w:rPr>
        <w:t>岳阳县文学艺界联合会</w:t>
      </w:r>
    </w:p>
    <w:p>
      <w:pPr>
        <w:spacing w:beforeLines="50" w:line="348" w:lineRule="auto"/>
        <w:ind w:firstLine="476" w:firstLineChars="150"/>
        <w:rPr>
          <w:rFonts w:hint="default" w:eastAsia="仿宋_GB2312"/>
          <w:sz w:val="32"/>
          <w:szCs w:val="32"/>
          <w:lang w:val="en-US" w:eastAsia="zh-CN"/>
        </w:rPr>
      </w:pPr>
      <w:r>
        <w:rPr>
          <w:rFonts w:hint="eastAsia" w:eastAsia="仿宋_GB2312"/>
          <w:sz w:val="32"/>
          <w:szCs w:val="32"/>
        </w:rPr>
        <w:t>评价机构：</w:t>
      </w:r>
      <w:r>
        <w:rPr>
          <w:rFonts w:hint="eastAsia" w:eastAsia="仿宋_GB2312"/>
          <w:sz w:val="32"/>
          <w:szCs w:val="32"/>
          <w:lang w:val="en-US" w:eastAsia="zh-CN"/>
        </w:rPr>
        <w:t>岳阳县文学艺界联合会</w:t>
      </w:r>
    </w:p>
    <w:p>
      <w:pPr>
        <w:spacing w:beforeLines="50" w:line="348" w:lineRule="auto"/>
        <w:rPr>
          <w:rFonts w:eastAsia="仿宋_GB2312"/>
          <w:sz w:val="32"/>
          <w:szCs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ind w:firstLine="317" w:firstLineChars="100"/>
        <w:jc w:val="both"/>
        <w:rPr>
          <w:rFonts w:hint="default" w:eastAsia="仿宋_GB2312"/>
          <w:sz w:val="32"/>
          <w:szCs w:val="32"/>
          <w:lang w:val="en-US"/>
        </w:rPr>
      </w:pPr>
      <w:r>
        <w:rPr>
          <w:rFonts w:hint="eastAsia" w:eastAsia="仿宋_GB2312"/>
          <w:sz w:val="32"/>
        </w:rPr>
        <w:t>报告日期：</w:t>
      </w:r>
      <w:r>
        <w:rPr>
          <w:rFonts w:hint="eastAsia" w:eastAsia="仿宋_GB2312"/>
          <w:sz w:val="32"/>
          <w:lang w:val="en-US" w:eastAsia="zh-CN"/>
        </w:rPr>
        <w:t>2022年6月20日</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3"/>
        <w:gridCol w:w="734"/>
        <w:gridCol w:w="1243"/>
        <w:gridCol w:w="530"/>
        <w:gridCol w:w="887"/>
        <w:gridCol w:w="206"/>
        <w:gridCol w:w="1214"/>
        <w:gridCol w:w="1093"/>
        <w:gridCol w:w="455"/>
        <w:gridCol w:w="345"/>
        <w:gridCol w:w="735"/>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tabs>
                <w:tab w:val="left" w:pos="1064"/>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ascii="微软雅黑" w:hAnsi="微软雅黑" w:eastAsia="微软雅黑" w:cs="微软雅黑"/>
                <w:i w:val="0"/>
                <w:iCs w:val="0"/>
                <w:caps w:val="0"/>
                <w:color w:val="555555"/>
                <w:spacing w:val="0"/>
                <w:sz w:val="19"/>
                <w:szCs w:val="19"/>
                <w:shd w:val="clear" w:fill="FFFFFF"/>
              </w:rPr>
              <w:t>李胜军</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微软雅黑" w:hAnsi="微软雅黑" w:eastAsia="微软雅黑" w:cs="微软雅黑"/>
                <w:i w:val="0"/>
                <w:iCs w:val="0"/>
                <w:caps w:val="0"/>
                <w:color w:val="555555"/>
                <w:spacing w:val="0"/>
                <w:sz w:val="19"/>
                <w:szCs w:val="19"/>
                <w:shd w:val="clear" w:fill="FFFFFF"/>
              </w:rPr>
              <w:t>13873077718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53"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微软雅黑" w:hAnsi="微软雅黑" w:eastAsia="微软雅黑" w:cs="微软雅黑"/>
                <w:i w:val="0"/>
                <w:iCs w:val="0"/>
                <w:caps w:val="0"/>
                <w:color w:val="555555"/>
                <w:spacing w:val="0"/>
                <w:sz w:val="19"/>
                <w:szCs w:val="19"/>
                <w:shd w:val="clear" w:fill="FFFFFF"/>
              </w:rPr>
              <w:t>1、贯彻执行党和国家关于文艺工作的方针、政策 2、组织全县文学艺术创作，扶植新人新作3、开展少而精的文艺活动；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053"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shd w:val="clear" w:fill="FFFFFF"/>
              </w:rPr>
              <w:t>1、在省级以上发表有影响的文艺作品3篇，在市级以上发表有影响的作品9篇。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shd w:val="clear" w:fill="FFFFFF"/>
              </w:rPr>
              <w:t>2、编辑出版《巴陵文学》《巴陵诗词》《巴陵楹联》等杂志。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shd w:val="clear" w:fill="FFFFFF"/>
              </w:rPr>
              <w:t>3、大力开展文学艺术创作及采风活动。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shd w:val="clear" w:fill="FFFFFF"/>
              </w:rPr>
              <w:t>4、开展学习交流活动</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053"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ascii="微软雅黑" w:hAnsi="微软雅黑" w:eastAsia="微软雅黑" w:cs="微软雅黑"/>
                <w:i w:val="0"/>
                <w:iCs w:val="0"/>
                <w:caps w:val="0"/>
                <w:color w:val="555555"/>
                <w:spacing w:val="0"/>
                <w:sz w:val="19"/>
                <w:szCs w:val="19"/>
                <w:shd w:val="clear" w:fill="FFFFFF"/>
              </w:rPr>
              <w:t>202</w:t>
            </w:r>
            <w:r>
              <w:rPr>
                <w:rFonts w:hint="eastAsia" w:ascii="微软雅黑" w:hAnsi="微软雅黑" w:eastAsia="微软雅黑" w:cs="微软雅黑"/>
                <w:i w:val="0"/>
                <w:iCs w:val="0"/>
                <w:caps w:val="0"/>
                <w:color w:val="555555"/>
                <w:spacing w:val="0"/>
                <w:sz w:val="19"/>
                <w:szCs w:val="19"/>
                <w:shd w:val="clear" w:fill="FFFFFF"/>
                <w:lang w:val="en-US" w:eastAsia="zh-CN"/>
              </w:rPr>
              <w:t>1</w:t>
            </w:r>
            <w:r>
              <w:rPr>
                <w:rFonts w:ascii="微软雅黑" w:hAnsi="微软雅黑" w:eastAsia="微软雅黑" w:cs="微软雅黑"/>
                <w:i w:val="0"/>
                <w:iCs w:val="0"/>
                <w:caps w:val="0"/>
                <w:color w:val="555555"/>
                <w:spacing w:val="0"/>
                <w:sz w:val="19"/>
                <w:szCs w:val="19"/>
                <w:shd w:val="clear" w:fill="FFFFFF"/>
              </w:rPr>
              <w:t xml:space="preserve"> 年度县文联总体运行情况良好，圆满完成了预定的各项工作任务。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7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773"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280" w:type="dxa"/>
            <w:gridSpan w:val="11"/>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773"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69.11</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69.11</w:t>
            </w: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69.11</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69.11</w:t>
            </w: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73"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935" w:type="dxa"/>
            <w:gridSpan w:val="7"/>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773"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3"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62"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773"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3"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69.11</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69.11</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41.23</w:t>
            </w: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69.11</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69.11</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41.23</w:t>
            </w: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27.88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73"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80" w:type="dxa"/>
            <w:gridSpan w:val="11"/>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773"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0.2</w:t>
            </w: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0.2</w:t>
            </w: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3"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73"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339" w:type="dxa"/>
            <w:gridSpan w:val="9"/>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773"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307"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032"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w:t>
            </w:r>
          </w:p>
        </w:tc>
        <w:tc>
          <w:tcPr>
            <w:tcW w:w="2307"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w:t>
            </w:r>
          </w:p>
        </w:tc>
        <w:tc>
          <w:tcPr>
            <w:tcW w:w="303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w:t>
            </w:r>
          </w:p>
        </w:tc>
        <w:tc>
          <w:tcPr>
            <w:tcW w:w="2307"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w:t>
            </w:r>
          </w:p>
        </w:tc>
        <w:tc>
          <w:tcPr>
            <w:tcW w:w="303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07"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3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773"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07"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3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81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973"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81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仿宋_GB2312" w:hAnsi="仿宋_GB2312" w:eastAsia="仿宋_GB2312" w:cs="仿宋_GB2312"/>
                <w:color w:val="000000"/>
                <w:kern w:val="2"/>
                <w:sz w:val="24"/>
                <w:szCs w:val="24"/>
                <w:highlight w:val="red"/>
                <w:lang w:val="en-US" w:eastAsia="zh-CN" w:bidi="ar-SA"/>
              </w:rPr>
            </w:pPr>
            <w:r>
              <w:rPr>
                <w:rFonts w:hint="eastAsia" w:ascii="微软雅黑" w:hAnsi="微软雅黑" w:eastAsia="微软雅黑" w:cs="微软雅黑"/>
                <w:i w:val="0"/>
                <w:iCs w:val="0"/>
                <w:caps w:val="0"/>
                <w:color w:val="555555"/>
                <w:spacing w:val="0"/>
                <w:sz w:val="19"/>
                <w:szCs w:val="19"/>
                <w:highlight w:val="red"/>
                <w:shd w:val="clear" w:fill="FFFFFF"/>
              </w:rPr>
              <w:t>1</w:t>
            </w:r>
            <w:r>
              <w:rPr>
                <w:rFonts w:hint="eastAsia" w:ascii="仿宋_GB2312" w:hAnsi="仿宋_GB2312" w:eastAsia="仿宋_GB2312" w:cs="仿宋_GB2312"/>
                <w:color w:val="000000"/>
                <w:kern w:val="2"/>
                <w:sz w:val="24"/>
                <w:szCs w:val="24"/>
                <w:highlight w:val="red"/>
                <w:lang w:val="en-US" w:eastAsia="zh-CN" w:bidi="ar-SA"/>
              </w:rPr>
              <w:t>：在省级以上发表有影响的文艺作品3篇，在市级以上发表有影响的作品9篇。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仿宋_GB2312" w:hAnsi="仿宋_GB2312" w:eastAsia="仿宋_GB2312" w:cs="仿宋_GB2312"/>
                <w:color w:val="000000"/>
                <w:kern w:val="2"/>
                <w:sz w:val="24"/>
                <w:szCs w:val="24"/>
                <w:highlight w:val="red"/>
                <w:lang w:val="en-US" w:eastAsia="zh-CN" w:bidi="ar-SA"/>
              </w:rPr>
            </w:pPr>
            <w:r>
              <w:rPr>
                <w:rFonts w:hint="eastAsia" w:ascii="仿宋_GB2312" w:hAnsi="仿宋_GB2312" w:eastAsia="仿宋_GB2312" w:cs="仿宋_GB2312"/>
                <w:color w:val="000000"/>
                <w:kern w:val="2"/>
                <w:sz w:val="24"/>
                <w:szCs w:val="24"/>
                <w:highlight w:val="red"/>
                <w:lang w:val="en-US" w:eastAsia="zh-CN" w:bidi="ar-SA"/>
              </w:rPr>
              <w:t>2：编辑出版《巴陵文学》《巴陵诗词》《巴陵楹联》等杂志。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19"/>
                <w:szCs w:val="19"/>
                <w:highlight w:val="red"/>
              </w:rPr>
            </w:pPr>
            <w:r>
              <w:rPr>
                <w:rFonts w:hint="eastAsia" w:ascii="仿宋_GB2312" w:hAnsi="仿宋_GB2312" w:eastAsia="仿宋_GB2312" w:cs="仿宋_GB2312"/>
                <w:color w:val="000000"/>
                <w:kern w:val="2"/>
                <w:sz w:val="24"/>
                <w:szCs w:val="24"/>
                <w:highlight w:val="red"/>
                <w:lang w:val="en-US" w:eastAsia="zh-CN" w:bidi="ar-SA"/>
              </w:rPr>
              <w:t>3：大力开展文学艺术创作及采风活动。</w:t>
            </w:r>
          </w:p>
          <w:p>
            <w:pPr>
              <w:autoSpaceDN w:val="0"/>
              <w:spacing w:line="320" w:lineRule="exact"/>
              <w:jc w:val="left"/>
              <w:textAlignment w:val="center"/>
              <w:rPr>
                <w:rFonts w:ascii="仿宋_GB2312" w:hAnsi="仿宋_GB2312" w:eastAsia="仿宋_GB2312" w:cs="仿宋_GB2312"/>
                <w:color w:val="000000"/>
                <w:sz w:val="24"/>
              </w:rPr>
            </w:pPr>
          </w:p>
        </w:tc>
        <w:tc>
          <w:tcPr>
            <w:tcW w:w="3973"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今年以来，县文联组织开展一系列具有影响力的文艺活动，获得了上级领导和各界群众的一致好评。例如，为庆祝建党100周年，结合全县实际，我们举办了“奋斗百年路·启航新征程”美术书法摄影大展，在全县共征集到相关作品1362幅，经市县专家评选，精选了114幅优秀作品，在县美术馆布展，吸引了各文艺爱好者、社会人士纷纷前来观摩，并特别邀请展出了岳阳县籍全国知名书画家作品12幅，同时将作品集结成册宣传推广。3月，我们承办了岳阳市诗词楹联散曲工作现场经验交流会；5月，举办了庆祝建党百周年诗词楹联大赛；7月，联合县旗袍协会、音乐舞蹈家协会、摄影家协会开展了“红色百年国际瑜伽”、“百首经典”红色革命歌曲传唱比赛等系列庆祝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3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rPr>
              <w:t>质量指标</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固定资产利用率</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right w:val="single" w:color="000000" w:sz="4" w:space="0"/>
            </w:tcBorders>
            <w:vAlign w:val="center"/>
          </w:tcPr>
          <w:p>
            <w:pPr>
              <w:spacing w:line="400" w:lineRule="exact"/>
              <w:jc w:val="center"/>
              <w:textAlignment w:val="center"/>
              <w:rPr>
                <w:rFonts w:hint="eastAsia" w:ascii="仿宋_GB2312" w:eastAsia="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三公经费控制率</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default" w:ascii="仿宋_GB2312" w:hAnsi="仿宋_GB2312" w:eastAsia="仿宋_GB2312" w:cs="仿宋_GB2312"/>
                <w:color w:val="000000"/>
                <w:kern w:val="2"/>
                <w:sz w:val="24"/>
                <w:szCs w:val="24"/>
                <w:highlight w:val="red"/>
                <w:lang w:val="en-US" w:eastAsia="zh-CN" w:bidi="ar-SA"/>
              </w:rPr>
            </w:pPr>
            <w:r>
              <w:rPr>
                <w:rFonts w:ascii="微软雅黑" w:hAnsi="微软雅黑" w:eastAsia="微软雅黑" w:cs="微软雅黑"/>
                <w:i w:val="0"/>
                <w:iCs w:val="0"/>
                <w:caps w:val="0"/>
                <w:color w:val="555555"/>
                <w:spacing w:val="0"/>
                <w:sz w:val="19"/>
                <w:szCs w:val="19"/>
                <w:highlight w:val="red"/>
                <w:shd w:val="clear" w:fill="FFFFFF"/>
              </w:rPr>
              <w:t>省级以上发表作品3篇</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color w:val="000000"/>
                <w:kern w:val="2"/>
                <w:sz w:val="24"/>
                <w:szCs w:val="24"/>
                <w:highlight w:val="red"/>
                <w:lang w:val="en-US" w:eastAsia="zh-CN" w:bidi="ar-SA"/>
              </w:rPr>
            </w:pPr>
            <w:r>
              <w:rPr>
                <w:rFonts w:ascii="微软雅黑" w:hAnsi="微软雅黑" w:eastAsia="微软雅黑" w:cs="微软雅黑"/>
                <w:i w:val="0"/>
                <w:iCs w:val="0"/>
                <w:caps w:val="0"/>
                <w:color w:val="555555"/>
                <w:spacing w:val="0"/>
                <w:sz w:val="19"/>
                <w:szCs w:val="19"/>
                <w:highlight w:val="red"/>
                <w:shd w:val="clear" w:fill="FFFFFF"/>
              </w:rPr>
              <w:t>市级以上发表作品9篇</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宋体" w:hAnsi="宋体"/>
                <w:color w:val="000000"/>
                <w:sz w:val="24"/>
              </w:rPr>
              <w:t>≦</w:t>
            </w:r>
            <w:r>
              <w:rPr>
                <w:rFonts w:hint="eastAsia" w:ascii="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12月底前已完成</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9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31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98</w:t>
            </w:r>
            <w:r>
              <w:rPr>
                <w:rFonts w:hint="eastAsia" w:ascii="仿宋_GB2312" w:eastAsia="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9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99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罗海波</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主席党组书记</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县文联</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唐荣平</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副主席</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县文联</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ind w:firstLine="480" w:firstLineChars="200"/>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李胜军</w:t>
            </w: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出纳</w:t>
            </w: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县文联</w:t>
            </w: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4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8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0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李胜军                          </w:t>
      </w:r>
      <w:r>
        <w:rPr>
          <w:rFonts w:hint="eastAsia" w:eastAsia="仿宋_GB2312" w:cs="仿宋_GB2312"/>
          <w:bCs/>
          <w:sz w:val="28"/>
          <w:szCs w:val="28"/>
        </w:rPr>
        <w:t>联系电话：</w:t>
      </w:r>
      <w:r>
        <w:rPr>
          <w:rFonts w:hint="eastAsia" w:eastAsia="仿宋_GB2312" w:cs="仿宋_GB2312"/>
          <w:bCs/>
          <w:sz w:val="28"/>
          <w:szCs w:val="28"/>
          <w:lang w:val="en-US" w:eastAsia="zh-CN"/>
        </w:rPr>
        <w:t>13873077718</w:t>
      </w:r>
    </w:p>
    <w:p>
      <w:pPr>
        <w:spacing w:line="348" w:lineRule="auto"/>
        <w:rPr>
          <w:rFonts w:eastAsia="楷体_GB2312"/>
          <w:bCs/>
          <w:sz w:val="28"/>
          <w:szCs w:val="28"/>
        </w:rPr>
      </w:pPr>
    </w:p>
    <w:p>
      <w:pPr>
        <w:rPr>
          <w:rFonts w:eastAsia="仿宋_GB2312" w:cs="仿宋_GB2312"/>
          <w:bCs/>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五、评价报告综述（文字部分）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一、部门（单位）概况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（一）部门（单位）基本情况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岳阳县文学艺术界联合会成立于1987年6月，是中共岳阳县委领导下的人民团体，其主要职责是：贯彻党的文艺方针政策，充分发挥党和政府联系文艺界的桥梁和纽带作用；负责对所属各文艺家协会的联络、协调、服务和管理工作；团结全县文学艺术家和文艺工作者，反映和听取文艺界的情况和意见；组织召开岳阳县文学艺术界代表大会，理事会和主席团会议；依法维护团体会员和文学艺术家及文艺工作者的知识产权等合法权益。县文联现有人数4人，其中在职4人。内设职能股室有2个分别是办公室、组联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（二）部门（单位）整体支出规模、使用方向和主要内容、涉及范围等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年收入为</w:t>
            </w:r>
            <w:r>
              <w:rPr>
                <w:rFonts w:hint="eastAsia" w:ascii="微软雅黑" w:hAnsi="微软雅黑" w:eastAsia="微软雅黑" w:cs="微软雅黑"/>
                <w:i w:val="0"/>
                <w:iCs w:val="0"/>
                <w:caps w:val="0"/>
                <w:color w:val="555555"/>
                <w:spacing w:val="0"/>
                <w:sz w:val="21"/>
                <w:szCs w:val="21"/>
                <w:shd w:val="clear" w:fill="FFFFFF"/>
                <w:lang w:val="en-US" w:eastAsia="zh-CN"/>
              </w:rPr>
              <w:t>69.11</w:t>
            </w:r>
            <w:r>
              <w:rPr>
                <w:rFonts w:hint="eastAsia" w:ascii="微软雅黑" w:hAnsi="微软雅黑" w:eastAsia="微软雅黑" w:cs="微软雅黑"/>
                <w:i w:val="0"/>
                <w:iCs w:val="0"/>
                <w:caps w:val="0"/>
                <w:color w:val="555555"/>
                <w:spacing w:val="0"/>
                <w:sz w:val="21"/>
                <w:szCs w:val="21"/>
                <w:shd w:val="clear" w:fill="FFFFFF"/>
              </w:rPr>
              <w:t>万元，全部为财政拨款收入。一般公共预算财政收入</w:t>
            </w:r>
            <w:r>
              <w:rPr>
                <w:rFonts w:hint="eastAsia" w:ascii="微软雅黑" w:hAnsi="微软雅黑" w:eastAsia="微软雅黑" w:cs="微软雅黑"/>
                <w:i w:val="0"/>
                <w:iCs w:val="0"/>
                <w:caps w:val="0"/>
                <w:color w:val="555555"/>
                <w:spacing w:val="0"/>
                <w:sz w:val="21"/>
                <w:szCs w:val="21"/>
                <w:shd w:val="clear" w:fill="FFFFFF"/>
                <w:lang w:val="en-US" w:eastAsia="zh-CN"/>
              </w:rPr>
              <w:t>69.11</w:t>
            </w:r>
            <w:r>
              <w:rPr>
                <w:rFonts w:hint="eastAsia" w:ascii="微软雅黑" w:hAnsi="微软雅黑" w:eastAsia="微软雅黑" w:cs="微软雅黑"/>
                <w:i w:val="0"/>
                <w:iCs w:val="0"/>
                <w:caps w:val="0"/>
                <w:color w:val="555555"/>
                <w:spacing w:val="0"/>
                <w:sz w:val="21"/>
                <w:szCs w:val="21"/>
                <w:shd w:val="clear" w:fill="FFFFFF"/>
              </w:rPr>
              <w:t>万元，支出</w:t>
            </w:r>
            <w:r>
              <w:rPr>
                <w:rFonts w:hint="eastAsia" w:ascii="微软雅黑" w:hAnsi="微软雅黑" w:eastAsia="微软雅黑" w:cs="微软雅黑"/>
                <w:i w:val="0"/>
                <w:iCs w:val="0"/>
                <w:caps w:val="0"/>
                <w:color w:val="555555"/>
                <w:spacing w:val="0"/>
                <w:sz w:val="21"/>
                <w:szCs w:val="21"/>
                <w:shd w:val="clear" w:fill="FFFFFF"/>
                <w:lang w:val="en-US" w:eastAsia="zh-CN"/>
              </w:rPr>
              <w:t>69.11</w:t>
            </w:r>
            <w:r>
              <w:rPr>
                <w:rFonts w:hint="eastAsia" w:ascii="微软雅黑" w:hAnsi="微软雅黑" w:eastAsia="微软雅黑" w:cs="微软雅黑"/>
                <w:i w:val="0"/>
                <w:iCs w:val="0"/>
                <w:caps w:val="0"/>
                <w:color w:val="555555"/>
                <w:spacing w:val="0"/>
                <w:sz w:val="21"/>
                <w:szCs w:val="21"/>
                <w:shd w:val="clear" w:fill="FFFFFF"/>
              </w:rPr>
              <w:t>万元。主要用于机关行政运行各文艺家协会文化交流与合作支出等。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二、部门（单位）整体支出管理及使用情况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（一）基本支出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县文联严格按照中央八项规定”和省、市、县有关文件精神，坚持“依章办事、服务大局、围绕中心、突出重点、求真务实”的工作方针，压缩非生产开支，进一步规范会计核算行为，成立了财务管理工作领导小组，制定了一系列财务管理制度，实行会计出纳分工管理。在资金使用上,我们一直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报分管财务领导签字，再由主要负责人签字同意报账后方可结算。加强预算管理和执行力度，确保资金安全，有效运行，积极服务本单位发展，实现了年度收支平衡。</w:t>
            </w:r>
            <w:r>
              <w:rPr>
                <w:rFonts w:hint="eastAsia" w:ascii="微软雅黑" w:hAnsi="微软雅黑" w:eastAsia="微软雅黑" w:cs="微软雅黑"/>
                <w:i w:val="0"/>
                <w:iCs w:val="0"/>
                <w:caps w:val="0"/>
                <w:color w:val="555555"/>
                <w:spacing w:val="0"/>
                <w:sz w:val="21"/>
                <w:szCs w:val="21"/>
                <w:shd w:val="clear" w:fill="FFFFFF"/>
                <w:lang w:val="en-US" w:eastAsia="zh-CN"/>
              </w:rPr>
              <w:t>2021总</w:t>
            </w:r>
            <w:r>
              <w:rPr>
                <w:rFonts w:hint="eastAsia" w:ascii="微软雅黑" w:hAnsi="微软雅黑" w:eastAsia="微软雅黑" w:cs="微软雅黑"/>
                <w:i w:val="0"/>
                <w:iCs w:val="0"/>
                <w:caps w:val="0"/>
                <w:color w:val="555555"/>
                <w:spacing w:val="0"/>
                <w:sz w:val="21"/>
                <w:szCs w:val="21"/>
                <w:shd w:val="clear" w:fill="FFFFFF"/>
              </w:rPr>
              <w:t>支出为</w:t>
            </w:r>
            <w:r>
              <w:rPr>
                <w:rFonts w:hint="eastAsia" w:ascii="微软雅黑" w:hAnsi="微软雅黑" w:eastAsia="微软雅黑" w:cs="微软雅黑"/>
                <w:i w:val="0"/>
                <w:iCs w:val="0"/>
                <w:caps w:val="0"/>
                <w:color w:val="555555"/>
                <w:spacing w:val="0"/>
                <w:sz w:val="21"/>
                <w:szCs w:val="21"/>
                <w:shd w:val="clear" w:fill="FFFFFF"/>
                <w:lang w:val="en-US" w:eastAsia="zh-CN"/>
              </w:rPr>
              <w:t>69.11</w:t>
            </w:r>
            <w:r>
              <w:rPr>
                <w:rFonts w:hint="eastAsia" w:ascii="微软雅黑" w:hAnsi="微软雅黑" w:eastAsia="微软雅黑" w:cs="微软雅黑"/>
                <w:i w:val="0"/>
                <w:iCs w:val="0"/>
                <w:caps w:val="0"/>
                <w:color w:val="555555"/>
                <w:spacing w:val="0"/>
                <w:sz w:val="21"/>
                <w:szCs w:val="21"/>
                <w:shd w:val="clear" w:fill="FFFFFF"/>
              </w:rPr>
              <w:t>万元，人员支出为</w:t>
            </w:r>
            <w:r>
              <w:rPr>
                <w:rFonts w:hint="eastAsia" w:ascii="微软雅黑" w:hAnsi="微软雅黑" w:eastAsia="微软雅黑" w:cs="微软雅黑"/>
                <w:i w:val="0"/>
                <w:iCs w:val="0"/>
                <w:caps w:val="0"/>
                <w:color w:val="555555"/>
                <w:spacing w:val="0"/>
                <w:sz w:val="21"/>
                <w:szCs w:val="21"/>
                <w:shd w:val="clear" w:fill="FFFFFF"/>
                <w:lang w:val="en-US" w:eastAsia="zh-CN"/>
              </w:rPr>
              <w:t>41.23</w:t>
            </w:r>
            <w:r>
              <w:rPr>
                <w:rFonts w:hint="eastAsia" w:ascii="微软雅黑" w:hAnsi="微软雅黑" w:eastAsia="微软雅黑" w:cs="微软雅黑"/>
                <w:i w:val="0"/>
                <w:iCs w:val="0"/>
                <w:caps w:val="0"/>
                <w:color w:val="555555"/>
                <w:spacing w:val="0"/>
                <w:sz w:val="21"/>
                <w:szCs w:val="21"/>
                <w:shd w:val="clear" w:fill="FFFFFF"/>
              </w:rPr>
              <w:t>万元，公用支出</w:t>
            </w:r>
            <w:r>
              <w:rPr>
                <w:rFonts w:hint="eastAsia" w:ascii="微软雅黑" w:hAnsi="微软雅黑" w:eastAsia="微软雅黑" w:cs="微软雅黑"/>
                <w:i w:val="0"/>
                <w:iCs w:val="0"/>
                <w:caps w:val="0"/>
                <w:color w:val="555555"/>
                <w:spacing w:val="0"/>
                <w:sz w:val="21"/>
                <w:szCs w:val="21"/>
                <w:shd w:val="clear" w:fill="FFFFFF"/>
                <w:lang w:val="en-US" w:eastAsia="zh-CN"/>
              </w:rPr>
              <w:t>27.88</w:t>
            </w:r>
            <w:r>
              <w:rPr>
                <w:rFonts w:hint="eastAsia" w:ascii="微软雅黑" w:hAnsi="微软雅黑" w:eastAsia="微软雅黑" w:cs="微软雅黑"/>
                <w:i w:val="0"/>
                <w:iCs w:val="0"/>
                <w:caps w:val="0"/>
                <w:color w:val="555555"/>
                <w:spacing w:val="0"/>
                <w:sz w:val="21"/>
                <w:szCs w:val="21"/>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（二）专项支出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没有专项支出。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三、部门（单位）整体支出绩效情况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（一）“三公”经费控制率。公务接待费0.</w:t>
            </w:r>
            <w:r>
              <w:rPr>
                <w:rFonts w:hint="eastAsia" w:ascii="微软雅黑" w:hAnsi="微软雅黑" w:eastAsia="微软雅黑" w:cs="微软雅黑"/>
                <w:i w:val="0"/>
                <w:iCs w:val="0"/>
                <w:caps w:val="0"/>
                <w:color w:val="555555"/>
                <w:spacing w:val="0"/>
                <w:sz w:val="21"/>
                <w:szCs w:val="21"/>
                <w:shd w:val="clear" w:fill="FFFFFF"/>
                <w:lang w:val="en-US" w:eastAsia="zh-CN"/>
              </w:rPr>
              <w:t>2</w:t>
            </w:r>
            <w:r>
              <w:rPr>
                <w:rFonts w:hint="eastAsia" w:ascii="微软雅黑" w:hAnsi="微软雅黑" w:eastAsia="微软雅黑" w:cs="微软雅黑"/>
                <w:i w:val="0"/>
                <w:iCs w:val="0"/>
                <w:caps w:val="0"/>
                <w:color w:val="555555"/>
                <w:spacing w:val="0"/>
                <w:sz w:val="21"/>
                <w:szCs w:val="21"/>
                <w:shd w:val="clear" w:fill="FFFFFF"/>
              </w:rPr>
              <w:t>万元，与上年基本持平；公务用车运行维护费 0 万元（其中，公务用车购置费0万元，公务用车运行费0万元），公务用车保有量0辆，同比20</w:t>
            </w:r>
            <w:r>
              <w:rPr>
                <w:rFonts w:hint="eastAsia" w:ascii="微软雅黑" w:hAnsi="微软雅黑" w:eastAsia="微软雅黑" w:cs="微软雅黑"/>
                <w:i w:val="0"/>
                <w:iCs w:val="0"/>
                <w:caps w:val="0"/>
                <w:color w:val="555555"/>
                <w:spacing w:val="0"/>
                <w:sz w:val="21"/>
                <w:szCs w:val="21"/>
                <w:shd w:val="clear" w:fill="FFFFFF"/>
                <w:lang w:val="en-US" w:eastAsia="zh-CN"/>
              </w:rPr>
              <w:t>20</w:t>
            </w:r>
            <w:r>
              <w:rPr>
                <w:rFonts w:hint="eastAsia" w:ascii="微软雅黑" w:hAnsi="微软雅黑" w:eastAsia="微软雅黑" w:cs="微软雅黑"/>
                <w:i w:val="0"/>
                <w:iCs w:val="0"/>
                <w:caps w:val="0"/>
                <w:color w:val="555555"/>
                <w:spacing w:val="0"/>
                <w:sz w:val="21"/>
                <w:szCs w:val="21"/>
                <w:shd w:val="clear" w:fill="FFFFFF"/>
              </w:rPr>
              <w:t>年公务用车运行维护费0万元，下降0万元 ，主要原因是岳阳县实行公车改革制度，本单位没有公务车，没有公务车运行维护费，公务出行费用即公务交通补贴统计在“基本支出”中的“其他交通费用中；202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年因公出国（境）费用 0  万元，因公出国（境）团组数 0 个，因公出国（境）人次 0 人。202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年因公出国（境）费用 0 万元，因公出国（境）团组数0  个，因公出国（境）人次 0 人。三公经费控制率为100%。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（二）政府采购执行率。202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年政府采购0元。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（三）公务卡刷卡率。202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年积极推行公务卡结算制度，严格控制现金提取，缩小现金结算范围，提高公务卡使用频率。公务卡刷卡率为50%。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（四）固定资产利用率。单位加强资产管理，充分利用现有固定资产，固定资产利用率为100%。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（五）财政供养人员控制率。202</w:t>
            </w:r>
            <w:r>
              <w:rPr>
                <w:rFonts w:hint="eastAsia" w:ascii="微软雅黑" w:hAnsi="微软雅黑" w:eastAsia="微软雅黑" w:cs="微软雅黑"/>
                <w:i w:val="0"/>
                <w:iCs w:val="0"/>
                <w:caps w:val="0"/>
                <w:color w:val="555555"/>
                <w:spacing w:val="0"/>
                <w:sz w:val="21"/>
                <w:szCs w:val="21"/>
                <w:shd w:val="clear" w:fill="FFFFFF"/>
                <w:lang w:val="en-US" w:eastAsia="zh-CN"/>
              </w:rPr>
              <w:t>1</w:t>
            </w:r>
            <w:r>
              <w:rPr>
                <w:rFonts w:hint="eastAsia" w:ascii="微软雅黑" w:hAnsi="微软雅黑" w:eastAsia="微软雅黑" w:cs="微软雅黑"/>
                <w:i w:val="0"/>
                <w:iCs w:val="0"/>
                <w:caps w:val="0"/>
                <w:color w:val="555555"/>
                <w:spacing w:val="0"/>
                <w:sz w:val="21"/>
                <w:szCs w:val="21"/>
                <w:shd w:val="clear" w:fill="FFFFFF"/>
              </w:rPr>
              <w:t>年我单位编制人数为4人，年初年末实有人数为4人，控制率为100%以上，没有超编现象。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（六）履职情况。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highlight w:val="red"/>
              </w:rPr>
            </w:pPr>
            <w:r>
              <w:rPr>
                <w:rFonts w:hint="eastAsia" w:ascii="微软雅黑" w:hAnsi="微软雅黑" w:eastAsia="微软雅黑" w:cs="微软雅黑"/>
                <w:i w:val="0"/>
                <w:iCs w:val="0"/>
                <w:caps w:val="0"/>
                <w:color w:val="555555"/>
                <w:spacing w:val="0"/>
                <w:sz w:val="21"/>
                <w:szCs w:val="21"/>
                <w:highlight w:val="red"/>
                <w:shd w:val="clear" w:fill="FFFFFF"/>
              </w:rPr>
              <w:t>1、在省级以上发表有影响的文艺作品3篇，在市级以上发表有影响的作品9篇。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highlight w:val="red"/>
              </w:rPr>
            </w:pPr>
            <w:r>
              <w:rPr>
                <w:rFonts w:hint="eastAsia" w:ascii="微软雅黑" w:hAnsi="微软雅黑" w:eastAsia="微软雅黑" w:cs="微软雅黑"/>
                <w:i w:val="0"/>
                <w:iCs w:val="0"/>
                <w:caps w:val="0"/>
                <w:color w:val="555555"/>
                <w:spacing w:val="0"/>
                <w:sz w:val="21"/>
                <w:szCs w:val="21"/>
                <w:highlight w:val="red"/>
                <w:shd w:val="clear" w:fill="FFFFFF"/>
              </w:rPr>
              <w:t>2、编辑出版《巴陵文学》2期，《巴陵诗词》1期，《巴陵楹联》1期。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highlight w:val="red"/>
              </w:rPr>
            </w:pPr>
            <w:r>
              <w:rPr>
                <w:rFonts w:hint="eastAsia" w:ascii="微软雅黑" w:hAnsi="微软雅黑" w:eastAsia="微软雅黑" w:cs="微软雅黑"/>
                <w:i w:val="0"/>
                <w:iCs w:val="0"/>
                <w:caps w:val="0"/>
                <w:color w:val="555555"/>
                <w:spacing w:val="0"/>
                <w:sz w:val="21"/>
                <w:szCs w:val="21"/>
                <w:highlight w:val="red"/>
                <w:shd w:val="clear" w:fill="FFFFFF"/>
              </w:rPr>
              <w:t>3、组织各文艺家协会开展采风活动和学习义流活动。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四、存在的主要问题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1、我单位工作人员少，经费有限，文艺创作活动难以开展。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2、文艺创作没有激励机制，导致优秀文艺人才较少，创作激情不高。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五、改进措施和有关建议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1、增加本级预算经费，加大工作推动力度。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2、增加工作人员。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六、改进措施和有关建议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预算绩效管理是一项综合性很强的工作，也是一项技术水平要求比较高的工作。通过开展绩效评价工作，我们也发现了绩效管理中所存在的问题，以后将不断的改进和完善,希望县财政局多组织业务培训，对我单位多加强业务指导，促进我单位不断提升预算管理水平。</w:t>
            </w:r>
          </w:p>
          <w:p>
            <w:pPr>
              <w:rPr>
                <w:rFonts w:eastAsia="楷体_GB2312"/>
                <w:bCs/>
                <w:sz w:val="28"/>
                <w:szCs w:val="28"/>
              </w:rPr>
            </w:pP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无</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tbl>
      <w:tblPr>
        <w:tblStyle w:val="7"/>
        <w:tblW w:w="9450" w:type="dxa"/>
        <w:tblInd w:w="78" w:type="dxa"/>
        <w:tblLayout w:type="fixed"/>
        <w:tblCellMar>
          <w:top w:w="0" w:type="dxa"/>
          <w:left w:w="108" w:type="dxa"/>
          <w:bottom w:w="0" w:type="dxa"/>
          <w:right w:w="108" w:type="dxa"/>
        </w:tblCellMar>
      </w:tblPr>
      <w:tblGrid>
        <w:gridCol w:w="1650"/>
        <w:gridCol w:w="3525"/>
        <w:gridCol w:w="4275"/>
      </w:tblGrid>
      <w:tr>
        <w:tblPrEx>
          <w:tblCellMar>
            <w:top w:w="0" w:type="dxa"/>
            <w:left w:w="108" w:type="dxa"/>
            <w:bottom w:w="0" w:type="dxa"/>
            <w:right w:w="108" w:type="dxa"/>
          </w:tblCellMar>
        </w:tblPrEx>
        <w:trPr>
          <w:trHeight w:val="820" w:hRule="atLeast"/>
        </w:trPr>
        <w:tc>
          <w:tcPr>
            <w:tcW w:w="1650" w:type="dxa"/>
            <w:tcBorders>
              <w:top w:val="nil"/>
              <w:left w:val="nil"/>
              <w:bottom w:val="nil"/>
              <w:right w:val="nil"/>
              <w:tl2br w:val="nil"/>
              <w:tr2bl w:val="nil"/>
            </w:tcBorders>
            <w:noWrap/>
          </w:tcPr>
          <w:p>
            <w:pPr>
              <w:jc w:val="left"/>
              <w:rPr>
                <w:rFonts w:ascii="仿宋_GB2312" w:hAnsi="仿宋_GB2312" w:eastAsia="仿宋_GB2312"/>
                <w:color w:val="000000"/>
                <w:sz w:val="32"/>
              </w:rPr>
            </w:pPr>
            <w:r>
              <w:rPr>
                <w:rFonts w:hint="eastAsia" w:ascii="仿宋_GB2312" w:hAnsi="仿宋_GB2312" w:eastAsia="仿宋_GB2312"/>
                <w:color w:val="000000"/>
                <w:sz w:val="32"/>
              </w:rPr>
              <w:t>附件：4-1</w:t>
            </w:r>
          </w:p>
        </w:tc>
        <w:tc>
          <w:tcPr>
            <w:tcW w:w="3525" w:type="dxa"/>
            <w:tcBorders>
              <w:top w:val="nil"/>
              <w:left w:val="nil"/>
              <w:bottom w:val="nil"/>
              <w:right w:val="nil"/>
              <w:tl2br w:val="nil"/>
              <w:tr2bl w:val="nil"/>
            </w:tcBorders>
            <w:noWrap/>
          </w:tcPr>
          <w:p>
            <w:pPr>
              <w:jc w:val="right"/>
              <w:rPr>
                <w:rFonts w:ascii="宋体" w:hAnsi="宋体"/>
                <w:color w:val="000000"/>
                <w:sz w:val="22"/>
              </w:rPr>
            </w:pPr>
          </w:p>
        </w:tc>
        <w:tc>
          <w:tcPr>
            <w:tcW w:w="4275" w:type="dxa"/>
            <w:tcBorders>
              <w:top w:val="nil"/>
              <w:left w:val="nil"/>
              <w:bottom w:val="nil"/>
              <w:right w:val="nil"/>
              <w:tl2br w:val="nil"/>
              <w:tr2bl w:val="nil"/>
            </w:tcBorders>
            <w:noWrap/>
          </w:tcPr>
          <w:p>
            <w:pPr>
              <w:jc w:val="right"/>
              <w:rPr>
                <w:rFonts w:ascii="宋体" w:hAnsi="宋体"/>
                <w:color w:val="000000"/>
                <w:sz w:val="22"/>
              </w:rPr>
            </w:pPr>
          </w:p>
        </w:tc>
      </w:tr>
      <w:tr>
        <w:tblPrEx>
          <w:tblCellMar>
            <w:top w:w="0" w:type="dxa"/>
            <w:left w:w="108" w:type="dxa"/>
            <w:bottom w:w="0" w:type="dxa"/>
            <w:right w:w="108" w:type="dxa"/>
          </w:tblCellMar>
        </w:tblPrEx>
        <w:trPr>
          <w:trHeight w:val="1185" w:hRule="atLeast"/>
        </w:trPr>
        <w:tc>
          <w:tcPr>
            <w:tcW w:w="9450" w:type="dxa"/>
            <w:gridSpan w:val="3"/>
            <w:tcBorders>
              <w:top w:val="nil"/>
              <w:left w:val="nil"/>
              <w:bottom w:val="nil"/>
              <w:right w:val="nil"/>
              <w:tl2br w:val="nil"/>
              <w:tr2bl w:val="nil"/>
            </w:tcBorders>
            <w:noWrap/>
          </w:tcPr>
          <w:p>
            <w:pPr>
              <w:jc w:val="center"/>
              <w:rPr>
                <w:rFonts w:ascii="仿宋_GB2312" w:hAnsi="仿宋_GB2312" w:eastAsia="仿宋_GB2312"/>
                <w:b/>
                <w:color w:val="000000"/>
                <w:sz w:val="36"/>
              </w:rPr>
            </w:pPr>
            <w:r>
              <w:rPr>
                <w:rFonts w:hint="eastAsia" w:ascii="仿宋_GB2312" w:hAnsi="仿宋_GB2312" w:eastAsia="仿宋_GB2312"/>
                <w:b/>
                <w:color w:val="000000"/>
                <w:sz w:val="36"/>
              </w:rPr>
              <w:t>2021年预算部门整体支出绩效自评明细表</w:t>
            </w:r>
          </w:p>
        </w:tc>
      </w:tr>
      <w:tr>
        <w:tblPrEx>
          <w:tblCellMar>
            <w:top w:w="0" w:type="dxa"/>
            <w:left w:w="108" w:type="dxa"/>
            <w:bottom w:w="0" w:type="dxa"/>
            <w:right w:w="108" w:type="dxa"/>
          </w:tblCellMar>
        </w:tblPrEx>
        <w:trPr>
          <w:trHeight w:val="90" w:hRule="atLeast"/>
        </w:trPr>
        <w:tc>
          <w:tcPr>
            <w:tcW w:w="1650"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3525"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4275" w:type="dxa"/>
            <w:tcBorders>
              <w:top w:val="nil"/>
              <w:left w:val="nil"/>
              <w:bottom w:val="nil"/>
              <w:right w:val="nil"/>
              <w:tl2br w:val="nil"/>
              <w:tr2bl w:val="nil"/>
            </w:tcBorders>
            <w:noWrap/>
          </w:tcPr>
          <w:p>
            <w:pPr>
              <w:jc w:val="both"/>
              <w:rPr>
                <w:rFonts w:ascii="仿宋_GB2312" w:hAnsi="仿宋_GB2312" w:eastAsia="仿宋_GB2312"/>
                <w:color w:val="000000"/>
                <w:sz w:val="36"/>
              </w:rPr>
            </w:pPr>
            <w:r>
              <w:rPr>
                <w:rFonts w:hint="eastAsia" w:ascii="仿宋_GB2312" w:hAnsi="仿宋_GB2312" w:eastAsia="仿宋_GB2312"/>
                <w:color w:val="000000"/>
                <w:sz w:val="36"/>
              </w:rPr>
              <w:t>单位：万元</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序号</w:t>
            </w:r>
          </w:p>
        </w:tc>
        <w:tc>
          <w:tcPr>
            <w:tcW w:w="352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单位</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金额</w:t>
            </w:r>
          </w:p>
        </w:tc>
      </w:tr>
      <w:tr>
        <w:tblPrEx>
          <w:tblCellMar>
            <w:top w:w="0" w:type="dxa"/>
            <w:left w:w="108" w:type="dxa"/>
            <w:bottom w:w="0" w:type="dxa"/>
            <w:right w:w="108" w:type="dxa"/>
          </w:tblCellMar>
        </w:tblPrEx>
        <w:trPr>
          <w:trHeight w:val="409"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东管会</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1140.00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文联</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69.11 </w:t>
            </w:r>
          </w:p>
        </w:tc>
      </w:tr>
      <w:tr>
        <w:tblPrEx>
          <w:tblCellMar>
            <w:top w:w="0" w:type="dxa"/>
            <w:left w:w="108" w:type="dxa"/>
            <w:bottom w:w="0" w:type="dxa"/>
            <w:right w:w="108" w:type="dxa"/>
          </w:tblCellMar>
        </w:tblPrEx>
        <w:trPr>
          <w:trHeight w:val="4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教体局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7845.57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科技局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243.40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科协</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文旅广电局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广播电视台</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1111.58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公路建设养护中心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1298.00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荣湾湖建设开发中心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156.74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住建局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1340.54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城管局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1251.22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交通局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595.01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农业农村局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1506.54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乡村振兴局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192.32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水利局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971.02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库区移民服务中心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190.58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畜牧水产发展服务中心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444.46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林业局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3127.63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自然资源局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3763.39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砂管局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649.40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渔政局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1008.52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大云山管理处</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235.69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铁山水资源保护中心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327.19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高新技术产业园</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505.71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台创园</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473.58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供销社</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330.76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人社局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770.77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残联</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419.81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民政局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2585.00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退役军人事务局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1404.30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医疗保障局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614.07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卫生健康局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3822.83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商粮局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1115.12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贸促会</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139.83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张谷英管理处</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165.95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人大</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780.68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政协</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478.24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政府</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1095.25 </w:t>
            </w:r>
          </w:p>
        </w:tc>
      </w:tr>
      <w:tr>
        <w:tblPrEx>
          <w:tblCellMar>
            <w:top w:w="0" w:type="dxa"/>
            <w:left w:w="108" w:type="dxa"/>
            <w:bottom w:w="0" w:type="dxa"/>
            <w:right w:w="108" w:type="dxa"/>
          </w:tblCellMar>
        </w:tblPrEx>
        <w:trPr>
          <w:trHeight w:val="476"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发改局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566.80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统计局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368.86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财政局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1560.98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审计局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372.07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纪委监委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1615.05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工商联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108.13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妇联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91.56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团委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59.85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总工会</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217.65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县委办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1252.87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巡察办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130.71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编办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144.64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政法委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376.26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组织部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431.98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党校</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391.31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宣传部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380.48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统战部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339.97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信访局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公安局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8562.36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司法局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1250.57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应急管理局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658.29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市场局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3866.44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p>
        </w:tc>
        <w:tc>
          <w:tcPr>
            <w:tcW w:w="352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合  计</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65623.49 </w:t>
            </w:r>
          </w:p>
        </w:tc>
      </w:tr>
    </w:tbl>
    <w:p/>
    <w:p/>
    <w:p/>
    <w:p>
      <w:pPr>
        <w:widowControl/>
        <w:jc w:val="left"/>
      </w:pPr>
      <w:r>
        <w:br w:type="page"/>
      </w:r>
    </w:p>
    <w:tbl>
      <w:tblPr>
        <w:tblStyle w:val="7"/>
        <w:tblW w:w="9953" w:type="dxa"/>
        <w:tblInd w:w="78" w:type="dxa"/>
        <w:tblLayout w:type="fixed"/>
        <w:tblCellMar>
          <w:top w:w="0" w:type="dxa"/>
          <w:left w:w="108" w:type="dxa"/>
          <w:bottom w:w="0" w:type="dxa"/>
          <w:right w:w="108" w:type="dxa"/>
        </w:tblCellMar>
      </w:tblPr>
      <w:tblGrid>
        <w:gridCol w:w="2280"/>
        <w:gridCol w:w="1335"/>
        <w:gridCol w:w="3750"/>
        <w:gridCol w:w="2588"/>
      </w:tblGrid>
      <w:tr>
        <w:tblPrEx>
          <w:tblCellMar>
            <w:top w:w="0" w:type="dxa"/>
            <w:left w:w="108" w:type="dxa"/>
            <w:bottom w:w="0" w:type="dxa"/>
            <w:right w:w="108" w:type="dxa"/>
          </w:tblCellMar>
        </w:tblPrEx>
        <w:trPr>
          <w:trHeight w:val="700" w:hRule="atLeast"/>
        </w:trPr>
        <w:tc>
          <w:tcPr>
            <w:tcW w:w="2280" w:type="dxa"/>
            <w:tcBorders>
              <w:top w:val="nil"/>
              <w:left w:val="nil"/>
              <w:bottom w:val="nil"/>
              <w:right w:val="nil"/>
              <w:tl2br w:val="nil"/>
              <w:tr2bl w:val="nil"/>
            </w:tcBorders>
            <w:noWrap/>
          </w:tcPr>
          <w:p>
            <w:pPr>
              <w:jc w:val="left"/>
              <w:rPr>
                <w:rFonts w:ascii="仿宋_GB2312" w:hAnsi="仿宋_GB2312" w:eastAsia="仿宋_GB2312"/>
                <w:color w:val="000000"/>
                <w:sz w:val="32"/>
              </w:rPr>
            </w:pPr>
            <w:r>
              <w:rPr>
                <w:rFonts w:hint="eastAsia" w:ascii="仿宋_GB2312" w:hAnsi="仿宋_GB2312" w:eastAsia="仿宋_GB2312"/>
                <w:color w:val="000000"/>
                <w:sz w:val="32"/>
              </w:rPr>
              <w:t>附件：4-2</w:t>
            </w:r>
          </w:p>
        </w:tc>
        <w:tc>
          <w:tcPr>
            <w:tcW w:w="1335" w:type="dxa"/>
            <w:tcBorders>
              <w:top w:val="nil"/>
              <w:left w:val="nil"/>
              <w:bottom w:val="nil"/>
              <w:right w:val="nil"/>
              <w:tl2br w:val="nil"/>
              <w:tr2bl w:val="nil"/>
            </w:tcBorders>
            <w:noWrap/>
          </w:tcPr>
          <w:p>
            <w:pPr>
              <w:jc w:val="right"/>
              <w:rPr>
                <w:rFonts w:ascii="宋体" w:hAnsi="宋体"/>
                <w:color w:val="000000"/>
                <w:sz w:val="22"/>
              </w:rPr>
            </w:pPr>
          </w:p>
        </w:tc>
        <w:tc>
          <w:tcPr>
            <w:tcW w:w="3750" w:type="dxa"/>
            <w:tcBorders>
              <w:top w:val="nil"/>
              <w:left w:val="nil"/>
              <w:bottom w:val="nil"/>
              <w:right w:val="nil"/>
              <w:tl2br w:val="nil"/>
              <w:tr2bl w:val="nil"/>
            </w:tcBorders>
            <w:noWrap/>
          </w:tcPr>
          <w:p>
            <w:pPr>
              <w:jc w:val="right"/>
              <w:rPr>
                <w:rFonts w:ascii="宋体" w:hAnsi="宋体"/>
                <w:color w:val="000000"/>
                <w:sz w:val="22"/>
              </w:rPr>
            </w:pPr>
          </w:p>
        </w:tc>
        <w:tc>
          <w:tcPr>
            <w:tcW w:w="2588" w:type="dxa"/>
            <w:tcBorders>
              <w:top w:val="nil"/>
              <w:left w:val="nil"/>
              <w:bottom w:val="nil"/>
              <w:right w:val="nil"/>
              <w:tl2br w:val="nil"/>
              <w:tr2bl w:val="nil"/>
            </w:tcBorders>
            <w:noWrap/>
          </w:tcPr>
          <w:p>
            <w:pPr>
              <w:jc w:val="right"/>
              <w:rPr>
                <w:rFonts w:ascii="宋体" w:hAnsi="宋体"/>
                <w:color w:val="000000"/>
                <w:sz w:val="22"/>
              </w:rPr>
            </w:pPr>
          </w:p>
        </w:tc>
      </w:tr>
      <w:tr>
        <w:tblPrEx>
          <w:tblCellMar>
            <w:top w:w="0" w:type="dxa"/>
            <w:left w:w="108" w:type="dxa"/>
            <w:bottom w:w="0" w:type="dxa"/>
            <w:right w:w="108" w:type="dxa"/>
          </w:tblCellMar>
        </w:tblPrEx>
        <w:trPr>
          <w:trHeight w:val="765" w:hRule="atLeast"/>
        </w:trPr>
        <w:tc>
          <w:tcPr>
            <w:tcW w:w="9953" w:type="dxa"/>
            <w:gridSpan w:val="4"/>
            <w:tcBorders>
              <w:top w:val="nil"/>
              <w:left w:val="nil"/>
              <w:bottom w:val="nil"/>
              <w:right w:val="nil"/>
              <w:tl2br w:val="nil"/>
              <w:tr2bl w:val="nil"/>
            </w:tcBorders>
            <w:noWrap/>
          </w:tcPr>
          <w:p>
            <w:pPr>
              <w:jc w:val="center"/>
              <w:rPr>
                <w:rFonts w:ascii="宋体" w:hAnsi="宋体"/>
                <w:b/>
                <w:color w:val="000000"/>
                <w:sz w:val="32"/>
              </w:rPr>
            </w:pPr>
            <w:r>
              <w:rPr>
                <w:rFonts w:hint="eastAsia" w:ascii="宋体" w:hAnsi="宋体"/>
                <w:b/>
                <w:color w:val="000000"/>
                <w:sz w:val="32"/>
              </w:rPr>
              <w:t>2021年预算单位财政项目支出绩效自评明细表</w:t>
            </w:r>
          </w:p>
        </w:tc>
      </w:tr>
      <w:tr>
        <w:tblPrEx>
          <w:tblCellMar>
            <w:top w:w="0" w:type="dxa"/>
            <w:left w:w="108" w:type="dxa"/>
            <w:bottom w:w="0" w:type="dxa"/>
            <w:right w:w="108" w:type="dxa"/>
          </w:tblCellMar>
        </w:tblPrEx>
        <w:trPr>
          <w:trHeight w:val="405" w:hRule="atLeast"/>
        </w:trPr>
        <w:tc>
          <w:tcPr>
            <w:tcW w:w="2280" w:type="dxa"/>
            <w:tcBorders>
              <w:top w:val="nil"/>
              <w:left w:val="nil"/>
              <w:bottom w:val="nil"/>
              <w:right w:val="nil"/>
              <w:tl2br w:val="nil"/>
              <w:tr2bl w:val="nil"/>
            </w:tcBorders>
            <w:noWrap/>
          </w:tcPr>
          <w:p>
            <w:pPr>
              <w:jc w:val="center"/>
              <w:rPr>
                <w:rFonts w:ascii="宋体" w:hAnsi="宋体"/>
                <w:b/>
                <w:color w:val="000000"/>
                <w:sz w:val="32"/>
              </w:rPr>
            </w:pPr>
          </w:p>
        </w:tc>
        <w:tc>
          <w:tcPr>
            <w:tcW w:w="1335" w:type="dxa"/>
            <w:tcBorders>
              <w:top w:val="nil"/>
              <w:left w:val="nil"/>
              <w:bottom w:val="nil"/>
              <w:right w:val="nil"/>
              <w:tl2br w:val="nil"/>
              <w:tr2bl w:val="nil"/>
            </w:tcBorders>
            <w:noWrap/>
          </w:tcPr>
          <w:p>
            <w:pPr>
              <w:jc w:val="center"/>
              <w:rPr>
                <w:rFonts w:ascii="宋体" w:hAnsi="宋体"/>
                <w:b/>
                <w:color w:val="000000"/>
                <w:sz w:val="32"/>
              </w:rPr>
            </w:pPr>
          </w:p>
        </w:tc>
        <w:tc>
          <w:tcPr>
            <w:tcW w:w="3750" w:type="dxa"/>
            <w:tcBorders>
              <w:top w:val="nil"/>
              <w:left w:val="nil"/>
              <w:bottom w:val="nil"/>
              <w:right w:val="nil"/>
              <w:tl2br w:val="nil"/>
              <w:tr2bl w:val="nil"/>
            </w:tcBorders>
            <w:noWrap/>
          </w:tcPr>
          <w:p>
            <w:pPr>
              <w:jc w:val="center"/>
              <w:rPr>
                <w:rFonts w:ascii="宋体" w:hAnsi="宋体"/>
                <w:b/>
                <w:color w:val="000000"/>
                <w:sz w:val="32"/>
              </w:rPr>
            </w:pPr>
          </w:p>
        </w:tc>
        <w:tc>
          <w:tcPr>
            <w:tcW w:w="2588" w:type="dxa"/>
            <w:tcBorders>
              <w:top w:val="nil"/>
              <w:left w:val="nil"/>
              <w:bottom w:val="nil"/>
              <w:right w:val="nil"/>
              <w:tl2br w:val="nil"/>
              <w:tr2bl w:val="nil"/>
            </w:tcBorders>
            <w:noWrap/>
          </w:tcPr>
          <w:p>
            <w:pPr>
              <w:jc w:val="center"/>
              <w:rPr>
                <w:rFonts w:ascii="宋体" w:hAnsi="宋体"/>
                <w:b/>
                <w:color w:val="000000"/>
                <w:sz w:val="32"/>
              </w:rPr>
            </w:pPr>
            <w:r>
              <w:rPr>
                <w:rFonts w:hint="eastAsia" w:ascii="宋体" w:hAnsi="宋体"/>
                <w:b/>
                <w:color w:val="000000"/>
                <w:sz w:val="32"/>
              </w:rPr>
              <w:t>单位：万元</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主管部门及实施单位</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序号</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项目内容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预算安排金额</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教体局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危房改造经费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731</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校车配套经费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180.5</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义务教育专项经费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983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教师培训费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职专教育专项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特教专项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寄宿生补助</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科技局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科技创新服务平台建设项目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住建局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建设市场执法监管费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长丰北路拓改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北湖路道路新建工程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1962</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公园路道路新建工程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文胜铁路桥涵改造工程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小游园及停车位建设项目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荣站货运停车场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523</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新墙河路</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城北路道路项目建设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1386</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城北路桥梁项目建设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223</w:t>
            </w:r>
          </w:p>
        </w:tc>
      </w:tr>
      <w:tr>
        <w:tblPrEx>
          <w:tblCellMar>
            <w:top w:w="0" w:type="dxa"/>
            <w:left w:w="108" w:type="dxa"/>
            <w:bottom w:w="0" w:type="dxa"/>
            <w:right w:w="108" w:type="dxa"/>
          </w:tblCellMar>
        </w:tblPrEx>
        <w:trPr>
          <w:trHeight w:val="72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青山北路改造新建、改造（怡和小区旧改配套基础设施建设项目）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1109</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白洋水库黑臭水体治理</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污水处理(首创环保公司)</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1400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交通局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公路养护</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乡村振兴“四好农村公路”建设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危桥改造工程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X118荣宝路大修工程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荣湾湖开发服务中心</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滨水东路南延</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683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荣湾湖渡改桥（虎形山大桥）工程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5683</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农业农村局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农村环境整治</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1918</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农业产业发展资金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粮食生产专项资金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784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乡村振兴局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乡村振兴基础设施建设资金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林业局机关</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森林防火</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渔政局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打击非法捕捞</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109</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畜牧水产发展服务中心</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病死动物无害化处理运行及补助</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295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高新技术产业园</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污水处理厂污水处理费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899</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残联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残疾人就业保障</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415</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民政局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重度残疾人补贴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901</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养老服务补贴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残疾人两项补贴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卫生健康局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县人民医院外科楼建设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基本卫生均等化服务配套经费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616.3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两癌免费检查经费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126</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新型冠状病毒肺炎疫情防控</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商粮局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荣湾粮库县级粮食储备经费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粮食改制经费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组织部</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党员培训</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宣传部</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文明创建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党校</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b/>
                <w:color w:val="000000"/>
                <w:sz w:val="32"/>
              </w:rPr>
            </w:pPr>
            <w:r>
              <w:rPr>
                <w:rFonts w:hint="eastAsia" w:ascii="宋体" w:hAnsi="宋体"/>
                <w:b/>
                <w:color w:val="000000"/>
                <w:sz w:val="32"/>
              </w:rPr>
              <w:t>主体培训</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应急管理局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打非执法</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退役军人事务局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义务兵优待金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457</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县纪委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办案经费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270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政法委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保平安经费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754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铁山水资源保护局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铁山库区垃圾转运</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司法局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社区矫正</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市场局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食品药品监管、检验及打假</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231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供销社</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老旧小区改造</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96</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统计局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第七次人口普查经费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城管局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垃圾中转站建设工程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1305</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新建建筑垃圾消纳场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500</w:t>
            </w:r>
          </w:p>
        </w:tc>
      </w:tr>
      <w:tr>
        <w:tblPrEx>
          <w:tblCellMar>
            <w:top w:w="0" w:type="dxa"/>
            <w:left w:w="108" w:type="dxa"/>
            <w:bottom w:w="0" w:type="dxa"/>
            <w:right w:w="108" w:type="dxa"/>
          </w:tblCellMar>
        </w:tblPrEx>
        <w:trPr>
          <w:trHeight w:val="80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岳阳县生活垃圾卫生填埋场渗滤液处理站项目建设工程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171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公安局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公安局业务用房建设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合  计</w:t>
            </w:r>
          </w:p>
        </w:tc>
        <w:tc>
          <w:tcPr>
            <w:tcW w:w="1335"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3750"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53403.8</w:t>
            </w:r>
          </w:p>
        </w:tc>
      </w:tr>
    </w:tbl>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ODk0NzM2ZTlhZmRjMmU3YmRjN2NiZDIwYmYyMjI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1C21260"/>
    <w:rsid w:val="04402271"/>
    <w:rsid w:val="04F40F16"/>
    <w:rsid w:val="054A15F9"/>
    <w:rsid w:val="073C7668"/>
    <w:rsid w:val="09117545"/>
    <w:rsid w:val="096411BD"/>
    <w:rsid w:val="0A030A34"/>
    <w:rsid w:val="0B865355"/>
    <w:rsid w:val="0C090F93"/>
    <w:rsid w:val="0CBB3FF9"/>
    <w:rsid w:val="0EB43305"/>
    <w:rsid w:val="0ECF5987"/>
    <w:rsid w:val="0EF97BEC"/>
    <w:rsid w:val="0F892849"/>
    <w:rsid w:val="106777F6"/>
    <w:rsid w:val="13F217DA"/>
    <w:rsid w:val="1AB84DFF"/>
    <w:rsid w:val="1ACE74F1"/>
    <w:rsid w:val="1B1464DA"/>
    <w:rsid w:val="1BA41993"/>
    <w:rsid w:val="1BFE4A94"/>
    <w:rsid w:val="1DA90A2F"/>
    <w:rsid w:val="1E0C793C"/>
    <w:rsid w:val="1E643F12"/>
    <w:rsid w:val="1EFF3AD1"/>
    <w:rsid w:val="1F0D396C"/>
    <w:rsid w:val="1F7303AA"/>
    <w:rsid w:val="20711CD8"/>
    <w:rsid w:val="225752FF"/>
    <w:rsid w:val="23661F8E"/>
    <w:rsid w:val="24AE43E7"/>
    <w:rsid w:val="25056E93"/>
    <w:rsid w:val="278E2FB5"/>
    <w:rsid w:val="28976054"/>
    <w:rsid w:val="29315E51"/>
    <w:rsid w:val="29793438"/>
    <w:rsid w:val="2A2858D8"/>
    <w:rsid w:val="2AF72431"/>
    <w:rsid w:val="2B454778"/>
    <w:rsid w:val="2B603075"/>
    <w:rsid w:val="2BEE0681"/>
    <w:rsid w:val="2D2B320F"/>
    <w:rsid w:val="2D4A18E7"/>
    <w:rsid w:val="2DDD2A84"/>
    <w:rsid w:val="30917584"/>
    <w:rsid w:val="31794E91"/>
    <w:rsid w:val="32672F3B"/>
    <w:rsid w:val="32FC7B27"/>
    <w:rsid w:val="330D3AE3"/>
    <w:rsid w:val="33724475"/>
    <w:rsid w:val="377111D4"/>
    <w:rsid w:val="37DF3574"/>
    <w:rsid w:val="39B12F93"/>
    <w:rsid w:val="39F720F5"/>
    <w:rsid w:val="3A347BA7"/>
    <w:rsid w:val="3B3360B0"/>
    <w:rsid w:val="3C9835DD"/>
    <w:rsid w:val="3E1A70B4"/>
    <w:rsid w:val="3E375EB7"/>
    <w:rsid w:val="3EA0113F"/>
    <w:rsid w:val="3FDB2873"/>
    <w:rsid w:val="40D83AC1"/>
    <w:rsid w:val="41156C9C"/>
    <w:rsid w:val="41546D80"/>
    <w:rsid w:val="43DA69E2"/>
    <w:rsid w:val="446C5C01"/>
    <w:rsid w:val="44E84107"/>
    <w:rsid w:val="471A1ED2"/>
    <w:rsid w:val="49F92273"/>
    <w:rsid w:val="4A2A1960"/>
    <w:rsid w:val="4A914BA1"/>
    <w:rsid w:val="4AAE2E99"/>
    <w:rsid w:val="4C2A71F8"/>
    <w:rsid w:val="51FE279D"/>
    <w:rsid w:val="52724B2C"/>
    <w:rsid w:val="52A0149C"/>
    <w:rsid w:val="53AB6CD4"/>
    <w:rsid w:val="544B7B6F"/>
    <w:rsid w:val="557E3F74"/>
    <w:rsid w:val="56861332"/>
    <w:rsid w:val="56DB19AE"/>
    <w:rsid w:val="56F049FE"/>
    <w:rsid w:val="573A3ECB"/>
    <w:rsid w:val="57884570"/>
    <w:rsid w:val="585B64A7"/>
    <w:rsid w:val="5875165E"/>
    <w:rsid w:val="5A30323E"/>
    <w:rsid w:val="5B8E77BA"/>
    <w:rsid w:val="5D26561D"/>
    <w:rsid w:val="5D336818"/>
    <w:rsid w:val="5D5932FD"/>
    <w:rsid w:val="5E8343A9"/>
    <w:rsid w:val="61A134C4"/>
    <w:rsid w:val="62352394"/>
    <w:rsid w:val="65FD3DC7"/>
    <w:rsid w:val="668270E6"/>
    <w:rsid w:val="66DB4D83"/>
    <w:rsid w:val="676E209B"/>
    <w:rsid w:val="67F7551F"/>
    <w:rsid w:val="68AA4C39"/>
    <w:rsid w:val="68B24622"/>
    <w:rsid w:val="68F3424F"/>
    <w:rsid w:val="69FC398E"/>
    <w:rsid w:val="6AD76980"/>
    <w:rsid w:val="6B0D0D45"/>
    <w:rsid w:val="72C74CEB"/>
    <w:rsid w:val="72CD2180"/>
    <w:rsid w:val="73131D48"/>
    <w:rsid w:val="732561B0"/>
    <w:rsid w:val="75656A7A"/>
    <w:rsid w:val="7601057E"/>
    <w:rsid w:val="7682521B"/>
    <w:rsid w:val="770C2C6E"/>
    <w:rsid w:val="775C3CBE"/>
    <w:rsid w:val="794013BD"/>
    <w:rsid w:val="7A920274"/>
    <w:rsid w:val="7ADE0E8D"/>
    <w:rsid w:val="7AEC5D15"/>
    <w:rsid w:val="7CFD6D4D"/>
    <w:rsid w:val="7D2B7277"/>
    <w:rsid w:val="7DA54921"/>
    <w:rsid w:val="7DF509C8"/>
    <w:rsid w:val="7DFF0699"/>
    <w:rsid w:val="7E927713"/>
    <w:rsid w:val="7F4C696F"/>
    <w:rsid w:val="7F4D213E"/>
    <w:rsid w:val="7FB87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7196</Words>
  <Characters>8155</Characters>
  <Lines>87</Lines>
  <Paragraphs>24</Paragraphs>
  <TotalTime>3</TotalTime>
  <ScaleCrop>false</ScaleCrop>
  <LinksUpToDate>false</LinksUpToDate>
  <CharactersWithSpaces>8580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闪电</cp:lastModifiedBy>
  <cp:lastPrinted>2022-06-06T03:56:00Z</cp:lastPrinted>
  <dcterms:modified xsi:type="dcterms:W3CDTF">2022-11-03T06:54:50Z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F54ACEF6DB4046EABBD093F4ACECCE83</vt:lpwstr>
  </property>
</Properties>
</file>