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val="en-US" w:eastAsia="zh-CN"/>
        </w:rPr>
        <w:t>县旅游开发中心</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岳阳县旅游开发中心</w:t>
      </w:r>
      <w:r>
        <w:rPr>
          <w:rFonts w:hint="eastAsia"/>
          <w:b/>
          <w:sz w:val="28"/>
          <w:szCs w:val="28"/>
        </w:rPr>
        <w:t>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highlight w:val="none"/>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highlight w:val="none"/>
          <w:lang w:val="en-US" w:eastAsia="zh-CN"/>
        </w:rPr>
        <w:t>及</w:t>
      </w:r>
      <w:r>
        <w:rPr>
          <w:rFonts w:hint="eastAsia" w:ascii="宋体" w:hAnsi="宋体" w:eastAsia="宋体" w:cs="仿宋_GB2312"/>
          <w:sz w:val="28"/>
          <w:szCs w:val="28"/>
          <w:highlight w:val="none"/>
        </w:rPr>
        <w:t>部门决算单位构成</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sz w:val="84"/>
          <w:szCs w:val="84"/>
        </w:rPr>
      </w:pPr>
      <w:r>
        <w:rPr>
          <w:rFonts w:hint="eastAsia"/>
          <w:sz w:val="84"/>
          <w:szCs w:val="84"/>
          <w:lang w:val="en-US" w:eastAsia="zh-CN"/>
        </w:rPr>
        <w:t>岳阳县旅游开发中心</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负责指导全县旅游资源合理开发与利用；</w:t>
      </w:r>
    </w:p>
    <w:p>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指导全县旅游产品开发；</w:t>
      </w:r>
    </w:p>
    <w:p>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负责培训和完善旅游市场，开拓国际国内市场；</w:t>
      </w:r>
    </w:p>
    <w:p>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负责指导旅游教育、培训；</w:t>
      </w:r>
    </w:p>
    <w:p>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负责全县旅游统计和行业信息发布等。  </w:t>
      </w:r>
    </w:p>
    <w:p>
      <w:pPr>
        <w:widowControl/>
        <w:numPr>
          <w:ilvl w:val="0"/>
          <w:numId w:val="0"/>
        </w:numPr>
        <w:spacing w:line="600" w:lineRule="exact"/>
        <w:rPr>
          <w:rFonts w:hint="eastAsia" w:ascii="仿宋" w:hAnsi="仿宋" w:eastAsia="仿宋" w:cs="仿宋"/>
          <w:color w:val="000000"/>
          <w:kern w:val="0"/>
          <w:sz w:val="32"/>
          <w:szCs w:val="32"/>
        </w:rPr>
      </w:pP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w:t>
      </w:r>
      <w:r>
        <w:rPr>
          <w:rFonts w:hint="eastAsia" w:ascii="黑体" w:hAnsi="黑体" w:eastAsia="黑体"/>
          <w:bCs/>
          <w:kern w:val="0"/>
          <w:sz w:val="32"/>
          <w:szCs w:val="32"/>
          <w:highlight w:val="none"/>
          <w:lang w:val="en-US" w:eastAsia="zh-CN"/>
        </w:rPr>
        <w:t>部门</w:t>
      </w:r>
      <w:r>
        <w:rPr>
          <w:rFonts w:hint="eastAsia" w:ascii="黑体" w:hAnsi="黑体" w:eastAsia="黑体"/>
          <w:bCs/>
          <w:kern w:val="0"/>
          <w:sz w:val="32"/>
          <w:szCs w:val="32"/>
        </w:rPr>
        <w:t>决算单位构成</w:t>
      </w:r>
    </w:p>
    <w:p>
      <w:pPr>
        <w:widowControl/>
        <w:spacing w:line="600" w:lineRule="exact"/>
        <w:ind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（一）内设机构设置。岳阳县</w:t>
      </w:r>
      <w:r>
        <w:rPr>
          <w:rFonts w:hint="eastAsia" w:ascii="宋体" w:hAnsi="宋体" w:eastAsia="宋体" w:cs="宋体"/>
          <w:color w:val="000000"/>
          <w:kern w:val="0"/>
          <w:sz w:val="32"/>
          <w:szCs w:val="32"/>
          <w:lang w:val="en-US" w:eastAsia="zh-CN"/>
        </w:rPr>
        <w:t>旅游开发中心</w:t>
      </w:r>
      <w:r>
        <w:rPr>
          <w:rFonts w:hint="eastAsia" w:ascii="宋体" w:hAnsi="宋体" w:eastAsia="宋体" w:cs="宋体"/>
          <w:color w:val="000000"/>
          <w:kern w:val="0"/>
          <w:sz w:val="32"/>
          <w:szCs w:val="32"/>
        </w:rPr>
        <w:t>属</w:t>
      </w:r>
      <w:r>
        <w:rPr>
          <w:rFonts w:hint="eastAsia" w:ascii="宋体" w:hAnsi="宋体" w:eastAsia="宋体" w:cs="宋体"/>
          <w:color w:val="000000"/>
          <w:kern w:val="0"/>
          <w:sz w:val="32"/>
          <w:szCs w:val="32"/>
          <w:lang w:val="en-US" w:eastAsia="zh-CN"/>
        </w:rPr>
        <w:t>副科级公益一类</w:t>
      </w:r>
      <w:r>
        <w:rPr>
          <w:rFonts w:hint="eastAsia" w:ascii="宋体" w:hAnsi="宋体" w:eastAsia="宋体" w:cs="宋体"/>
          <w:color w:val="000000"/>
          <w:kern w:val="0"/>
          <w:sz w:val="32"/>
          <w:szCs w:val="32"/>
        </w:rPr>
        <w:t>事业单位，在职在编人数</w:t>
      </w:r>
      <w:r>
        <w:rPr>
          <w:rFonts w:hint="eastAsia" w:ascii="宋体" w:hAnsi="宋体" w:eastAsia="宋体" w:cs="宋体"/>
          <w:color w:val="000000"/>
          <w:kern w:val="0"/>
          <w:sz w:val="32"/>
          <w:szCs w:val="32"/>
          <w:lang w:val="en-US" w:eastAsia="zh-CN"/>
        </w:rPr>
        <w:t>5</w:t>
      </w:r>
      <w:r>
        <w:rPr>
          <w:rFonts w:hint="eastAsia" w:ascii="宋体" w:hAnsi="宋体" w:eastAsia="宋体" w:cs="宋体"/>
          <w:color w:val="000000"/>
          <w:kern w:val="0"/>
          <w:sz w:val="32"/>
          <w:szCs w:val="32"/>
        </w:rPr>
        <w:t>人，</w:t>
      </w:r>
      <w:r>
        <w:rPr>
          <w:rFonts w:hint="eastAsia" w:ascii="宋体" w:hAnsi="宋体" w:eastAsia="宋体" w:cs="宋体"/>
          <w:color w:val="000000"/>
          <w:kern w:val="0"/>
          <w:sz w:val="32"/>
          <w:szCs w:val="32"/>
          <w:lang w:val="en-US" w:eastAsia="zh-CN"/>
        </w:rPr>
        <w:t>无退休人员。</w:t>
      </w:r>
    </w:p>
    <w:p>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（二）</w:t>
      </w:r>
      <w:r>
        <w:rPr>
          <w:rFonts w:hint="eastAsia" w:ascii="宋体" w:hAnsi="宋体" w:eastAsia="宋体" w:cs="宋体"/>
          <w:color w:val="000000"/>
          <w:kern w:val="0"/>
          <w:sz w:val="32"/>
          <w:szCs w:val="32"/>
          <w:highlight w:val="none"/>
        </w:rPr>
        <w:t>部门</w:t>
      </w:r>
      <w:r>
        <w:rPr>
          <w:rFonts w:hint="eastAsia" w:ascii="宋体" w:hAnsi="宋体" w:eastAsia="宋体" w:cs="宋体"/>
          <w:color w:val="000000"/>
          <w:kern w:val="0"/>
          <w:sz w:val="32"/>
          <w:szCs w:val="32"/>
        </w:rPr>
        <w:t>决算单位构成。</w:t>
      </w:r>
      <w:r>
        <w:rPr>
          <w:rFonts w:hint="eastAsia" w:ascii="宋体" w:hAnsi="宋体" w:eastAsia="宋体" w:cs="宋体"/>
          <w:color w:val="000000"/>
          <w:kern w:val="0"/>
          <w:sz w:val="32"/>
          <w:szCs w:val="32"/>
          <w:lang w:val="en-US" w:eastAsia="zh-CN"/>
        </w:rPr>
        <w:t>岳阳县旅游开发中心</w:t>
      </w:r>
      <w:r>
        <w:rPr>
          <w:rFonts w:hint="eastAsia" w:ascii="宋体" w:hAnsi="宋体" w:eastAsia="宋体" w:cs="宋体"/>
          <w:color w:val="000000"/>
          <w:kern w:val="0"/>
          <w:sz w:val="32"/>
          <w:szCs w:val="32"/>
        </w:rPr>
        <w:t>202</w:t>
      </w: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rPr>
        <w:t>年部门决算汇总公开单位构成包括：岳阳县旅游开发中心</w:t>
      </w:r>
      <w:r>
        <w:rPr>
          <w:rFonts w:hint="eastAsia" w:ascii="宋体" w:hAnsi="宋体" w:eastAsia="宋体" w:cs="宋体"/>
          <w:color w:val="000000"/>
          <w:kern w:val="0"/>
          <w:sz w:val="32"/>
          <w:szCs w:val="32"/>
          <w:lang w:val="en-US" w:eastAsia="zh-CN"/>
        </w:rPr>
        <w:t>本级，</w:t>
      </w:r>
      <w:r>
        <w:rPr>
          <w:rFonts w:hint="eastAsia" w:ascii="宋体" w:hAnsi="宋体" w:eastAsia="宋体" w:cs="宋体"/>
          <w:color w:val="000000"/>
          <w:kern w:val="0"/>
          <w:sz w:val="32"/>
          <w:szCs w:val="32"/>
        </w:rPr>
        <w:t>本单位没有所属二级机构，因此</w:t>
      </w:r>
      <w:r>
        <w:rPr>
          <w:rFonts w:hint="eastAsia" w:ascii="宋体" w:hAnsi="宋体" w:eastAsia="宋体" w:cs="宋体"/>
          <w:color w:val="000000"/>
          <w:kern w:val="0"/>
          <w:sz w:val="32"/>
          <w:szCs w:val="32"/>
          <w:lang w:eastAsia="zh-CN"/>
        </w:rPr>
        <w:t>本</w:t>
      </w:r>
      <w:r>
        <w:rPr>
          <w:rFonts w:hint="eastAsia" w:ascii="宋体" w:hAnsi="宋体" w:eastAsia="宋体" w:cs="宋体"/>
          <w:color w:val="000000"/>
          <w:kern w:val="0"/>
          <w:sz w:val="32"/>
          <w:szCs w:val="32"/>
        </w:rPr>
        <w:t>年度部门预算仅为本级部门预算。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outlineLvl w:val="0"/>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rPr>
          <w:rFonts w:hint="eastAsia" w:ascii="宋体" w:hAnsi="宋体" w:eastAsia="宋体" w:cs="宋体"/>
          <w:color w:val="auto"/>
          <w:kern w:val="0"/>
          <w:sz w:val="32"/>
          <w:szCs w:val="32"/>
          <w:lang w:val="zh-CN"/>
        </w:rPr>
      </w:pPr>
      <w:r>
        <w:rPr>
          <w:rFonts w:hint="eastAsia" w:ascii="宋体" w:hAnsi="宋体" w:eastAsia="宋体" w:cs="宋体"/>
          <w:color w:val="auto"/>
          <w:sz w:val="32"/>
          <w:szCs w:val="32"/>
        </w:rPr>
        <w:t>2021年度收入总计</w:t>
      </w:r>
      <w:r>
        <w:rPr>
          <w:rFonts w:hint="eastAsia" w:ascii="宋体" w:hAnsi="宋体" w:eastAsia="宋体" w:cs="宋体"/>
          <w:color w:val="auto"/>
          <w:sz w:val="32"/>
          <w:szCs w:val="32"/>
          <w:lang w:val="en-US" w:eastAsia="zh-CN"/>
        </w:rPr>
        <w:t>200.4</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（含年初结转和结余资金</w:t>
      </w:r>
      <w:r>
        <w:rPr>
          <w:rFonts w:hint="eastAsia" w:ascii="宋体" w:hAnsi="宋体" w:eastAsia="宋体" w:cs="宋体"/>
          <w:b w:val="0"/>
          <w:bCs w:val="0"/>
          <w:color w:val="auto"/>
          <w:sz w:val="32"/>
          <w:szCs w:val="32"/>
          <w:lang w:val="en-US" w:eastAsia="zh-CN"/>
        </w:rPr>
        <w:t>22.76万元</w:t>
      </w:r>
      <w:r>
        <w:rPr>
          <w:rFonts w:hint="eastAsia" w:ascii="宋体" w:hAnsi="宋体" w:eastAsia="宋体" w:cs="宋体"/>
          <w:b w:val="0"/>
          <w:bCs w:val="0"/>
          <w:color w:val="auto"/>
          <w:sz w:val="32"/>
          <w:szCs w:val="32"/>
        </w:rPr>
        <w:t>），</w:t>
      </w:r>
      <w:r>
        <w:rPr>
          <w:rFonts w:hint="eastAsia" w:ascii="宋体" w:hAnsi="宋体" w:eastAsia="宋体" w:cs="宋体"/>
          <w:color w:val="auto"/>
          <w:sz w:val="32"/>
          <w:szCs w:val="32"/>
        </w:rPr>
        <w:t>与上年相比，增长</w:t>
      </w:r>
      <w:r>
        <w:rPr>
          <w:rFonts w:hint="eastAsia" w:ascii="宋体" w:hAnsi="宋体" w:eastAsia="宋体" w:cs="宋体"/>
          <w:color w:val="auto"/>
          <w:sz w:val="32"/>
          <w:szCs w:val="32"/>
          <w:lang w:val="en-US" w:eastAsia="zh-CN"/>
        </w:rPr>
        <w:t>41.17</w:t>
      </w:r>
      <w:r>
        <w:rPr>
          <w:rFonts w:hint="eastAsia" w:ascii="宋体" w:hAnsi="宋体" w:eastAsia="宋体" w:cs="宋体"/>
          <w:color w:val="auto"/>
          <w:sz w:val="32"/>
          <w:szCs w:val="32"/>
        </w:rPr>
        <w:t>万元，增长</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w:t>
      </w:r>
      <w:r>
        <w:rPr>
          <w:rFonts w:hint="eastAsia" w:ascii="宋体" w:hAnsi="宋体" w:eastAsia="宋体" w:cs="宋体"/>
          <w:color w:val="auto"/>
          <w:kern w:val="0"/>
          <w:sz w:val="32"/>
          <w:szCs w:val="32"/>
          <w:lang w:val="en-US" w:eastAsia="zh-CN"/>
        </w:rPr>
        <w:t>主要原因是人员和旅游营销活动经费增加</w:t>
      </w:r>
      <w:r>
        <w:rPr>
          <w:rFonts w:hint="eastAsia" w:ascii="宋体" w:hAnsi="宋体" w:eastAsia="宋体" w:cs="宋体"/>
          <w:color w:val="auto"/>
          <w:kern w:val="0"/>
          <w:sz w:val="32"/>
          <w:szCs w:val="32"/>
          <w:lang w:val="zh-CN"/>
        </w:rPr>
        <w:t>。</w:t>
      </w:r>
    </w:p>
    <w:p>
      <w:pPr>
        <w:widowControl/>
        <w:spacing w:line="600" w:lineRule="exact"/>
        <w:ind w:firstLine="640" w:firstLineChars="200"/>
        <w:rPr>
          <w:rFonts w:hint="eastAsia" w:ascii="宋体" w:hAnsi="宋体" w:eastAsia="宋体" w:cs="宋体"/>
          <w:color w:val="auto"/>
          <w:kern w:val="0"/>
          <w:sz w:val="32"/>
          <w:szCs w:val="32"/>
          <w:lang w:val="zh-CN"/>
        </w:rPr>
      </w:pPr>
      <w:r>
        <w:rPr>
          <w:rFonts w:hint="eastAsia" w:ascii="宋体" w:hAnsi="宋体" w:eastAsia="宋体" w:cs="宋体"/>
          <w:color w:val="auto"/>
          <w:sz w:val="32"/>
          <w:szCs w:val="32"/>
        </w:rPr>
        <w:t>2021年度支出总计</w:t>
      </w:r>
      <w:r>
        <w:rPr>
          <w:rFonts w:hint="eastAsia" w:ascii="宋体" w:hAnsi="宋体" w:eastAsia="宋体" w:cs="宋体"/>
          <w:color w:val="auto"/>
          <w:sz w:val="32"/>
          <w:szCs w:val="32"/>
          <w:lang w:val="en-US" w:eastAsia="zh-CN"/>
        </w:rPr>
        <w:t>200.4</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（含年末结转和结余资金</w:t>
      </w:r>
      <w:r>
        <w:rPr>
          <w:rFonts w:hint="eastAsia" w:ascii="宋体" w:hAnsi="宋体" w:eastAsia="宋体" w:cs="宋体"/>
          <w:b w:val="0"/>
          <w:bCs w:val="0"/>
          <w:color w:val="auto"/>
          <w:sz w:val="32"/>
          <w:szCs w:val="32"/>
          <w:lang w:val="en-US" w:eastAsia="zh-CN"/>
        </w:rPr>
        <w:t>39.18万元</w:t>
      </w:r>
      <w:r>
        <w:rPr>
          <w:rFonts w:hint="eastAsia" w:ascii="宋体" w:hAnsi="宋体" w:eastAsia="宋体" w:cs="宋体"/>
          <w:b w:val="0"/>
          <w:bCs w:val="0"/>
          <w:color w:val="auto"/>
          <w:sz w:val="32"/>
          <w:szCs w:val="32"/>
        </w:rPr>
        <w:t>），</w:t>
      </w:r>
      <w:r>
        <w:rPr>
          <w:rFonts w:hint="eastAsia" w:ascii="宋体" w:hAnsi="宋体" w:eastAsia="宋体" w:cs="宋体"/>
          <w:color w:val="auto"/>
          <w:sz w:val="32"/>
          <w:szCs w:val="32"/>
        </w:rPr>
        <w:t>与上年相比，增长</w:t>
      </w:r>
      <w:r>
        <w:rPr>
          <w:rFonts w:hint="eastAsia" w:ascii="宋体" w:hAnsi="宋体" w:eastAsia="宋体" w:cs="宋体"/>
          <w:color w:val="auto"/>
          <w:sz w:val="32"/>
          <w:szCs w:val="32"/>
          <w:lang w:val="en-US" w:eastAsia="zh-CN"/>
        </w:rPr>
        <w:t>41.17</w:t>
      </w:r>
      <w:r>
        <w:rPr>
          <w:rFonts w:hint="eastAsia" w:ascii="宋体" w:hAnsi="宋体" w:eastAsia="宋体" w:cs="宋体"/>
          <w:color w:val="auto"/>
          <w:sz w:val="32"/>
          <w:szCs w:val="32"/>
        </w:rPr>
        <w:t>万元，增长</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%，主要是因为</w:t>
      </w:r>
      <w:r>
        <w:rPr>
          <w:rFonts w:hint="eastAsia" w:ascii="宋体" w:hAnsi="宋体" w:eastAsia="宋体" w:cs="宋体"/>
          <w:color w:val="auto"/>
          <w:kern w:val="0"/>
          <w:sz w:val="32"/>
          <w:szCs w:val="32"/>
          <w:lang w:val="en-US" w:eastAsia="zh-CN"/>
        </w:rPr>
        <w:t>是人员和旅游营销活动经费增加</w:t>
      </w:r>
      <w:r>
        <w:rPr>
          <w:rFonts w:hint="eastAsia" w:ascii="宋体" w:hAnsi="宋体" w:eastAsia="宋体" w:cs="宋体"/>
          <w:color w:val="auto"/>
          <w:kern w:val="0"/>
          <w:sz w:val="32"/>
          <w:szCs w:val="32"/>
          <w:lang w:val="zh-CN"/>
        </w:rPr>
        <w:t>。</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2021年度</w:t>
      </w:r>
      <w:r>
        <w:rPr>
          <w:rFonts w:hint="eastAsia" w:ascii="宋体" w:hAnsi="宋体" w:eastAsia="宋体" w:cs="宋体"/>
          <w:sz w:val="32"/>
          <w:szCs w:val="32"/>
        </w:rPr>
        <w:t>收入合计</w:t>
      </w:r>
      <w:r>
        <w:rPr>
          <w:rFonts w:hint="eastAsia" w:ascii="宋体" w:hAnsi="宋体" w:eastAsia="宋体" w:cs="宋体"/>
          <w:sz w:val="32"/>
          <w:szCs w:val="32"/>
          <w:lang w:val="en-US" w:eastAsia="zh-CN"/>
        </w:rPr>
        <w:t>177.</w:t>
      </w:r>
      <w:r>
        <w:rPr>
          <w:rFonts w:hint="eastAsia" w:ascii="宋体" w:hAnsi="宋体" w:eastAsia="宋体" w:cs="宋体"/>
          <w:color w:val="auto"/>
          <w:sz w:val="32"/>
          <w:szCs w:val="32"/>
          <w:lang w:val="en-US" w:eastAsia="zh-CN"/>
        </w:rPr>
        <w:t>63</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（不含年初结转和结余资金）</w:t>
      </w:r>
      <w:r>
        <w:rPr>
          <w:rFonts w:hint="eastAsia" w:ascii="宋体" w:hAnsi="宋体" w:eastAsia="宋体" w:cs="宋体"/>
          <w:sz w:val="32"/>
          <w:szCs w:val="32"/>
        </w:rPr>
        <w:t>，其中：财政拨款收入</w:t>
      </w:r>
      <w:r>
        <w:rPr>
          <w:rFonts w:hint="eastAsia" w:ascii="宋体" w:hAnsi="宋体" w:eastAsia="宋体" w:cs="宋体"/>
          <w:sz w:val="32"/>
          <w:szCs w:val="32"/>
          <w:lang w:val="en-US" w:eastAsia="zh-CN"/>
        </w:rPr>
        <w:t>48.73</w:t>
      </w:r>
      <w:r>
        <w:rPr>
          <w:rFonts w:hint="eastAsia" w:ascii="宋体" w:hAnsi="宋体" w:eastAsia="宋体" w:cs="宋体"/>
          <w:sz w:val="32"/>
          <w:szCs w:val="32"/>
        </w:rPr>
        <w:t>万元，占</w:t>
      </w:r>
      <w:r>
        <w:rPr>
          <w:rFonts w:hint="eastAsia" w:ascii="宋体" w:hAnsi="宋体" w:eastAsia="宋体" w:cs="宋体"/>
          <w:sz w:val="32"/>
          <w:szCs w:val="32"/>
          <w:lang w:val="en-US" w:eastAsia="zh-CN"/>
        </w:rPr>
        <w:t>27</w:t>
      </w:r>
      <w:r>
        <w:rPr>
          <w:rFonts w:hint="eastAsia" w:ascii="宋体" w:hAnsi="宋体" w:eastAsia="宋体" w:cs="宋体"/>
          <w:sz w:val="32"/>
          <w:szCs w:val="32"/>
        </w:rPr>
        <w:t>%；上级补助收入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%；经营收入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%；附属单位上缴收入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%；其他收入</w:t>
      </w:r>
      <w:r>
        <w:rPr>
          <w:rFonts w:hint="eastAsia" w:ascii="宋体" w:hAnsi="宋体" w:eastAsia="宋体" w:cs="宋体"/>
          <w:sz w:val="32"/>
          <w:szCs w:val="32"/>
          <w:lang w:val="en-US" w:eastAsia="zh-CN"/>
        </w:rPr>
        <w:t>128.9</w:t>
      </w:r>
      <w:r>
        <w:rPr>
          <w:rFonts w:hint="eastAsia" w:ascii="宋体" w:hAnsi="宋体" w:eastAsia="宋体" w:cs="宋体"/>
          <w:sz w:val="32"/>
          <w:szCs w:val="32"/>
        </w:rPr>
        <w:t>万元，占</w:t>
      </w:r>
      <w:r>
        <w:rPr>
          <w:rFonts w:hint="eastAsia" w:ascii="宋体" w:hAnsi="宋体" w:eastAsia="宋体" w:cs="宋体"/>
          <w:sz w:val="32"/>
          <w:szCs w:val="32"/>
          <w:lang w:val="en-US" w:eastAsia="zh-CN"/>
        </w:rPr>
        <w:t>73</w:t>
      </w:r>
      <w:r>
        <w:rPr>
          <w:rFonts w:hint="eastAsia" w:ascii="宋体" w:hAnsi="宋体" w:eastAsia="宋体" w:cs="宋体"/>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val="en-US" w:eastAsia="zh-CN"/>
        </w:rPr>
        <w:t>2021年度</w:t>
      </w:r>
      <w:r>
        <w:rPr>
          <w:rFonts w:hint="eastAsia" w:ascii="宋体" w:hAnsi="宋体" w:eastAsia="宋体" w:cs="宋体"/>
          <w:b w:val="0"/>
          <w:bCs w:val="0"/>
          <w:color w:val="auto"/>
          <w:sz w:val="32"/>
          <w:szCs w:val="32"/>
        </w:rPr>
        <w:t>支出合计</w:t>
      </w:r>
      <w:r>
        <w:rPr>
          <w:rFonts w:hint="eastAsia" w:ascii="宋体" w:hAnsi="宋体" w:eastAsia="宋体" w:cs="宋体"/>
          <w:b w:val="0"/>
          <w:bCs w:val="0"/>
          <w:color w:val="auto"/>
          <w:sz w:val="32"/>
          <w:szCs w:val="32"/>
          <w:lang w:val="en-US" w:eastAsia="zh-CN"/>
        </w:rPr>
        <w:t>161.22</w:t>
      </w:r>
      <w:r>
        <w:rPr>
          <w:rFonts w:hint="eastAsia" w:ascii="宋体" w:hAnsi="宋体" w:eastAsia="宋体" w:cs="宋体"/>
          <w:b w:val="0"/>
          <w:bCs w:val="0"/>
          <w:color w:val="auto"/>
          <w:sz w:val="32"/>
          <w:szCs w:val="32"/>
        </w:rPr>
        <w:t>万元（不含年末结转和结余资金），其中：基本支出</w:t>
      </w:r>
      <w:r>
        <w:rPr>
          <w:rFonts w:hint="eastAsia" w:ascii="宋体" w:hAnsi="宋体" w:eastAsia="宋体" w:cs="宋体"/>
          <w:b w:val="0"/>
          <w:bCs w:val="0"/>
          <w:color w:val="auto"/>
          <w:sz w:val="32"/>
          <w:szCs w:val="32"/>
          <w:lang w:val="en-US" w:eastAsia="zh-CN"/>
        </w:rPr>
        <w:t>61.67</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38</w:t>
      </w:r>
      <w:r>
        <w:rPr>
          <w:rFonts w:hint="eastAsia" w:ascii="宋体" w:hAnsi="宋体" w:eastAsia="宋体" w:cs="宋体"/>
          <w:b w:val="0"/>
          <w:bCs w:val="0"/>
          <w:color w:val="auto"/>
          <w:sz w:val="32"/>
          <w:szCs w:val="32"/>
        </w:rPr>
        <w:t>%；项目支出</w:t>
      </w:r>
      <w:r>
        <w:rPr>
          <w:rFonts w:hint="eastAsia" w:ascii="宋体" w:hAnsi="宋体" w:eastAsia="宋体" w:cs="宋体"/>
          <w:b w:val="0"/>
          <w:bCs w:val="0"/>
          <w:color w:val="auto"/>
          <w:sz w:val="32"/>
          <w:szCs w:val="32"/>
          <w:lang w:val="en-US" w:eastAsia="zh-CN"/>
        </w:rPr>
        <w:t>99.55</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62</w:t>
      </w:r>
      <w:r>
        <w:rPr>
          <w:rFonts w:hint="eastAsia" w:ascii="宋体" w:hAnsi="宋体" w:eastAsia="宋体" w:cs="宋体"/>
          <w:b w:val="0"/>
          <w:bCs w:val="0"/>
          <w:color w:val="auto"/>
          <w:sz w:val="32"/>
          <w:szCs w:val="32"/>
        </w:rPr>
        <w:t>%；上缴上级支出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%；经营支出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%；对附属单位补助支出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48.73</w:t>
      </w:r>
      <w:r>
        <w:rPr>
          <w:rFonts w:hint="eastAsia" w:ascii="宋体" w:hAnsi="宋体" w:eastAsia="宋体"/>
          <w:sz w:val="32"/>
          <w:szCs w:val="32"/>
        </w:rPr>
        <w:t>万元（不含年初财政拨款结转和结余资金</w:t>
      </w:r>
      <w:r>
        <w:rPr>
          <w:rFonts w:hint="eastAsia" w:ascii="宋体" w:hAnsi="宋体" w:eastAsia="宋体"/>
          <w:sz w:val="32"/>
          <w:szCs w:val="32"/>
          <w:lang w:val="en-US" w:eastAsia="zh-CN"/>
        </w:rPr>
        <w:t>17.75万元</w:t>
      </w:r>
      <w:r>
        <w:rPr>
          <w:rFonts w:hint="eastAsia" w:ascii="宋体" w:hAnsi="宋体" w:eastAsia="宋体"/>
          <w:sz w:val="32"/>
          <w:szCs w:val="32"/>
        </w:rPr>
        <w:t>），与上年相比，减少</w:t>
      </w:r>
      <w:r>
        <w:rPr>
          <w:rFonts w:hint="eastAsia" w:ascii="宋体" w:hAnsi="宋体" w:eastAsia="宋体"/>
          <w:sz w:val="32"/>
          <w:szCs w:val="32"/>
          <w:lang w:val="en-US" w:eastAsia="zh-CN"/>
        </w:rPr>
        <w:t>71.19</w:t>
      </w:r>
      <w:r>
        <w:rPr>
          <w:rFonts w:hint="eastAsia" w:ascii="宋体" w:hAnsi="宋体" w:eastAsia="宋体"/>
          <w:sz w:val="32"/>
          <w:szCs w:val="32"/>
        </w:rPr>
        <w:t>万元,</w:t>
      </w:r>
      <w:r>
        <w:rPr>
          <w:rFonts w:hint="eastAsia" w:ascii="宋体" w:hAnsi="宋体" w:eastAsia="宋体"/>
          <w:sz w:val="32"/>
          <w:szCs w:val="32"/>
          <w:lang w:val="en-US" w:eastAsia="zh-CN"/>
        </w:rPr>
        <w:t xml:space="preserve"> 减少60</w:t>
      </w:r>
      <w:r>
        <w:rPr>
          <w:rFonts w:hint="eastAsia" w:ascii="宋体" w:hAnsi="宋体" w:eastAsia="宋体"/>
          <w:sz w:val="32"/>
          <w:szCs w:val="32"/>
        </w:rPr>
        <w:t>%，主要是</w:t>
      </w:r>
      <w:r>
        <w:rPr>
          <w:rFonts w:hint="eastAsia" w:ascii="宋体" w:hAnsi="宋体" w:eastAsia="宋体"/>
          <w:sz w:val="32"/>
          <w:szCs w:val="32"/>
          <w:lang w:val="en-US" w:eastAsia="zh-CN"/>
        </w:rPr>
        <w:t>旅游项目经费减少</w:t>
      </w:r>
      <w:r>
        <w:rPr>
          <w:rFonts w:hint="eastAsia" w:ascii="宋体" w:hAnsi="宋体" w:eastAsia="宋体"/>
          <w:sz w:val="32"/>
          <w:szCs w:val="32"/>
        </w:rPr>
        <w:t>。</w:t>
      </w:r>
    </w:p>
    <w:p>
      <w:pPr>
        <w:pStyle w:val="10"/>
        <w:ind w:firstLine="640"/>
        <w:rPr>
          <w:rFonts w:ascii="宋体" w:hAnsi="宋体" w:eastAsia="宋体"/>
          <w:b/>
          <w:bCs/>
          <w:color w:val="auto"/>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66.36</w:t>
      </w:r>
      <w:r>
        <w:rPr>
          <w:rFonts w:hint="eastAsia" w:ascii="宋体" w:hAnsi="宋体" w:eastAsia="宋体"/>
          <w:sz w:val="32"/>
          <w:szCs w:val="32"/>
        </w:rPr>
        <w:t>万元（不含年末财政拨款结转和结余资金</w:t>
      </w:r>
      <w:r>
        <w:rPr>
          <w:rFonts w:hint="eastAsia" w:ascii="宋体" w:hAnsi="宋体" w:eastAsia="宋体"/>
          <w:sz w:val="32"/>
          <w:szCs w:val="32"/>
          <w:lang w:val="en-US" w:eastAsia="zh-CN"/>
        </w:rPr>
        <w:t>0.13万元</w:t>
      </w:r>
      <w:r>
        <w:rPr>
          <w:rFonts w:hint="eastAsia" w:ascii="宋体" w:hAnsi="宋体" w:eastAsia="宋体"/>
          <w:sz w:val="32"/>
          <w:szCs w:val="32"/>
        </w:rPr>
        <w:t>），与上年相比，减少</w:t>
      </w:r>
      <w:r>
        <w:rPr>
          <w:rFonts w:hint="eastAsia" w:ascii="宋体" w:hAnsi="宋体" w:eastAsia="宋体"/>
          <w:sz w:val="32"/>
          <w:szCs w:val="32"/>
          <w:lang w:val="en-US" w:eastAsia="zh-CN"/>
        </w:rPr>
        <w:t>43.7</w:t>
      </w:r>
      <w:r>
        <w:rPr>
          <w:rFonts w:hint="eastAsia" w:ascii="宋体" w:hAnsi="宋体" w:eastAsia="宋体"/>
          <w:sz w:val="32"/>
          <w:szCs w:val="32"/>
        </w:rPr>
        <w:t>万元,减少</w:t>
      </w:r>
      <w:r>
        <w:rPr>
          <w:rFonts w:hint="eastAsia" w:ascii="宋体" w:hAnsi="宋体" w:eastAsia="宋体"/>
          <w:sz w:val="32"/>
          <w:szCs w:val="32"/>
          <w:lang w:val="en-US" w:eastAsia="zh-CN"/>
        </w:rPr>
        <w:t>40</w:t>
      </w:r>
      <w:r>
        <w:rPr>
          <w:rFonts w:hint="eastAsia" w:ascii="宋体" w:hAnsi="宋体" w:eastAsia="宋体"/>
          <w:sz w:val="32"/>
          <w:szCs w:val="32"/>
        </w:rPr>
        <w:t>%，主要是因为</w:t>
      </w:r>
      <w:r>
        <w:rPr>
          <w:rFonts w:hint="eastAsia" w:ascii="宋体" w:hAnsi="宋体" w:eastAsia="宋体"/>
          <w:color w:val="auto"/>
          <w:sz w:val="32"/>
          <w:szCs w:val="32"/>
          <w:lang w:val="en-US" w:eastAsia="zh-CN"/>
        </w:rPr>
        <w:t>旅游项目经费减少</w:t>
      </w:r>
      <w:r>
        <w:rPr>
          <w:rFonts w:hint="eastAsia" w:ascii="宋体" w:hAnsi="宋体" w:eastAsia="宋体"/>
          <w:color w:val="auto"/>
          <w:sz w:val="32"/>
          <w:szCs w:val="32"/>
        </w:rPr>
        <w:t>。</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宋体" w:hAnsi="宋体" w:eastAsia="宋体" w:cs="宋体"/>
          <w:b w:val="0"/>
          <w:bCs w:val="0"/>
          <w:color w:val="auto"/>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%，主要是</w:t>
      </w:r>
      <w:r>
        <w:rPr>
          <w:rFonts w:hint="eastAsia" w:ascii="宋体" w:hAnsi="宋体" w:eastAsia="宋体" w:cs="宋体"/>
          <w:sz w:val="32"/>
          <w:szCs w:val="32"/>
        </w:rPr>
        <w:t>因</w:t>
      </w:r>
      <w:r>
        <w:rPr>
          <w:rFonts w:hint="eastAsia" w:ascii="宋体" w:hAnsi="宋体" w:eastAsia="宋体" w:cs="宋体"/>
          <w:b w:val="0"/>
          <w:bCs w:val="0"/>
          <w:color w:val="auto"/>
          <w:sz w:val="32"/>
          <w:szCs w:val="32"/>
        </w:rPr>
        <w:t>为</w:t>
      </w:r>
      <w:r>
        <w:rPr>
          <w:rFonts w:hint="eastAsia" w:ascii="宋体" w:hAnsi="宋体" w:eastAsia="宋体" w:cs="宋体"/>
          <w:b w:val="0"/>
          <w:bCs w:val="0"/>
          <w:color w:val="auto"/>
          <w:sz w:val="32"/>
          <w:szCs w:val="32"/>
          <w:lang w:val="en-US" w:eastAsia="zh-CN"/>
        </w:rPr>
        <w:t>减少了旅游营销活动经费。</w:t>
      </w: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文化旅游体育与传媒（类）支出66.36万元，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55.29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120</w:t>
      </w:r>
      <w:r>
        <w:rPr>
          <w:rFonts w:hint="eastAsia" w:asciiTheme="minorEastAsia" w:hAnsiTheme="minorEastAsia" w:eastAsiaTheme="minorEastAsia"/>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文化旅游体育与传媒支出（类）文化和旅游（款）机关服务（项）</w:t>
      </w:r>
      <w:r>
        <w:rPr>
          <w:rFonts w:hint="eastAsia" w:asciiTheme="minorEastAsia" w:hAnsiTheme="minorEastAsia" w:eastAsiaTheme="minorEastAsia"/>
          <w:sz w:val="32"/>
          <w:szCs w:val="32"/>
        </w:rPr>
        <w:t>。</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文化旅游体育与传媒支出（类）文化和旅游（款）文化和旅游市场管理（项）。</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年初预算为44.06万元，支出决算为55.13万元，完成年初预算的125%。决算数大于预算数的主要原因是财政根据我单位业务活动情况追加了部分项目经费。</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ind w:left="0" w:leftChars="0"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 文化和旅游管理事务（项）。</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年初预算为3万元，支出决算为3万元，完成年初预算的100%，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ind w:left="0" w:leftChars="0"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 其他文化和旅游支出（项）。</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年初预算为2.23万元，支出决算为2.23万元，完成年初预算的100%，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53.81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33.96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val="en-US" w:eastAsia="zh-CN"/>
        </w:rPr>
        <w:t>机关事业单位基本养老保险缴费、职工基本医疗保险缴费、公务员医疗补助缴费、其他社会保障缴费、住房公积金、其他工资福利支出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19.85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邮电费、差旅费、培训会、公务接待费 、专用材料费、专用燃料费、委托业务费、工会经费、福利费、其他商品和服务支出</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决算数等于预算数的</w:t>
      </w:r>
      <w:r>
        <w:rPr>
          <w:rFonts w:hint="eastAsia" w:asciiTheme="minorEastAsia" w:hAnsiTheme="minorEastAsia" w:eastAsiaTheme="minorEastAsia"/>
          <w:sz w:val="32"/>
          <w:szCs w:val="32"/>
        </w:rPr>
        <w:t>主要原因是原因是认真贯彻落实中央“八项规定”精神和厉行节约要求，从严控制“三公”经费开支。</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w:t>
      </w:r>
      <w:r>
        <w:rPr>
          <w:rFonts w:hint="eastAsia" w:asciiTheme="minorEastAsia" w:hAnsiTheme="minorEastAsia" w:eastAsiaTheme="minorEastAsia"/>
          <w:sz w:val="32"/>
          <w:szCs w:val="32"/>
          <w:lang w:val="zh-CN" w:eastAsia="zh-CN"/>
        </w:rPr>
        <w:t>是认真贯彻落实中央“八项规定”精神和厉行节约要求，从严控制“三公”经费开支</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认真贯彻落实中央“八项规定”精神和厉行节约要求，从严控制“三公”经费开支</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认真贯彻落实中央“八项规定”精神和厉行节约要求，从严控制“三公”经费开支</w:t>
      </w:r>
      <w:r>
        <w:rPr>
          <w:rFonts w:hint="eastAsia" w:asciiTheme="minorEastAsia" w:hAnsiTheme="minorEastAsia" w:eastAsiaTheme="minorEastAsia"/>
          <w:sz w:val="32"/>
          <w:szCs w:val="32"/>
        </w:rPr>
        <w:t>。</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val="en-US" w:eastAsia="zh-CN"/>
        </w:rPr>
        <w:t>无</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对接旅游宣传营销</w:t>
      </w:r>
      <w:r>
        <w:rPr>
          <w:rFonts w:hint="eastAsia" w:asciiTheme="minorEastAsia" w:hAnsiTheme="minorEastAsia" w:eastAsiaTheme="minorEastAsia"/>
          <w:sz w:val="32"/>
          <w:szCs w:val="32"/>
        </w:rPr>
        <w:t>发生的接待支出。</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单位本级</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2021</w:t>
      </w:r>
      <w:r>
        <w:rPr>
          <w:rFonts w:hint="eastAsia" w:ascii="宋体" w:hAnsi="宋体" w:eastAsia="宋体" w:cs="宋体"/>
          <w:kern w:val="0"/>
          <w:sz w:val="32"/>
          <w:szCs w:val="32"/>
        </w:rPr>
        <w:t>年本单位没有使用政府性基金预算拨款安排的支出。</w:t>
      </w:r>
    </w:p>
    <w:p>
      <w:pPr>
        <w:pStyle w:val="10"/>
        <w:numPr>
          <w:ilvl w:val="0"/>
          <w:numId w:val="4"/>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0"/>
        <w:ind w:firstLine="800" w:firstLineChars="250"/>
        <w:rPr>
          <w:rFonts w:hint="default" w:ascii="宋体" w:hAnsi="宋体" w:eastAsia="宋体" w:cs="宋体"/>
          <w:color w:val="auto"/>
          <w:kern w:val="0"/>
          <w:sz w:val="32"/>
          <w:szCs w:val="32"/>
          <w:lang w:val="en-US" w:eastAsia="zh-CN" w:bidi="ar-SA"/>
        </w:rPr>
      </w:pPr>
      <w:r>
        <w:rPr>
          <w:rFonts w:hint="eastAsia" w:ascii="宋体" w:hAnsi="宋体" w:eastAsia="宋体" w:cs="宋体"/>
          <w:color w:val="auto"/>
          <w:kern w:val="0"/>
          <w:sz w:val="32"/>
          <w:szCs w:val="32"/>
          <w:lang w:val="en-US" w:eastAsia="zh-CN" w:bidi="ar-SA"/>
        </w:rPr>
        <w:t>2021年度本单位无国有资本经营预算财政拨款支出。</w:t>
      </w:r>
    </w:p>
    <w:p>
      <w:pPr>
        <w:pStyle w:val="10"/>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19.85</w:t>
      </w:r>
      <w:r>
        <w:rPr>
          <w:rFonts w:hint="eastAsia" w:asciiTheme="minorEastAsia" w:hAnsiTheme="minorEastAsia" w:eastAsiaTheme="minorEastAsia"/>
          <w:sz w:val="32"/>
          <w:szCs w:val="32"/>
        </w:rPr>
        <w:t>万元，比上年决算数减少</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w:t>
      </w:r>
      <w:r>
        <w:rPr>
          <w:rFonts w:hint="eastAsia" w:asciiTheme="minorEastAsia" w:hAnsiTheme="minorEastAsia" w:eastAsiaTheme="minorEastAsia"/>
          <w:sz w:val="32"/>
          <w:szCs w:val="32"/>
          <w:lang w:val="en-US" w:eastAsia="zh-CN"/>
        </w:rPr>
        <w:t>压缩机关运行经费</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0"/>
        <w:ind w:firstLine="640" w:firstLineChars="200"/>
        <w:rPr>
          <w:rFonts w:hint="eastAsia" w:asciiTheme="minorEastAsia" w:hAnsiTheme="minorEastAsia" w:eastAsiaTheme="minorEastAsia"/>
          <w:color w:val="FF0000"/>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万元，用于</w:t>
      </w:r>
      <w:r>
        <w:rPr>
          <w:rFonts w:hint="eastAsia" w:asciiTheme="minorEastAsia" w:hAnsiTheme="minorEastAsia" w:eastAsiaTheme="minorEastAsia"/>
          <w:sz w:val="32"/>
          <w:szCs w:val="32"/>
          <w:lang w:val="en-US" w:eastAsia="zh-CN"/>
        </w:rPr>
        <w:t>参加事业单位人员</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参加党校举办的新进事业单位人员培训</w:t>
      </w:r>
      <w:r>
        <w:rPr>
          <w:rFonts w:hint="eastAsia" w:asciiTheme="minorEastAsia" w:hAnsiTheme="minorEastAsia" w:eastAsiaTheme="minorEastAsia"/>
          <w:sz w:val="32"/>
          <w:szCs w:val="32"/>
          <w:lang w:eastAsia="zh-CN"/>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辆；单位价值50万元以上通用设备台（套）；单位价值100万元以上专用设备台（套）。</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年度国有资本经营预算项目支出开展绩效自评，共涉及资金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本</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66.36</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万元。从评价情况来看，我</w:t>
      </w:r>
      <w:r>
        <w:rPr>
          <w:rFonts w:hint="eastAsia" w:cs="黑体" w:asciiTheme="minorEastAsia" w:hAnsiTheme="minorEastAsia"/>
          <w:color w:val="000000"/>
          <w:kern w:val="0"/>
          <w:sz w:val="32"/>
          <w:szCs w:val="32"/>
          <w:lang w:val="en-US" w:eastAsia="zh-CN"/>
        </w:rPr>
        <w:t>中心2021</w:t>
      </w:r>
      <w:r>
        <w:rPr>
          <w:rFonts w:hint="eastAsia" w:cs="黑体" w:asciiTheme="minorEastAsia" w:hAnsiTheme="minorEastAsia"/>
          <w:color w:val="000000"/>
          <w:kern w:val="0"/>
          <w:sz w:val="32"/>
          <w:szCs w:val="32"/>
        </w:rPr>
        <w:t>年的部门整体支出绩效自我评价得分为</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分。自评结</w:t>
      </w:r>
      <w:r>
        <w:rPr>
          <w:rFonts w:hint="eastAsia" w:cs="黑体" w:asciiTheme="minorEastAsia" w:hAnsiTheme="minorEastAsia"/>
          <w:color w:val="000000"/>
          <w:kern w:val="0"/>
          <w:sz w:val="32"/>
          <w:szCs w:val="32"/>
          <w:lang w:val="en-US" w:eastAsia="zh-CN"/>
        </w:rPr>
        <w:t>果</w:t>
      </w:r>
      <w:r>
        <w:rPr>
          <w:rFonts w:hint="eastAsia" w:cs="黑体" w:asciiTheme="minorEastAsia" w:hAnsiTheme="minorEastAsia"/>
          <w:color w:val="000000"/>
          <w:kern w:val="0"/>
          <w:sz w:val="32"/>
          <w:szCs w:val="32"/>
        </w:rPr>
        <w:t>为：优秀。</w:t>
      </w:r>
    </w:p>
    <w:p>
      <w:pPr>
        <w:autoSpaceDE w:val="0"/>
        <w:autoSpaceDN w:val="0"/>
        <w:adjustRightInd w:val="0"/>
        <w:ind w:firstLine="640" w:firstLineChars="200"/>
        <w:jc w:val="left"/>
        <w:outlineLvl w:val="1"/>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outlineLvl w:val="1"/>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2021年我单位没有绩效自评的项目。</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outlineLvl w:val="1"/>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2021年我单位没有绩部门评价项目。</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财政拨款收入：指本级财政当年拨付的资金。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其他收入：指除上述“财政拨款收入”、“上级补助收入”、“事业收入”、“经营收入”、“附属单位上缴收入”等以外的收入。</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上年结转和结余：指以前年度尚未完成、结转到本年按有关规定继续使用的资金。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年末结转和结余资金：指本年度或以前年度预算安排、因客观条件发生变化无法按原计划实施，需要延迟到以后年度按有关规定继续使用的资金。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文化体育与传媒支出（类）：是指用于文化、文物、体育、新闻出版广播影视等方面的支出，包括保障机构正常运转、完成日常和特定的工作任务或事业发展目标的支出。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其他支出（类）：是指用于反映除上述项目以外其他不能划分到具体功能科目中的支出项目，包括保障机构正常运转、完成日常和特定的工作任务或事业发展目标的支出。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基本支出：指保障机构正常运转、完成支日常工作任务而发生的人员支出和公用支出。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项目支出：指在基本支出之外为完成特定行政任务和事业发展目标所发生的支出。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工资福利支出：反映单位开支的在职职工和编制外长期聘用人员的各类劳动报酬，以及为上述人员</w:t>
      </w:r>
      <w:bookmarkStart w:id="0" w:name="_GoBack"/>
      <w:bookmarkEnd w:id="0"/>
      <w:r>
        <w:rPr>
          <w:rFonts w:hint="eastAsia" w:ascii="宋体" w:hAnsi="宋体" w:eastAsia="宋体" w:cs="宋体"/>
          <w:color w:val="000000"/>
          <w:kern w:val="0"/>
          <w:sz w:val="32"/>
          <w:szCs w:val="32"/>
          <w:highlight w:val="white"/>
          <w:lang w:val="en-US"/>
        </w:rPr>
        <w:t>缴纳的各项社会保险费等。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津贴补贴：反映经国家批准建立的机关事业单位艰苦边远地区津贴、机关工作人员地区附加津贴、机关工作人员岗位津贴、事业单位工作人员特殊岗位津贴补贴等。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奖金：反映机关工作人员年终一次性奖金。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绩效工资：反映事业单位工作人员的绩效工资。</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机关事业单位基本养老保险缴费：反映机关事业单位缴纳的基本养老保险费。由单位代扣的工作人员基本养老保险缴费，不在此科目反映。</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职工基本医疗保险缴费：反映单位为职工缴纳的基本医疗保险费。</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公务员医疗补助缴费：反映按规定可享受公务员医疗补助单位为职工缴纳的公务员医疗补助费。</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其他社会保障缴费：反映单位为职工缴纳的基本医疗、失业、工伤、生育等社会保险费，残疾人就业保障金，军队（含武警）为军人缴纳的伤亡、退役医疗等社会保险费。</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住房公积金：反映行政事业单位按人力资源和社会保障部、财政部规定的基本工资和津贴补贴以及规定比例为职工缴纳的住房公积金。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医疗费：反映未参加医疗保险单位的医疗经费和单位按规定为职工支出的其他医疗费用。</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商品和服务支出：反映单位购买商品和服务的支出（不包括用于购置固定资产的支出、战略性和应急储备支出）。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办公费：反映单位购买按财务会计制度规定不符合固定资产确认标准的日常办公用品、书报杂志等支出。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印刷费：反映单位的印刷费支出。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水费：反映单位支付的水费、污水处理费等支出。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电费：反映单位的电费支出。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邮电费：反映单位开支的信函、包裹、货物等物品的邮寄费及电话费、电报费、传真费、网络通讯费等。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物业管理费：反映单位开支的办公用房以及未实行职工住宅物业服务改革的在职职工和离退休人员宿舍等的物业管理费，包括综合治理、绿化、卫生等方面的支出。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差旅费：反映单位工作人员出差发生的城市间交通费、住宿费、伙食补贴费和市内交通费。</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维修(护)费：反映单位日常开支的固定资产（不包括车船等交通工具）修理和维护费用，网络信息系统运行与维护费用，以及按规定提取的修购基金。</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培训费：反映除因公出国（境）培训费以外的各类培训支出。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劳务费：反映支付给单位和个人的劳务费用，如临时聘用人员、钟点工工资，稿费、翻译费，评审费等。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工会经费：反映单位按规定提取的工会经费。</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其他交通费用：反映单位除公务用车运行维护费以外的其他交通费用。如公务交通补贴，租车费用、出租车费用，飞机、船舶等的燃料费、维修费、保险费等。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其他商品和服务支出：反映上述科目未包括的日常公用支出。如行政赔偿费和诉讼费、国内组织的会员费、来访费、广告宣传、其他劳务费及离休人员特需费、公用经费等。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对个人和家庭的补助：反映政府用于对个人和家庭的补助支出。</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奖励金：反映政府各部门的奖励支出，如对个体私营经济的奖励、计划生育目标责任奖励、独生子女父母奖励等。</w:t>
      </w:r>
    </w:p>
    <w:p>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pageBreakBefore w:val="0"/>
        <w:widowControl w:val="0"/>
        <w:kinsoku/>
        <w:wordWrap/>
        <w:overflowPunct/>
        <w:topLinePunct w:val="0"/>
        <w:bidi w:val="0"/>
        <w:snapToGrid/>
        <w:jc w:val="both"/>
        <w:textAlignment w:val="auto"/>
        <w:rPr>
          <w:rFonts w:hint="eastAsia" w:ascii="宋体" w:hAnsi="宋体" w:eastAsia="宋体" w:cs="宋体"/>
          <w:sz w:val="32"/>
          <w:szCs w:val="32"/>
        </w:rPr>
      </w:pPr>
    </w:p>
    <w:p>
      <w:pPr>
        <w:pStyle w:val="10"/>
        <w:jc w:val="center"/>
        <w:rPr>
          <w:rFonts w:hint="eastAsia" w:ascii="宋体" w:hAnsi="宋体" w:eastAsia="宋体" w:cs="宋体"/>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7B759"/>
    <w:multiLevelType w:val="singleLevel"/>
    <w:tmpl w:val="A5D7B759"/>
    <w:lvl w:ilvl="0" w:tentative="0">
      <w:start w:val="2"/>
      <w:numFmt w:val="decimal"/>
      <w:suff w:val="nothing"/>
      <w:lvlText w:val="%1、"/>
      <w:lvlJc w:val="left"/>
    </w:lvl>
  </w:abstractNum>
  <w:abstractNum w:abstractNumId="1">
    <w:nsid w:val="F3F6CB5F"/>
    <w:multiLevelType w:val="singleLevel"/>
    <w:tmpl w:val="F3F6CB5F"/>
    <w:lvl w:ilvl="0" w:tentative="0">
      <w:start w:val="9"/>
      <w:numFmt w:val="chineseCounting"/>
      <w:suff w:val="nothing"/>
      <w:lvlText w:val="%1、"/>
      <w:lvlJc w:val="left"/>
      <w:rPr>
        <w:rFonts w:hint="eastAsia"/>
      </w:rPr>
    </w:lvl>
  </w:abstractNum>
  <w:abstractNum w:abstractNumId="2">
    <w:nsid w:val="F6F26AFB"/>
    <w:multiLevelType w:val="singleLevel"/>
    <w:tmpl w:val="F6F26AFB"/>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jMyMTJmMTZlZDUxNmQ5NDk1MWY2MDI2ZWU0Mz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0638A"/>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01675"/>
    <w:rsid w:val="02766859"/>
    <w:rsid w:val="03CA1FAF"/>
    <w:rsid w:val="05B11678"/>
    <w:rsid w:val="074D3623"/>
    <w:rsid w:val="089A2898"/>
    <w:rsid w:val="08C571E9"/>
    <w:rsid w:val="090E6DE2"/>
    <w:rsid w:val="09E162A4"/>
    <w:rsid w:val="09E85885"/>
    <w:rsid w:val="0A3463D4"/>
    <w:rsid w:val="0A3A6B8A"/>
    <w:rsid w:val="0BFC73C5"/>
    <w:rsid w:val="0C3E178C"/>
    <w:rsid w:val="0D1C7D1F"/>
    <w:rsid w:val="0D611BD6"/>
    <w:rsid w:val="0E0A401C"/>
    <w:rsid w:val="0EC872B8"/>
    <w:rsid w:val="0F5B515F"/>
    <w:rsid w:val="0F865924"/>
    <w:rsid w:val="0F927BB6"/>
    <w:rsid w:val="0FB748BD"/>
    <w:rsid w:val="0FDA5C70"/>
    <w:rsid w:val="104B4477"/>
    <w:rsid w:val="10C23C81"/>
    <w:rsid w:val="11333889"/>
    <w:rsid w:val="115F7498"/>
    <w:rsid w:val="11D566EF"/>
    <w:rsid w:val="12261E82"/>
    <w:rsid w:val="12BE7183"/>
    <w:rsid w:val="13850E2A"/>
    <w:rsid w:val="140908D1"/>
    <w:rsid w:val="14AD3953"/>
    <w:rsid w:val="16222D53"/>
    <w:rsid w:val="16297009"/>
    <w:rsid w:val="1A4B61EF"/>
    <w:rsid w:val="1C9C6787"/>
    <w:rsid w:val="1D74500E"/>
    <w:rsid w:val="1E65704C"/>
    <w:rsid w:val="1E984D2C"/>
    <w:rsid w:val="1ED1023E"/>
    <w:rsid w:val="1F050AA0"/>
    <w:rsid w:val="1F2939A5"/>
    <w:rsid w:val="20112FE8"/>
    <w:rsid w:val="20F621DE"/>
    <w:rsid w:val="21821CC3"/>
    <w:rsid w:val="21A97250"/>
    <w:rsid w:val="231B474B"/>
    <w:rsid w:val="239D4B92"/>
    <w:rsid w:val="23BD6FE3"/>
    <w:rsid w:val="24286B52"/>
    <w:rsid w:val="24613E12"/>
    <w:rsid w:val="25E76599"/>
    <w:rsid w:val="28774D8D"/>
    <w:rsid w:val="28A96F11"/>
    <w:rsid w:val="290B259E"/>
    <w:rsid w:val="297D349C"/>
    <w:rsid w:val="2B481888"/>
    <w:rsid w:val="2B824D9A"/>
    <w:rsid w:val="2BE07D12"/>
    <w:rsid w:val="2BED6907"/>
    <w:rsid w:val="2FD22068"/>
    <w:rsid w:val="2FEB1FB0"/>
    <w:rsid w:val="30D140CD"/>
    <w:rsid w:val="31093867"/>
    <w:rsid w:val="347A51A8"/>
    <w:rsid w:val="372721A3"/>
    <w:rsid w:val="37620175"/>
    <w:rsid w:val="37A721C1"/>
    <w:rsid w:val="37D526F5"/>
    <w:rsid w:val="38FD77E2"/>
    <w:rsid w:val="39DC0EF4"/>
    <w:rsid w:val="3A2E6CE4"/>
    <w:rsid w:val="3A3D78AC"/>
    <w:rsid w:val="3AB17449"/>
    <w:rsid w:val="3B504A4D"/>
    <w:rsid w:val="3B5B5607"/>
    <w:rsid w:val="3B9823B7"/>
    <w:rsid w:val="3C5E715D"/>
    <w:rsid w:val="3E2148E6"/>
    <w:rsid w:val="3EDB155A"/>
    <w:rsid w:val="3F6727CC"/>
    <w:rsid w:val="3FDB6D16"/>
    <w:rsid w:val="40E045E4"/>
    <w:rsid w:val="417B430D"/>
    <w:rsid w:val="42813BA5"/>
    <w:rsid w:val="42E87780"/>
    <w:rsid w:val="4326474D"/>
    <w:rsid w:val="434370AD"/>
    <w:rsid w:val="438D20D6"/>
    <w:rsid w:val="438D5400"/>
    <w:rsid w:val="43AC2EA4"/>
    <w:rsid w:val="44315157"/>
    <w:rsid w:val="48104EED"/>
    <w:rsid w:val="482125BB"/>
    <w:rsid w:val="49425710"/>
    <w:rsid w:val="499F1133"/>
    <w:rsid w:val="49F033BE"/>
    <w:rsid w:val="4BBA1ED6"/>
    <w:rsid w:val="4C0B15B8"/>
    <w:rsid w:val="4C5C1E13"/>
    <w:rsid w:val="4C6F0F12"/>
    <w:rsid w:val="4E320449"/>
    <w:rsid w:val="4F006FDB"/>
    <w:rsid w:val="4F251D5C"/>
    <w:rsid w:val="4F6C798B"/>
    <w:rsid w:val="4F876573"/>
    <w:rsid w:val="5117067E"/>
    <w:rsid w:val="51226553"/>
    <w:rsid w:val="525C5A95"/>
    <w:rsid w:val="52A31CC8"/>
    <w:rsid w:val="52AF3E17"/>
    <w:rsid w:val="52ED230C"/>
    <w:rsid w:val="53DC50DF"/>
    <w:rsid w:val="543F741C"/>
    <w:rsid w:val="55B94FAC"/>
    <w:rsid w:val="56BC6B02"/>
    <w:rsid w:val="58624863"/>
    <w:rsid w:val="58DC16DE"/>
    <w:rsid w:val="5A5A6D5E"/>
    <w:rsid w:val="5A851901"/>
    <w:rsid w:val="5AD563E4"/>
    <w:rsid w:val="5B2E3D47"/>
    <w:rsid w:val="5B90055D"/>
    <w:rsid w:val="5C910A31"/>
    <w:rsid w:val="5D243653"/>
    <w:rsid w:val="5D303DA6"/>
    <w:rsid w:val="5D88799D"/>
    <w:rsid w:val="5F7541D1"/>
    <w:rsid w:val="60351EDB"/>
    <w:rsid w:val="61504A17"/>
    <w:rsid w:val="61587D6F"/>
    <w:rsid w:val="61F07FA8"/>
    <w:rsid w:val="62531F6F"/>
    <w:rsid w:val="632E2B36"/>
    <w:rsid w:val="64104931"/>
    <w:rsid w:val="64813139"/>
    <w:rsid w:val="64B1730C"/>
    <w:rsid w:val="65827169"/>
    <w:rsid w:val="66B772E6"/>
    <w:rsid w:val="68E72104"/>
    <w:rsid w:val="690305C1"/>
    <w:rsid w:val="6979104D"/>
    <w:rsid w:val="6A1F142A"/>
    <w:rsid w:val="6ACD532A"/>
    <w:rsid w:val="6C861C34"/>
    <w:rsid w:val="6D6261FE"/>
    <w:rsid w:val="6D7140C0"/>
    <w:rsid w:val="6E22598D"/>
    <w:rsid w:val="6FFB6495"/>
    <w:rsid w:val="70344547"/>
    <w:rsid w:val="721101F2"/>
    <w:rsid w:val="73974EC8"/>
    <w:rsid w:val="73D20697"/>
    <w:rsid w:val="73E62FB9"/>
    <w:rsid w:val="74055B35"/>
    <w:rsid w:val="752F1791"/>
    <w:rsid w:val="756607EB"/>
    <w:rsid w:val="777328E3"/>
    <w:rsid w:val="777A2396"/>
    <w:rsid w:val="77E1129B"/>
    <w:rsid w:val="782A3DBC"/>
    <w:rsid w:val="783C764B"/>
    <w:rsid w:val="78AC7708"/>
    <w:rsid w:val="79627585"/>
    <w:rsid w:val="7B5178B1"/>
    <w:rsid w:val="7B5353D8"/>
    <w:rsid w:val="7C136915"/>
    <w:rsid w:val="7C851FFD"/>
    <w:rsid w:val="7C8B6DF3"/>
    <w:rsid w:val="7E693D98"/>
    <w:rsid w:val="7EC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5986</Words>
  <Characters>6326</Characters>
  <Lines>69</Lines>
  <Paragraphs>19</Paragraphs>
  <TotalTime>7</TotalTime>
  <ScaleCrop>false</ScaleCrop>
  <LinksUpToDate>false</LinksUpToDate>
  <CharactersWithSpaces>6349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杨云</cp:lastModifiedBy>
  <cp:lastPrinted>2022-07-27T12:55:00Z</cp:lastPrinted>
  <dcterms:modified xsi:type="dcterms:W3CDTF">2023-03-15T08:25:13Z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79C7EF67F3374D4692BE1892E0EDBBD3</vt:lpwstr>
  </property>
</Properties>
</file>