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lang w:val="en-US" w:eastAsia="zh-CN"/>
        </w:rPr>
        <w:t>县旅游开发中心</w:t>
      </w: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keepNext w:val="0"/>
        <w:keepLines w:val="0"/>
        <w:pageBreakBefore w:val="0"/>
        <w:widowControl w:val="0"/>
        <w:kinsoku/>
        <w:wordWrap/>
        <w:overflowPunct/>
        <w:topLinePunct w:val="0"/>
        <w:bidi w:val="0"/>
        <w:snapToGrid/>
        <w:spacing w:line="480" w:lineRule="exact"/>
        <w:jc w:val="center"/>
        <w:textAlignment w:val="auto"/>
        <w:rPr>
          <w:b/>
          <w:sz w:val="36"/>
          <w:szCs w:val="28"/>
        </w:rPr>
      </w:pPr>
      <w:r>
        <w:rPr>
          <w:rFonts w:hint="eastAsia"/>
          <w:b/>
          <w:sz w:val="36"/>
          <w:szCs w:val="28"/>
        </w:rPr>
        <w:t>目录</w:t>
      </w:r>
    </w:p>
    <w:p>
      <w:pPr>
        <w:pStyle w:val="10"/>
        <w:keepNext w:val="0"/>
        <w:keepLines w:val="0"/>
        <w:pageBreakBefore w:val="0"/>
        <w:widowControl w:val="0"/>
        <w:kinsoku/>
        <w:wordWrap/>
        <w:overflowPunct/>
        <w:topLinePunct w:val="0"/>
        <w:bidi w:val="0"/>
        <w:snapToGrid/>
        <w:spacing w:line="480" w:lineRule="exact"/>
        <w:textAlignment w:val="auto"/>
        <w:outlineLvl w:val="0"/>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岳阳县旅游开发中心</w:t>
      </w:r>
      <w:r>
        <w:rPr>
          <w:rFonts w:hint="eastAsia"/>
          <w:b/>
          <w:sz w:val="28"/>
          <w:szCs w:val="28"/>
        </w:rPr>
        <w:t>概况</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hint="eastAsia" w:cs="仿宋_GB2312" w:asciiTheme="minorEastAsia" w:hAnsiTheme="minorEastAsia" w:eastAsiaTheme="minorEastAsia"/>
          <w:sz w:val="28"/>
          <w:szCs w:val="28"/>
          <w:highlight w:val="none"/>
          <w:lang w:val="en-US" w:eastAsia="zh-CN"/>
        </w:rPr>
      </w:pPr>
      <w:r>
        <w:rPr>
          <w:rFonts w:cs="仿宋_GB2312" w:asciiTheme="minorEastAsia" w:hAnsiTheme="minorEastAsia" w:eastAsiaTheme="minorEastAsia"/>
          <w:sz w:val="28"/>
          <w:szCs w:val="28"/>
        </w:rPr>
        <w:t>二、机构设置</w:t>
      </w:r>
      <w:r>
        <w:rPr>
          <w:rFonts w:hint="eastAsia" w:cs="仿宋_GB2312" w:asciiTheme="minorEastAsia" w:hAnsiTheme="minorEastAsia" w:eastAsiaTheme="minorEastAsia"/>
          <w:sz w:val="28"/>
          <w:szCs w:val="28"/>
          <w:highlight w:val="none"/>
          <w:lang w:val="en-US" w:eastAsia="zh-CN"/>
        </w:rPr>
        <w:t>及</w:t>
      </w:r>
      <w:r>
        <w:rPr>
          <w:rFonts w:hint="eastAsia" w:ascii="宋体" w:hAnsi="宋体" w:eastAsia="宋体" w:cs="仿宋_GB2312"/>
          <w:sz w:val="28"/>
          <w:szCs w:val="28"/>
          <w:highlight w:val="none"/>
        </w:rPr>
        <w:t>部门决算单位构成</w:t>
      </w:r>
    </w:p>
    <w:p>
      <w:pPr>
        <w:pStyle w:val="10"/>
        <w:keepNext w:val="0"/>
        <w:keepLines w:val="0"/>
        <w:pageBreakBefore w:val="0"/>
        <w:widowControl w:val="0"/>
        <w:kinsoku/>
        <w:wordWrap/>
        <w:overflowPunct/>
        <w:topLinePunct w:val="0"/>
        <w:bidi w:val="0"/>
        <w:snapToGrid/>
        <w:spacing w:line="480" w:lineRule="exact"/>
        <w:textAlignment w:val="auto"/>
        <w:outlineLvl w:val="0"/>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keepNext w:val="0"/>
        <w:keepLines w:val="0"/>
        <w:pageBreakBefore w:val="0"/>
        <w:widowControl w:val="0"/>
        <w:kinsoku/>
        <w:wordWrap/>
        <w:overflowPunct/>
        <w:topLinePunct w:val="0"/>
        <w:bidi w:val="0"/>
        <w:snapToGrid/>
        <w:spacing w:line="480" w:lineRule="exact"/>
        <w:textAlignment w:val="auto"/>
        <w:outlineLvl w:val="0"/>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21年度部门决算情况说明</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keepNext w:val="0"/>
        <w:keepLines w:val="0"/>
        <w:pageBreakBefore w:val="0"/>
        <w:widowControl w:val="0"/>
        <w:kinsoku/>
        <w:wordWrap/>
        <w:overflowPunct/>
        <w:topLinePunct w:val="0"/>
        <w:bidi w:val="0"/>
        <w:snapToGrid/>
        <w:spacing w:line="480" w:lineRule="exact"/>
        <w:ind w:firstLine="700" w:firstLineChars="250"/>
        <w:jc w:val="left"/>
        <w:textAlignment w:val="auto"/>
        <w:rPr>
          <w:rFonts w:ascii="仿宋_GB2312" w:hAnsi="仿宋_GB2312" w:cs="仿宋_GB2312"/>
          <w:sz w:val="28"/>
          <w:szCs w:val="28"/>
        </w:rPr>
      </w:pPr>
      <w:r>
        <w:rPr>
          <w:rFonts w:ascii="仿宋_GB2312" w:hAnsi="仿宋_GB2312" w:cs="仿宋_GB2312"/>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lang w:eastAsia="zh-CN"/>
        </w:rPr>
        <w:t>九、</w:t>
      </w:r>
      <w:r>
        <w:rPr>
          <w:rFonts w:hint="eastAsia" w:ascii="仿宋_GB2312" w:hAnsi="仿宋_GB2312" w:cs="仿宋_GB2312"/>
          <w:color w:val="000000"/>
          <w:kern w:val="0"/>
          <w:sz w:val="28"/>
          <w:szCs w:val="28"/>
        </w:rPr>
        <w:t>国有资本经营预算财政拨款支出决算总体情况说明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eastAsia="zh-CN"/>
        </w:rPr>
        <w:t>十</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hint="eastAsia" w:ascii="仿宋_GB2312" w:hAnsi="仿宋_GB2312" w:cs="仿宋_GB2312"/>
          <w:color w:val="000000"/>
          <w:kern w:val="0"/>
          <w:sz w:val="28"/>
          <w:szCs w:val="28"/>
          <w:lang w:eastAsia="zh-CN"/>
        </w:rPr>
        <w:t>一</w:t>
      </w:r>
      <w:r>
        <w:rPr>
          <w:rFonts w:hint="eastAsia" w:ascii="仿宋_GB2312" w:hAnsi="仿宋_GB2312" w:cs="仿宋_GB2312"/>
          <w:color w:val="000000"/>
          <w:kern w:val="0"/>
          <w:sz w:val="28"/>
          <w:szCs w:val="28"/>
        </w:rPr>
        <w:t>、一般性支出情况说明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hint="eastAsia" w:ascii="仿宋_GB2312" w:hAnsi="仿宋_GB2312" w:cs="仿宋_GB2312"/>
          <w:color w:val="000000"/>
          <w:kern w:val="0"/>
          <w:sz w:val="28"/>
          <w:szCs w:val="28"/>
          <w:lang w:eastAsia="zh-CN"/>
        </w:rPr>
        <w:t>二</w:t>
      </w:r>
      <w:r>
        <w:rPr>
          <w:rFonts w:hint="eastAsia" w:ascii="仿宋_GB2312" w:hAnsi="仿宋_GB2312" w:cs="仿宋_GB2312"/>
          <w:color w:val="000000"/>
          <w:kern w:val="0"/>
          <w:sz w:val="28"/>
          <w:szCs w:val="28"/>
        </w:rPr>
        <w:t>、政府采购支出说明</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w:t>
      </w:r>
      <w:r>
        <w:rPr>
          <w:rFonts w:hint="eastAsia" w:ascii="仿宋_GB2312" w:hAnsi="仿宋_GB2312" w:cs="仿宋_GB2312" w:eastAsiaTheme="minorEastAsia"/>
          <w:sz w:val="28"/>
          <w:szCs w:val="28"/>
          <w:lang w:eastAsia="zh-CN"/>
        </w:rPr>
        <w:t>三</w:t>
      </w:r>
      <w:r>
        <w:rPr>
          <w:rFonts w:hint="eastAsia" w:ascii="仿宋_GB2312" w:hAnsi="仿宋_GB2312" w:cs="仿宋_GB2312" w:eastAsiaTheme="minorEastAsia"/>
          <w:sz w:val="28"/>
          <w:szCs w:val="28"/>
        </w:rPr>
        <w:t>、国有资产占用情况说明</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w:t>
      </w:r>
      <w:r>
        <w:rPr>
          <w:rFonts w:hint="eastAsia" w:ascii="仿宋_GB2312" w:hAnsi="仿宋_GB2312" w:cs="仿宋_GB2312" w:eastAsiaTheme="minorEastAsia"/>
          <w:sz w:val="28"/>
          <w:szCs w:val="28"/>
          <w:lang w:eastAsia="zh-CN"/>
        </w:rPr>
        <w:t>四</w:t>
      </w:r>
      <w:r>
        <w:rPr>
          <w:rFonts w:hint="eastAsia" w:ascii="仿宋_GB2312" w:hAnsi="仿宋_GB2312" w:cs="仿宋_GB2312" w:eastAsiaTheme="minorEastAsia"/>
          <w:sz w:val="28"/>
          <w:szCs w:val="28"/>
        </w:rPr>
        <w:t>、</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outlineLvl w:val="0"/>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outlineLvl w:val="0"/>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outlineLvl w:val="0"/>
        <w:rPr>
          <w:sz w:val="84"/>
          <w:szCs w:val="84"/>
        </w:rPr>
      </w:pPr>
      <w:r>
        <w:rPr>
          <w:rFonts w:hint="eastAsia"/>
          <w:sz w:val="84"/>
          <w:szCs w:val="84"/>
          <w:lang w:val="en-US" w:eastAsia="zh-CN"/>
        </w:rPr>
        <w:t>岳阳县旅游开发中心</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outlineLvl w:val="0"/>
        <w:rPr>
          <w:rFonts w:ascii="黑体" w:hAnsi="黑体" w:eastAsia="黑体"/>
          <w:sz w:val="32"/>
          <w:szCs w:val="32"/>
        </w:rPr>
      </w:pPr>
      <w:r>
        <w:rPr>
          <w:rFonts w:ascii="黑体" w:hAnsi="黑体" w:eastAsia="黑体"/>
          <w:sz w:val="32"/>
          <w:szCs w:val="32"/>
        </w:rPr>
        <w:t>部门职责</w:t>
      </w:r>
    </w:p>
    <w:p>
      <w:pPr>
        <w:widowControl/>
        <w:numPr>
          <w:ilvl w:val="0"/>
          <w:numId w:val="2"/>
        </w:numPr>
        <w:spacing w:line="600" w:lineRule="exact"/>
        <w:ind w:firstLine="640" w:firstLineChars="200"/>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负责指导全县旅游资源合理开发与利用；</w:t>
      </w:r>
    </w:p>
    <w:p>
      <w:pPr>
        <w:widowControl/>
        <w:numPr>
          <w:ilvl w:val="0"/>
          <w:numId w:val="2"/>
        </w:numPr>
        <w:spacing w:line="600" w:lineRule="exact"/>
        <w:ind w:firstLine="640" w:firstLineChars="200"/>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指导全县旅游产品开发；</w:t>
      </w:r>
    </w:p>
    <w:p>
      <w:pPr>
        <w:widowControl/>
        <w:numPr>
          <w:ilvl w:val="0"/>
          <w:numId w:val="2"/>
        </w:numPr>
        <w:spacing w:line="600" w:lineRule="exact"/>
        <w:ind w:firstLine="640" w:firstLineChars="200"/>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负责培训和完善旅游市场，开拓国际国内市场；</w:t>
      </w:r>
    </w:p>
    <w:p>
      <w:pPr>
        <w:widowControl/>
        <w:numPr>
          <w:ilvl w:val="0"/>
          <w:numId w:val="2"/>
        </w:numPr>
        <w:spacing w:line="600" w:lineRule="exact"/>
        <w:ind w:firstLine="640" w:firstLineChars="200"/>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负责指导旅游教育、培训；</w:t>
      </w:r>
    </w:p>
    <w:p>
      <w:pPr>
        <w:widowControl/>
        <w:numPr>
          <w:ilvl w:val="0"/>
          <w:numId w:val="2"/>
        </w:numPr>
        <w:spacing w:line="600" w:lineRule="exact"/>
        <w:ind w:firstLine="640" w:firstLineChars="200"/>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 xml:space="preserve">负责全县旅游统计和行业信息发布等。  </w:t>
      </w:r>
    </w:p>
    <w:p>
      <w:pPr>
        <w:widowControl/>
        <w:numPr>
          <w:ilvl w:val="0"/>
          <w:numId w:val="0"/>
        </w:numPr>
        <w:spacing w:line="600" w:lineRule="exact"/>
        <w:rPr>
          <w:rFonts w:hint="eastAsia" w:ascii="仿宋" w:hAnsi="仿宋" w:eastAsia="仿宋" w:cs="仿宋"/>
          <w:color w:val="000000"/>
          <w:kern w:val="0"/>
          <w:sz w:val="32"/>
          <w:szCs w:val="32"/>
        </w:rPr>
      </w:pPr>
    </w:p>
    <w:p>
      <w:pPr>
        <w:widowControl/>
        <w:spacing w:line="600" w:lineRule="exact"/>
        <w:outlineLvl w:val="0"/>
        <w:rPr>
          <w:rFonts w:ascii="黑体" w:hAnsi="黑体" w:eastAsia="黑体"/>
          <w:bCs/>
          <w:kern w:val="0"/>
          <w:sz w:val="32"/>
          <w:szCs w:val="32"/>
        </w:rPr>
      </w:pPr>
      <w:r>
        <w:rPr>
          <w:rFonts w:hint="eastAsia" w:ascii="黑体" w:hAnsi="黑体" w:eastAsia="黑体"/>
          <w:bCs/>
          <w:kern w:val="0"/>
          <w:sz w:val="32"/>
          <w:szCs w:val="32"/>
        </w:rPr>
        <w:t>二、机构设置及</w:t>
      </w:r>
      <w:r>
        <w:rPr>
          <w:rFonts w:hint="eastAsia" w:ascii="黑体" w:hAnsi="黑体" w:eastAsia="黑体"/>
          <w:bCs/>
          <w:kern w:val="0"/>
          <w:sz w:val="32"/>
          <w:szCs w:val="32"/>
          <w:highlight w:val="none"/>
          <w:lang w:val="en-US" w:eastAsia="zh-CN"/>
        </w:rPr>
        <w:t>部门</w:t>
      </w:r>
      <w:r>
        <w:rPr>
          <w:rFonts w:hint="eastAsia" w:ascii="黑体" w:hAnsi="黑体" w:eastAsia="黑体"/>
          <w:bCs/>
          <w:kern w:val="0"/>
          <w:sz w:val="32"/>
          <w:szCs w:val="32"/>
        </w:rPr>
        <w:t>决算单位构成</w:t>
      </w:r>
    </w:p>
    <w:p>
      <w:pPr>
        <w:widowControl/>
        <w:spacing w:line="600" w:lineRule="exact"/>
        <w:ind w:firstLine="640" w:firstLineChars="200"/>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rPr>
        <w:t>（一）内设机构设置。岳阳县</w:t>
      </w:r>
      <w:r>
        <w:rPr>
          <w:rFonts w:hint="eastAsia" w:ascii="宋体" w:hAnsi="宋体" w:eastAsia="宋体" w:cs="宋体"/>
          <w:color w:val="000000"/>
          <w:kern w:val="0"/>
          <w:sz w:val="32"/>
          <w:szCs w:val="32"/>
          <w:lang w:val="en-US" w:eastAsia="zh-CN"/>
        </w:rPr>
        <w:t>旅游开发中心</w:t>
      </w:r>
      <w:r>
        <w:rPr>
          <w:rFonts w:hint="eastAsia" w:ascii="宋体" w:hAnsi="宋体" w:eastAsia="宋体" w:cs="宋体"/>
          <w:color w:val="000000"/>
          <w:kern w:val="0"/>
          <w:sz w:val="32"/>
          <w:szCs w:val="32"/>
        </w:rPr>
        <w:t>属</w:t>
      </w:r>
      <w:r>
        <w:rPr>
          <w:rFonts w:hint="eastAsia" w:ascii="宋体" w:hAnsi="宋体" w:eastAsia="宋体" w:cs="宋体"/>
          <w:color w:val="000000"/>
          <w:kern w:val="0"/>
          <w:sz w:val="32"/>
          <w:szCs w:val="32"/>
          <w:lang w:val="en-US" w:eastAsia="zh-CN"/>
        </w:rPr>
        <w:t>副科级公益一类</w:t>
      </w:r>
      <w:r>
        <w:rPr>
          <w:rFonts w:hint="eastAsia" w:ascii="宋体" w:hAnsi="宋体" w:eastAsia="宋体" w:cs="宋体"/>
          <w:color w:val="000000"/>
          <w:kern w:val="0"/>
          <w:sz w:val="32"/>
          <w:szCs w:val="32"/>
        </w:rPr>
        <w:t>事业单位，在职在编人数</w:t>
      </w:r>
      <w:r>
        <w:rPr>
          <w:rFonts w:hint="eastAsia" w:ascii="宋体" w:hAnsi="宋体" w:eastAsia="宋体" w:cs="宋体"/>
          <w:color w:val="000000"/>
          <w:kern w:val="0"/>
          <w:sz w:val="32"/>
          <w:szCs w:val="32"/>
          <w:lang w:val="en-US" w:eastAsia="zh-CN"/>
        </w:rPr>
        <w:t>5</w:t>
      </w:r>
      <w:r>
        <w:rPr>
          <w:rFonts w:hint="eastAsia" w:ascii="宋体" w:hAnsi="宋体" w:eastAsia="宋体" w:cs="宋体"/>
          <w:color w:val="000000"/>
          <w:kern w:val="0"/>
          <w:sz w:val="32"/>
          <w:szCs w:val="32"/>
        </w:rPr>
        <w:t>人，</w:t>
      </w:r>
      <w:r>
        <w:rPr>
          <w:rFonts w:hint="eastAsia" w:ascii="宋体" w:hAnsi="宋体" w:eastAsia="宋体" w:cs="宋体"/>
          <w:color w:val="000000"/>
          <w:kern w:val="0"/>
          <w:sz w:val="32"/>
          <w:szCs w:val="32"/>
          <w:lang w:val="en-US" w:eastAsia="zh-CN"/>
        </w:rPr>
        <w:t>无退休人员。</w:t>
      </w:r>
    </w:p>
    <w:p>
      <w:pPr>
        <w:widowControl/>
        <w:spacing w:line="600" w:lineRule="exact"/>
        <w:ind w:firstLine="640" w:firstLineChars="200"/>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（二）</w:t>
      </w:r>
      <w:r>
        <w:rPr>
          <w:rFonts w:hint="eastAsia" w:ascii="宋体" w:hAnsi="宋体" w:eastAsia="宋体" w:cs="宋体"/>
          <w:color w:val="000000"/>
          <w:kern w:val="0"/>
          <w:sz w:val="32"/>
          <w:szCs w:val="32"/>
          <w:highlight w:val="none"/>
        </w:rPr>
        <w:t>部门</w:t>
      </w:r>
      <w:r>
        <w:rPr>
          <w:rFonts w:hint="eastAsia" w:ascii="宋体" w:hAnsi="宋体" w:eastAsia="宋体" w:cs="宋体"/>
          <w:color w:val="000000"/>
          <w:kern w:val="0"/>
          <w:sz w:val="32"/>
          <w:szCs w:val="32"/>
        </w:rPr>
        <w:t>决算单位构成。</w:t>
      </w:r>
      <w:r>
        <w:rPr>
          <w:rFonts w:hint="eastAsia" w:ascii="宋体" w:hAnsi="宋体" w:eastAsia="宋体" w:cs="宋体"/>
          <w:color w:val="000000"/>
          <w:kern w:val="0"/>
          <w:sz w:val="32"/>
          <w:szCs w:val="32"/>
          <w:lang w:val="en-US" w:eastAsia="zh-CN"/>
        </w:rPr>
        <w:t>岳阳县旅游开发中心</w:t>
      </w:r>
      <w:r>
        <w:rPr>
          <w:rFonts w:hint="eastAsia" w:ascii="宋体" w:hAnsi="宋体" w:eastAsia="宋体" w:cs="宋体"/>
          <w:color w:val="000000"/>
          <w:kern w:val="0"/>
          <w:sz w:val="32"/>
          <w:szCs w:val="32"/>
        </w:rPr>
        <w:t>202</w:t>
      </w:r>
      <w:r>
        <w:rPr>
          <w:rFonts w:hint="eastAsia" w:ascii="宋体" w:hAnsi="宋体" w:eastAsia="宋体" w:cs="宋体"/>
          <w:color w:val="000000"/>
          <w:kern w:val="0"/>
          <w:sz w:val="32"/>
          <w:szCs w:val="32"/>
          <w:lang w:val="en-US" w:eastAsia="zh-CN"/>
        </w:rPr>
        <w:t>1</w:t>
      </w:r>
      <w:r>
        <w:rPr>
          <w:rFonts w:hint="eastAsia" w:ascii="宋体" w:hAnsi="宋体" w:eastAsia="宋体" w:cs="宋体"/>
          <w:color w:val="000000"/>
          <w:kern w:val="0"/>
          <w:sz w:val="32"/>
          <w:szCs w:val="32"/>
        </w:rPr>
        <w:t>年部门决算汇总公开单位构成包括：岳阳县旅游开发中心</w:t>
      </w:r>
      <w:r>
        <w:rPr>
          <w:rFonts w:hint="eastAsia" w:ascii="宋体" w:hAnsi="宋体" w:eastAsia="宋体" w:cs="宋体"/>
          <w:color w:val="000000"/>
          <w:kern w:val="0"/>
          <w:sz w:val="32"/>
          <w:szCs w:val="32"/>
          <w:lang w:val="en-US" w:eastAsia="zh-CN"/>
        </w:rPr>
        <w:t>本级，</w:t>
      </w:r>
      <w:r>
        <w:rPr>
          <w:rFonts w:hint="eastAsia" w:ascii="宋体" w:hAnsi="宋体" w:eastAsia="宋体" w:cs="宋体"/>
          <w:color w:val="000000"/>
          <w:kern w:val="0"/>
          <w:sz w:val="32"/>
          <w:szCs w:val="32"/>
        </w:rPr>
        <w:t>本单位没有所属二级机构，因此</w:t>
      </w:r>
      <w:r>
        <w:rPr>
          <w:rFonts w:hint="eastAsia" w:ascii="宋体" w:hAnsi="宋体" w:eastAsia="宋体" w:cs="宋体"/>
          <w:color w:val="000000"/>
          <w:kern w:val="0"/>
          <w:sz w:val="32"/>
          <w:szCs w:val="32"/>
          <w:lang w:eastAsia="zh-CN"/>
        </w:rPr>
        <w:t>本</w:t>
      </w:r>
      <w:r>
        <w:rPr>
          <w:rFonts w:hint="eastAsia" w:ascii="宋体" w:hAnsi="宋体" w:eastAsia="宋体" w:cs="宋体"/>
          <w:color w:val="000000"/>
          <w:kern w:val="0"/>
          <w:sz w:val="32"/>
          <w:szCs w:val="32"/>
        </w:rPr>
        <w:t>年度部门预算仅为本级部门预算。</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outlineLvl w:val="0"/>
        <w:rPr>
          <w:sz w:val="72"/>
          <w:szCs w:val="72"/>
        </w:rPr>
      </w:pPr>
      <w:r>
        <w:rPr>
          <w:rFonts w:hint="eastAsia"/>
          <w:sz w:val="72"/>
          <w:szCs w:val="72"/>
        </w:rPr>
        <w:t>部门决算表</w:t>
      </w:r>
    </w:p>
    <w:p>
      <w:pPr>
        <w:jc w:val="center"/>
        <w:rPr>
          <w:rFonts w:hint="eastAsia" w:eastAsiaTheme="minorEastAsia"/>
          <w:sz w:val="72"/>
          <w:szCs w:val="72"/>
          <w:lang w:eastAsia="zh-CN"/>
        </w:rPr>
      </w:pPr>
      <w:r>
        <w:rPr>
          <w:rFonts w:hint="eastAsia"/>
          <w:sz w:val="72"/>
          <w:szCs w:val="72"/>
          <w:lang w:eastAsia="zh-CN"/>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outlineLvl w:val="0"/>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outlineLvl w:val="0"/>
        <w:rPr>
          <w:rFonts w:hAnsi="黑体"/>
          <w:b/>
          <w:sz w:val="32"/>
          <w:szCs w:val="32"/>
        </w:rPr>
      </w:pPr>
      <w:r>
        <w:rPr>
          <w:rFonts w:hint="eastAsia" w:hAnsi="黑体"/>
          <w:b/>
          <w:sz w:val="32"/>
          <w:szCs w:val="32"/>
        </w:rPr>
        <w:t>一、收入支出决算总体情况说明</w:t>
      </w:r>
    </w:p>
    <w:p>
      <w:pPr>
        <w:widowControl/>
        <w:spacing w:line="600" w:lineRule="exact"/>
        <w:ind w:firstLine="640" w:firstLineChars="200"/>
        <w:rPr>
          <w:rFonts w:hint="eastAsia" w:ascii="宋体" w:hAnsi="宋体" w:eastAsia="宋体" w:cs="宋体"/>
          <w:color w:val="auto"/>
          <w:kern w:val="0"/>
          <w:sz w:val="32"/>
          <w:szCs w:val="32"/>
          <w:lang w:val="zh-CN"/>
        </w:rPr>
      </w:pPr>
      <w:r>
        <w:rPr>
          <w:rFonts w:hint="eastAsia" w:ascii="宋体" w:hAnsi="宋体" w:eastAsia="宋体" w:cs="宋体"/>
          <w:color w:val="auto"/>
          <w:sz w:val="32"/>
          <w:szCs w:val="32"/>
        </w:rPr>
        <w:t>2021年度收入总计</w:t>
      </w:r>
      <w:r>
        <w:rPr>
          <w:rFonts w:hint="eastAsia" w:ascii="宋体" w:hAnsi="宋体" w:eastAsia="宋体" w:cs="宋体"/>
          <w:color w:val="auto"/>
          <w:sz w:val="32"/>
          <w:szCs w:val="32"/>
          <w:lang w:val="en-US" w:eastAsia="zh-CN"/>
        </w:rPr>
        <w:t>200.4</w:t>
      </w:r>
      <w:r>
        <w:rPr>
          <w:rFonts w:hint="eastAsia" w:ascii="宋体" w:hAnsi="宋体" w:eastAsia="宋体" w:cs="宋体"/>
          <w:color w:val="auto"/>
          <w:sz w:val="32"/>
          <w:szCs w:val="32"/>
        </w:rPr>
        <w:t>万元</w:t>
      </w:r>
      <w:r>
        <w:rPr>
          <w:rFonts w:hint="eastAsia" w:ascii="宋体" w:hAnsi="宋体" w:eastAsia="宋体" w:cs="宋体"/>
          <w:b w:val="0"/>
          <w:bCs w:val="0"/>
          <w:color w:val="auto"/>
          <w:sz w:val="32"/>
          <w:szCs w:val="32"/>
        </w:rPr>
        <w:t>（含年初结转和结余资金</w:t>
      </w:r>
      <w:r>
        <w:rPr>
          <w:rFonts w:hint="eastAsia" w:ascii="宋体" w:hAnsi="宋体" w:eastAsia="宋体" w:cs="宋体"/>
          <w:b w:val="0"/>
          <w:bCs w:val="0"/>
          <w:color w:val="auto"/>
          <w:sz w:val="32"/>
          <w:szCs w:val="32"/>
          <w:lang w:val="en-US" w:eastAsia="zh-CN"/>
        </w:rPr>
        <w:t>22.76万元</w:t>
      </w:r>
      <w:r>
        <w:rPr>
          <w:rFonts w:hint="eastAsia" w:ascii="宋体" w:hAnsi="宋体" w:eastAsia="宋体" w:cs="宋体"/>
          <w:b w:val="0"/>
          <w:bCs w:val="0"/>
          <w:color w:val="auto"/>
          <w:sz w:val="32"/>
          <w:szCs w:val="32"/>
        </w:rPr>
        <w:t>），</w:t>
      </w:r>
      <w:r>
        <w:rPr>
          <w:rFonts w:hint="eastAsia" w:ascii="宋体" w:hAnsi="宋体" w:eastAsia="宋体" w:cs="宋体"/>
          <w:color w:val="auto"/>
          <w:sz w:val="32"/>
          <w:szCs w:val="32"/>
        </w:rPr>
        <w:t>与上年相比，增长</w:t>
      </w:r>
      <w:r>
        <w:rPr>
          <w:rFonts w:hint="eastAsia" w:ascii="宋体" w:hAnsi="宋体" w:eastAsia="宋体" w:cs="宋体"/>
          <w:color w:val="auto"/>
          <w:sz w:val="32"/>
          <w:szCs w:val="32"/>
          <w:lang w:val="en-US" w:eastAsia="zh-CN"/>
        </w:rPr>
        <w:t>41.17</w:t>
      </w:r>
      <w:r>
        <w:rPr>
          <w:rFonts w:hint="eastAsia" w:ascii="宋体" w:hAnsi="宋体" w:eastAsia="宋体" w:cs="宋体"/>
          <w:color w:val="auto"/>
          <w:sz w:val="32"/>
          <w:szCs w:val="32"/>
        </w:rPr>
        <w:t>万元，增长</w:t>
      </w:r>
      <w:r>
        <w:rPr>
          <w:rFonts w:hint="eastAsia" w:ascii="宋体" w:hAnsi="宋体" w:eastAsia="宋体" w:cs="宋体"/>
          <w:color w:val="auto"/>
          <w:sz w:val="32"/>
          <w:szCs w:val="32"/>
          <w:lang w:val="en-US" w:eastAsia="zh-CN"/>
        </w:rPr>
        <w:t>26</w:t>
      </w:r>
      <w:r>
        <w:rPr>
          <w:rFonts w:hint="eastAsia" w:ascii="宋体" w:hAnsi="宋体" w:eastAsia="宋体" w:cs="宋体"/>
          <w:color w:val="auto"/>
          <w:sz w:val="32"/>
          <w:szCs w:val="32"/>
        </w:rPr>
        <w:t>%，</w:t>
      </w:r>
      <w:r>
        <w:rPr>
          <w:rFonts w:hint="eastAsia" w:ascii="宋体" w:hAnsi="宋体" w:eastAsia="宋体" w:cs="宋体"/>
          <w:color w:val="auto"/>
          <w:kern w:val="0"/>
          <w:sz w:val="32"/>
          <w:szCs w:val="32"/>
          <w:lang w:val="en-US" w:eastAsia="zh-CN"/>
        </w:rPr>
        <w:t>主要原因是人员和旅游营销活动经费增加</w:t>
      </w:r>
      <w:r>
        <w:rPr>
          <w:rFonts w:hint="eastAsia" w:ascii="宋体" w:hAnsi="宋体" w:eastAsia="宋体" w:cs="宋体"/>
          <w:color w:val="auto"/>
          <w:kern w:val="0"/>
          <w:sz w:val="32"/>
          <w:szCs w:val="32"/>
          <w:lang w:val="zh-CN"/>
        </w:rPr>
        <w:t>。</w:t>
      </w:r>
    </w:p>
    <w:p>
      <w:pPr>
        <w:widowControl/>
        <w:spacing w:line="600" w:lineRule="exact"/>
        <w:ind w:firstLine="640" w:firstLineChars="200"/>
        <w:rPr>
          <w:rFonts w:hint="eastAsia" w:ascii="宋体" w:hAnsi="宋体" w:eastAsia="宋体" w:cs="宋体"/>
          <w:color w:val="auto"/>
          <w:kern w:val="0"/>
          <w:sz w:val="32"/>
          <w:szCs w:val="32"/>
          <w:lang w:val="zh-CN"/>
        </w:rPr>
      </w:pPr>
      <w:r>
        <w:rPr>
          <w:rFonts w:hint="eastAsia" w:ascii="宋体" w:hAnsi="宋体" w:eastAsia="宋体" w:cs="宋体"/>
          <w:color w:val="auto"/>
          <w:sz w:val="32"/>
          <w:szCs w:val="32"/>
        </w:rPr>
        <w:t>2021年度支出总计</w:t>
      </w:r>
      <w:r>
        <w:rPr>
          <w:rFonts w:hint="eastAsia" w:ascii="宋体" w:hAnsi="宋体" w:eastAsia="宋体" w:cs="宋体"/>
          <w:color w:val="auto"/>
          <w:sz w:val="32"/>
          <w:szCs w:val="32"/>
          <w:lang w:val="en-US" w:eastAsia="zh-CN"/>
        </w:rPr>
        <w:t>200.4</w:t>
      </w:r>
      <w:r>
        <w:rPr>
          <w:rFonts w:hint="eastAsia" w:ascii="宋体" w:hAnsi="宋体" w:eastAsia="宋体" w:cs="宋体"/>
          <w:color w:val="auto"/>
          <w:sz w:val="32"/>
          <w:szCs w:val="32"/>
        </w:rPr>
        <w:t>万元</w:t>
      </w:r>
      <w:r>
        <w:rPr>
          <w:rFonts w:hint="eastAsia" w:ascii="宋体" w:hAnsi="宋体" w:eastAsia="宋体" w:cs="宋体"/>
          <w:b w:val="0"/>
          <w:bCs w:val="0"/>
          <w:color w:val="auto"/>
          <w:sz w:val="32"/>
          <w:szCs w:val="32"/>
        </w:rPr>
        <w:t>（含年末结转和结余资金</w:t>
      </w:r>
      <w:r>
        <w:rPr>
          <w:rFonts w:hint="eastAsia" w:ascii="宋体" w:hAnsi="宋体" w:eastAsia="宋体" w:cs="宋体"/>
          <w:b w:val="0"/>
          <w:bCs w:val="0"/>
          <w:color w:val="auto"/>
          <w:sz w:val="32"/>
          <w:szCs w:val="32"/>
          <w:lang w:val="en-US" w:eastAsia="zh-CN"/>
        </w:rPr>
        <w:t>39.18万元</w:t>
      </w:r>
      <w:r>
        <w:rPr>
          <w:rFonts w:hint="eastAsia" w:ascii="宋体" w:hAnsi="宋体" w:eastAsia="宋体" w:cs="宋体"/>
          <w:b w:val="0"/>
          <w:bCs w:val="0"/>
          <w:color w:val="auto"/>
          <w:sz w:val="32"/>
          <w:szCs w:val="32"/>
        </w:rPr>
        <w:t>），</w:t>
      </w:r>
      <w:r>
        <w:rPr>
          <w:rFonts w:hint="eastAsia" w:ascii="宋体" w:hAnsi="宋体" w:eastAsia="宋体" w:cs="宋体"/>
          <w:color w:val="auto"/>
          <w:sz w:val="32"/>
          <w:szCs w:val="32"/>
        </w:rPr>
        <w:t>与上年相比，增长</w:t>
      </w:r>
      <w:r>
        <w:rPr>
          <w:rFonts w:hint="eastAsia" w:ascii="宋体" w:hAnsi="宋体" w:eastAsia="宋体" w:cs="宋体"/>
          <w:color w:val="auto"/>
          <w:sz w:val="32"/>
          <w:szCs w:val="32"/>
          <w:lang w:val="en-US" w:eastAsia="zh-CN"/>
        </w:rPr>
        <w:t>41.17</w:t>
      </w:r>
      <w:r>
        <w:rPr>
          <w:rFonts w:hint="eastAsia" w:ascii="宋体" w:hAnsi="宋体" w:eastAsia="宋体" w:cs="宋体"/>
          <w:color w:val="auto"/>
          <w:sz w:val="32"/>
          <w:szCs w:val="32"/>
        </w:rPr>
        <w:t>万元，增长</w:t>
      </w:r>
      <w:r>
        <w:rPr>
          <w:rFonts w:hint="eastAsia" w:ascii="宋体" w:hAnsi="宋体" w:eastAsia="宋体" w:cs="宋体"/>
          <w:color w:val="auto"/>
          <w:sz w:val="32"/>
          <w:szCs w:val="32"/>
          <w:lang w:val="en-US" w:eastAsia="zh-CN"/>
        </w:rPr>
        <w:t>26</w:t>
      </w:r>
      <w:r>
        <w:rPr>
          <w:rFonts w:hint="eastAsia" w:ascii="宋体" w:hAnsi="宋体" w:eastAsia="宋体" w:cs="宋体"/>
          <w:color w:val="auto"/>
          <w:sz w:val="32"/>
          <w:szCs w:val="32"/>
        </w:rPr>
        <w:t>%，主要是因为</w:t>
      </w:r>
      <w:r>
        <w:rPr>
          <w:rFonts w:hint="eastAsia" w:ascii="宋体" w:hAnsi="宋体" w:eastAsia="宋体" w:cs="宋体"/>
          <w:color w:val="auto"/>
          <w:kern w:val="0"/>
          <w:sz w:val="32"/>
          <w:szCs w:val="32"/>
          <w:lang w:val="en-US" w:eastAsia="zh-CN"/>
        </w:rPr>
        <w:t>是人员和旅游营销活动经费增加</w:t>
      </w:r>
      <w:r>
        <w:rPr>
          <w:rFonts w:hint="eastAsia" w:ascii="宋体" w:hAnsi="宋体" w:eastAsia="宋体" w:cs="宋体"/>
          <w:color w:val="auto"/>
          <w:kern w:val="0"/>
          <w:sz w:val="32"/>
          <w:szCs w:val="32"/>
          <w:lang w:val="zh-CN"/>
        </w:rPr>
        <w:t>。</w:t>
      </w:r>
    </w:p>
    <w:p>
      <w:pPr>
        <w:pStyle w:val="10"/>
        <w:outlineLvl w:val="0"/>
        <w:rPr>
          <w:rFonts w:hAnsi="黑体"/>
          <w:b/>
          <w:sz w:val="32"/>
          <w:szCs w:val="32"/>
        </w:rPr>
      </w:pPr>
      <w:r>
        <w:rPr>
          <w:rFonts w:hint="eastAsia" w:hAnsi="黑体"/>
          <w:b/>
          <w:sz w:val="32"/>
          <w:szCs w:val="32"/>
        </w:rPr>
        <w:t>二、收入决算情况说明</w:t>
      </w:r>
    </w:p>
    <w:p>
      <w:pPr>
        <w:pStyle w:val="10"/>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2021年度</w:t>
      </w:r>
      <w:r>
        <w:rPr>
          <w:rFonts w:hint="eastAsia" w:ascii="宋体" w:hAnsi="宋体" w:eastAsia="宋体" w:cs="宋体"/>
          <w:sz w:val="32"/>
          <w:szCs w:val="32"/>
        </w:rPr>
        <w:t>收入合计</w:t>
      </w:r>
      <w:r>
        <w:rPr>
          <w:rFonts w:hint="eastAsia" w:ascii="宋体" w:hAnsi="宋体" w:eastAsia="宋体" w:cs="宋体"/>
          <w:sz w:val="32"/>
          <w:szCs w:val="32"/>
          <w:lang w:val="en-US" w:eastAsia="zh-CN"/>
        </w:rPr>
        <w:t>177.</w:t>
      </w:r>
      <w:r>
        <w:rPr>
          <w:rFonts w:hint="eastAsia" w:ascii="宋体" w:hAnsi="宋体" w:eastAsia="宋体" w:cs="宋体"/>
          <w:color w:val="auto"/>
          <w:sz w:val="32"/>
          <w:szCs w:val="32"/>
          <w:lang w:val="en-US" w:eastAsia="zh-CN"/>
        </w:rPr>
        <w:t>63</w:t>
      </w:r>
      <w:r>
        <w:rPr>
          <w:rFonts w:hint="eastAsia" w:ascii="宋体" w:hAnsi="宋体" w:eastAsia="宋体" w:cs="宋体"/>
          <w:color w:val="auto"/>
          <w:sz w:val="32"/>
          <w:szCs w:val="32"/>
        </w:rPr>
        <w:t>万元</w:t>
      </w:r>
      <w:r>
        <w:rPr>
          <w:rFonts w:hint="eastAsia" w:ascii="宋体" w:hAnsi="宋体" w:eastAsia="宋体" w:cs="宋体"/>
          <w:b w:val="0"/>
          <w:bCs w:val="0"/>
          <w:color w:val="auto"/>
          <w:sz w:val="32"/>
          <w:szCs w:val="32"/>
        </w:rPr>
        <w:t>（不含年初结转和结余资金）</w:t>
      </w:r>
      <w:r>
        <w:rPr>
          <w:rFonts w:hint="eastAsia" w:ascii="宋体" w:hAnsi="宋体" w:eastAsia="宋体" w:cs="宋体"/>
          <w:sz w:val="32"/>
          <w:szCs w:val="32"/>
        </w:rPr>
        <w:t>，其中：财政拨款收入</w:t>
      </w:r>
      <w:r>
        <w:rPr>
          <w:rFonts w:hint="eastAsia" w:ascii="宋体" w:hAnsi="宋体" w:eastAsia="宋体" w:cs="宋体"/>
          <w:sz w:val="32"/>
          <w:szCs w:val="32"/>
          <w:lang w:val="en-US" w:eastAsia="zh-CN"/>
        </w:rPr>
        <w:t>48.73</w:t>
      </w:r>
      <w:r>
        <w:rPr>
          <w:rFonts w:hint="eastAsia" w:ascii="宋体" w:hAnsi="宋体" w:eastAsia="宋体" w:cs="宋体"/>
          <w:sz w:val="32"/>
          <w:szCs w:val="32"/>
        </w:rPr>
        <w:t>万元，占</w:t>
      </w:r>
      <w:r>
        <w:rPr>
          <w:rFonts w:hint="eastAsia" w:ascii="宋体" w:hAnsi="宋体" w:eastAsia="宋体" w:cs="宋体"/>
          <w:sz w:val="32"/>
          <w:szCs w:val="32"/>
          <w:lang w:val="en-US" w:eastAsia="zh-CN"/>
        </w:rPr>
        <w:t>27</w:t>
      </w:r>
      <w:r>
        <w:rPr>
          <w:rFonts w:hint="eastAsia" w:ascii="宋体" w:hAnsi="宋体" w:eastAsia="宋体" w:cs="宋体"/>
          <w:sz w:val="32"/>
          <w:szCs w:val="32"/>
        </w:rPr>
        <w:t>%；上级补助收入</w:t>
      </w:r>
      <w:r>
        <w:rPr>
          <w:rFonts w:hint="eastAsia" w:ascii="宋体" w:hAnsi="宋体" w:eastAsia="宋体" w:cs="宋体"/>
          <w:sz w:val="32"/>
          <w:szCs w:val="32"/>
          <w:lang w:val="en-US" w:eastAsia="zh-CN"/>
        </w:rPr>
        <w:t>0</w:t>
      </w:r>
      <w:r>
        <w:rPr>
          <w:rFonts w:hint="eastAsia" w:ascii="宋体" w:hAnsi="宋体" w:eastAsia="宋体" w:cs="宋体"/>
          <w:sz w:val="32"/>
          <w:szCs w:val="32"/>
        </w:rPr>
        <w:t>万元，占</w:t>
      </w:r>
      <w:r>
        <w:rPr>
          <w:rFonts w:hint="eastAsia" w:ascii="宋体" w:hAnsi="宋体" w:eastAsia="宋体" w:cs="宋体"/>
          <w:sz w:val="32"/>
          <w:szCs w:val="32"/>
          <w:lang w:val="en-US" w:eastAsia="zh-CN"/>
        </w:rPr>
        <w:t>0</w:t>
      </w:r>
      <w:r>
        <w:rPr>
          <w:rFonts w:hint="eastAsia" w:ascii="宋体" w:hAnsi="宋体" w:eastAsia="宋体" w:cs="宋体"/>
          <w:sz w:val="32"/>
          <w:szCs w:val="32"/>
        </w:rPr>
        <w:t>%；事业收入</w:t>
      </w:r>
      <w:r>
        <w:rPr>
          <w:rFonts w:hint="eastAsia" w:ascii="宋体" w:hAnsi="宋体" w:eastAsia="宋体" w:cs="宋体"/>
          <w:sz w:val="32"/>
          <w:szCs w:val="32"/>
          <w:lang w:val="en-US" w:eastAsia="zh-CN"/>
        </w:rPr>
        <w:t>0</w:t>
      </w:r>
      <w:r>
        <w:rPr>
          <w:rFonts w:hint="eastAsia" w:ascii="宋体" w:hAnsi="宋体" w:eastAsia="宋体" w:cs="宋体"/>
          <w:sz w:val="32"/>
          <w:szCs w:val="32"/>
        </w:rPr>
        <w:t>万元，占</w:t>
      </w:r>
      <w:r>
        <w:rPr>
          <w:rFonts w:hint="eastAsia" w:ascii="宋体" w:hAnsi="宋体" w:eastAsia="宋体" w:cs="宋体"/>
          <w:sz w:val="32"/>
          <w:szCs w:val="32"/>
          <w:lang w:val="en-US" w:eastAsia="zh-CN"/>
        </w:rPr>
        <w:t>0</w:t>
      </w:r>
      <w:r>
        <w:rPr>
          <w:rFonts w:hint="eastAsia" w:ascii="宋体" w:hAnsi="宋体" w:eastAsia="宋体" w:cs="宋体"/>
          <w:sz w:val="32"/>
          <w:szCs w:val="32"/>
        </w:rPr>
        <w:t>%；经营收入</w:t>
      </w:r>
      <w:r>
        <w:rPr>
          <w:rFonts w:hint="eastAsia" w:ascii="宋体" w:hAnsi="宋体" w:eastAsia="宋体" w:cs="宋体"/>
          <w:sz w:val="32"/>
          <w:szCs w:val="32"/>
          <w:lang w:val="en-US" w:eastAsia="zh-CN"/>
        </w:rPr>
        <w:t>0</w:t>
      </w:r>
      <w:r>
        <w:rPr>
          <w:rFonts w:hint="eastAsia" w:ascii="宋体" w:hAnsi="宋体" w:eastAsia="宋体" w:cs="宋体"/>
          <w:sz w:val="32"/>
          <w:szCs w:val="32"/>
        </w:rPr>
        <w:t>万元，占</w:t>
      </w:r>
      <w:r>
        <w:rPr>
          <w:rFonts w:hint="eastAsia" w:ascii="宋体" w:hAnsi="宋体" w:eastAsia="宋体" w:cs="宋体"/>
          <w:sz w:val="32"/>
          <w:szCs w:val="32"/>
          <w:lang w:val="en-US" w:eastAsia="zh-CN"/>
        </w:rPr>
        <w:t>0</w:t>
      </w:r>
      <w:r>
        <w:rPr>
          <w:rFonts w:hint="eastAsia" w:ascii="宋体" w:hAnsi="宋体" w:eastAsia="宋体" w:cs="宋体"/>
          <w:sz w:val="32"/>
          <w:szCs w:val="32"/>
        </w:rPr>
        <w:t>%；附属单位上缴收入</w:t>
      </w:r>
      <w:r>
        <w:rPr>
          <w:rFonts w:hint="eastAsia" w:ascii="宋体" w:hAnsi="宋体" w:eastAsia="宋体" w:cs="宋体"/>
          <w:sz w:val="32"/>
          <w:szCs w:val="32"/>
          <w:lang w:val="en-US" w:eastAsia="zh-CN"/>
        </w:rPr>
        <w:t>0</w:t>
      </w:r>
      <w:r>
        <w:rPr>
          <w:rFonts w:hint="eastAsia" w:ascii="宋体" w:hAnsi="宋体" w:eastAsia="宋体" w:cs="宋体"/>
          <w:sz w:val="32"/>
          <w:szCs w:val="32"/>
        </w:rPr>
        <w:t>万元，占</w:t>
      </w:r>
      <w:r>
        <w:rPr>
          <w:rFonts w:hint="eastAsia" w:ascii="宋体" w:hAnsi="宋体" w:eastAsia="宋体" w:cs="宋体"/>
          <w:sz w:val="32"/>
          <w:szCs w:val="32"/>
          <w:lang w:val="en-US" w:eastAsia="zh-CN"/>
        </w:rPr>
        <w:t>0</w:t>
      </w:r>
      <w:r>
        <w:rPr>
          <w:rFonts w:hint="eastAsia" w:ascii="宋体" w:hAnsi="宋体" w:eastAsia="宋体" w:cs="宋体"/>
          <w:sz w:val="32"/>
          <w:szCs w:val="32"/>
        </w:rPr>
        <w:t>%；其他收入</w:t>
      </w:r>
      <w:r>
        <w:rPr>
          <w:rFonts w:hint="eastAsia" w:ascii="宋体" w:hAnsi="宋体" w:eastAsia="宋体" w:cs="宋体"/>
          <w:sz w:val="32"/>
          <w:szCs w:val="32"/>
          <w:lang w:val="en-US" w:eastAsia="zh-CN"/>
        </w:rPr>
        <w:t>128.9</w:t>
      </w:r>
      <w:r>
        <w:rPr>
          <w:rFonts w:hint="eastAsia" w:ascii="宋体" w:hAnsi="宋体" w:eastAsia="宋体" w:cs="宋体"/>
          <w:sz w:val="32"/>
          <w:szCs w:val="32"/>
        </w:rPr>
        <w:t>万元，占</w:t>
      </w:r>
      <w:r>
        <w:rPr>
          <w:rFonts w:hint="eastAsia" w:ascii="宋体" w:hAnsi="宋体" w:eastAsia="宋体" w:cs="宋体"/>
          <w:sz w:val="32"/>
          <w:szCs w:val="32"/>
          <w:lang w:val="en-US" w:eastAsia="zh-CN"/>
        </w:rPr>
        <w:t>73</w:t>
      </w:r>
      <w:r>
        <w:rPr>
          <w:rFonts w:hint="eastAsia" w:ascii="宋体" w:hAnsi="宋体" w:eastAsia="宋体" w:cs="宋体"/>
          <w:sz w:val="32"/>
          <w:szCs w:val="32"/>
        </w:rPr>
        <w:t>%。</w:t>
      </w:r>
    </w:p>
    <w:p>
      <w:pPr>
        <w:pStyle w:val="10"/>
        <w:outlineLvl w:val="0"/>
        <w:rPr>
          <w:rFonts w:hAnsi="黑体"/>
          <w:b/>
          <w:sz w:val="32"/>
          <w:szCs w:val="32"/>
        </w:rPr>
      </w:pPr>
      <w:r>
        <w:rPr>
          <w:rFonts w:hint="eastAsia" w:hAnsi="黑体"/>
          <w:b/>
          <w:sz w:val="32"/>
          <w:szCs w:val="32"/>
        </w:rPr>
        <w:t>三、支出决算情况说明</w:t>
      </w:r>
    </w:p>
    <w:p>
      <w:pPr>
        <w:pStyle w:val="10"/>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lang w:val="en-US" w:eastAsia="zh-CN"/>
        </w:rPr>
        <w:t>2021年度</w:t>
      </w:r>
      <w:r>
        <w:rPr>
          <w:rFonts w:hint="eastAsia" w:ascii="宋体" w:hAnsi="宋体" w:eastAsia="宋体" w:cs="宋体"/>
          <w:b w:val="0"/>
          <w:bCs w:val="0"/>
          <w:color w:val="auto"/>
          <w:sz w:val="32"/>
          <w:szCs w:val="32"/>
        </w:rPr>
        <w:t>支出合计</w:t>
      </w:r>
      <w:r>
        <w:rPr>
          <w:rFonts w:hint="eastAsia" w:ascii="宋体" w:hAnsi="宋体" w:eastAsia="宋体" w:cs="宋体"/>
          <w:b w:val="0"/>
          <w:bCs w:val="0"/>
          <w:color w:val="auto"/>
          <w:sz w:val="32"/>
          <w:szCs w:val="32"/>
          <w:lang w:val="en-US" w:eastAsia="zh-CN"/>
        </w:rPr>
        <w:t>161.22</w:t>
      </w:r>
      <w:r>
        <w:rPr>
          <w:rFonts w:hint="eastAsia" w:ascii="宋体" w:hAnsi="宋体" w:eastAsia="宋体" w:cs="宋体"/>
          <w:b w:val="0"/>
          <w:bCs w:val="0"/>
          <w:color w:val="auto"/>
          <w:sz w:val="32"/>
          <w:szCs w:val="32"/>
        </w:rPr>
        <w:t>万元（不含年末结转和结余资金），其中：基本支出</w:t>
      </w:r>
      <w:r>
        <w:rPr>
          <w:rFonts w:hint="eastAsia" w:ascii="宋体" w:hAnsi="宋体" w:eastAsia="宋体" w:cs="宋体"/>
          <w:b w:val="0"/>
          <w:bCs w:val="0"/>
          <w:color w:val="auto"/>
          <w:sz w:val="32"/>
          <w:szCs w:val="32"/>
          <w:lang w:val="en-US" w:eastAsia="zh-CN"/>
        </w:rPr>
        <w:t>61.67</w:t>
      </w:r>
      <w:r>
        <w:rPr>
          <w:rFonts w:hint="eastAsia" w:ascii="宋体" w:hAnsi="宋体" w:eastAsia="宋体" w:cs="宋体"/>
          <w:b w:val="0"/>
          <w:bCs w:val="0"/>
          <w:color w:val="auto"/>
          <w:sz w:val="32"/>
          <w:szCs w:val="32"/>
        </w:rPr>
        <w:t>万元，占</w:t>
      </w:r>
      <w:r>
        <w:rPr>
          <w:rFonts w:hint="eastAsia" w:ascii="宋体" w:hAnsi="宋体" w:eastAsia="宋体" w:cs="宋体"/>
          <w:b w:val="0"/>
          <w:bCs w:val="0"/>
          <w:color w:val="auto"/>
          <w:sz w:val="32"/>
          <w:szCs w:val="32"/>
          <w:lang w:val="en-US" w:eastAsia="zh-CN"/>
        </w:rPr>
        <w:t>38</w:t>
      </w:r>
      <w:r>
        <w:rPr>
          <w:rFonts w:hint="eastAsia" w:ascii="宋体" w:hAnsi="宋体" w:eastAsia="宋体" w:cs="宋体"/>
          <w:b w:val="0"/>
          <w:bCs w:val="0"/>
          <w:color w:val="auto"/>
          <w:sz w:val="32"/>
          <w:szCs w:val="32"/>
        </w:rPr>
        <w:t>%；项目支出</w:t>
      </w:r>
      <w:r>
        <w:rPr>
          <w:rFonts w:hint="eastAsia" w:ascii="宋体" w:hAnsi="宋体" w:eastAsia="宋体" w:cs="宋体"/>
          <w:b w:val="0"/>
          <w:bCs w:val="0"/>
          <w:color w:val="auto"/>
          <w:sz w:val="32"/>
          <w:szCs w:val="32"/>
          <w:lang w:val="en-US" w:eastAsia="zh-CN"/>
        </w:rPr>
        <w:t>99.55</w:t>
      </w:r>
      <w:r>
        <w:rPr>
          <w:rFonts w:hint="eastAsia" w:ascii="宋体" w:hAnsi="宋体" w:eastAsia="宋体" w:cs="宋体"/>
          <w:b w:val="0"/>
          <w:bCs w:val="0"/>
          <w:color w:val="auto"/>
          <w:sz w:val="32"/>
          <w:szCs w:val="32"/>
        </w:rPr>
        <w:t>万元，占</w:t>
      </w:r>
      <w:r>
        <w:rPr>
          <w:rFonts w:hint="eastAsia" w:ascii="宋体" w:hAnsi="宋体" w:eastAsia="宋体" w:cs="宋体"/>
          <w:b w:val="0"/>
          <w:bCs w:val="0"/>
          <w:color w:val="auto"/>
          <w:sz w:val="32"/>
          <w:szCs w:val="32"/>
          <w:lang w:val="en-US" w:eastAsia="zh-CN"/>
        </w:rPr>
        <w:t>62</w:t>
      </w:r>
      <w:r>
        <w:rPr>
          <w:rFonts w:hint="eastAsia" w:ascii="宋体" w:hAnsi="宋体" w:eastAsia="宋体" w:cs="宋体"/>
          <w:b w:val="0"/>
          <w:bCs w:val="0"/>
          <w:color w:val="auto"/>
          <w:sz w:val="32"/>
          <w:szCs w:val="32"/>
        </w:rPr>
        <w:t>%；上缴上级支出</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万元，占</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%；经营支出</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万元，占</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%；对附属单位补助支出</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万元，占</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ind w:firstLine="640"/>
        <w:rPr>
          <w:rFonts w:ascii="宋体" w:hAnsi="宋体" w:eastAsia="宋体"/>
          <w:sz w:val="32"/>
          <w:szCs w:val="32"/>
        </w:rPr>
      </w:pPr>
      <w:r>
        <w:rPr>
          <w:rFonts w:hint="eastAsia" w:ascii="宋体" w:hAnsi="宋体" w:eastAsia="宋体"/>
          <w:sz w:val="32"/>
          <w:szCs w:val="32"/>
        </w:rPr>
        <w:t>2021年度财政拨款收入合计</w:t>
      </w:r>
      <w:r>
        <w:rPr>
          <w:rFonts w:hint="eastAsia" w:ascii="宋体" w:hAnsi="宋体" w:eastAsia="宋体"/>
          <w:sz w:val="32"/>
          <w:szCs w:val="32"/>
          <w:lang w:val="en-US" w:eastAsia="zh-CN"/>
        </w:rPr>
        <w:t>48.73</w:t>
      </w:r>
      <w:r>
        <w:rPr>
          <w:rFonts w:hint="eastAsia" w:ascii="宋体" w:hAnsi="宋体" w:eastAsia="宋体"/>
          <w:sz w:val="32"/>
          <w:szCs w:val="32"/>
        </w:rPr>
        <w:t>万元（不含年初财政拨款结转和结余资金</w:t>
      </w:r>
      <w:r>
        <w:rPr>
          <w:rFonts w:hint="eastAsia" w:ascii="宋体" w:hAnsi="宋体" w:eastAsia="宋体"/>
          <w:sz w:val="32"/>
          <w:szCs w:val="32"/>
          <w:lang w:val="en-US" w:eastAsia="zh-CN"/>
        </w:rPr>
        <w:t>17.75万元</w:t>
      </w:r>
      <w:r>
        <w:rPr>
          <w:rFonts w:hint="eastAsia" w:ascii="宋体" w:hAnsi="宋体" w:eastAsia="宋体"/>
          <w:sz w:val="32"/>
          <w:szCs w:val="32"/>
        </w:rPr>
        <w:t>），与上年相比，减少</w:t>
      </w:r>
      <w:r>
        <w:rPr>
          <w:rFonts w:hint="eastAsia" w:ascii="宋体" w:hAnsi="宋体" w:eastAsia="宋体"/>
          <w:sz w:val="32"/>
          <w:szCs w:val="32"/>
          <w:lang w:val="en-US" w:eastAsia="zh-CN"/>
        </w:rPr>
        <w:t>71.19</w:t>
      </w:r>
      <w:r>
        <w:rPr>
          <w:rFonts w:hint="eastAsia" w:ascii="宋体" w:hAnsi="宋体" w:eastAsia="宋体"/>
          <w:sz w:val="32"/>
          <w:szCs w:val="32"/>
        </w:rPr>
        <w:t>万元,</w:t>
      </w:r>
      <w:r>
        <w:rPr>
          <w:rFonts w:hint="eastAsia" w:ascii="宋体" w:hAnsi="宋体" w:eastAsia="宋体"/>
          <w:sz w:val="32"/>
          <w:szCs w:val="32"/>
          <w:lang w:val="en-US" w:eastAsia="zh-CN"/>
        </w:rPr>
        <w:t xml:space="preserve"> 减少60</w:t>
      </w:r>
      <w:r>
        <w:rPr>
          <w:rFonts w:hint="eastAsia" w:ascii="宋体" w:hAnsi="宋体" w:eastAsia="宋体"/>
          <w:sz w:val="32"/>
          <w:szCs w:val="32"/>
        </w:rPr>
        <w:t>%，主要是</w:t>
      </w:r>
      <w:r>
        <w:rPr>
          <w:rFonts w:hint="eastAsia" w:ascii="宋体" w:hAnsi="宋体" w:eastAsia="宋体"/>
          <w:sz w:val="32"/>
          <w:szCs w:val="32"/>
          <w:lang w:val="en-US" w:eastAsia="zh-CN"/>
        </w:rPr>
        <w:t>旅游项目经费减少</w:t>
      </w:r>
      <w:r>
        <w:rPr>
          <w:rFonts w:hint="eastAsia" w:ascii="宋体" w:hAnsi="宋体" w:eastAsia="宋体"/>
          <w:sz w:val="32"/>
          <w:szCs w:val="32"/>
        </w:rPr>
        <w:t>。</w:t>
      </w:r>
    </w:p>
    <w:p>
      <w:pPr>
        <w:pStyle w:val="10"/>
        <w:ind w:firstLine="640"/>
        <w:rPr>
          <w:rFonts w:ascii="宋体" w:hAnsi="宋体" w:eastAsia="宋体"/>
          <w:b/>
          <w:bCs/>
          <w:color w:val="auto"/>
          <w:sz w:val="28"/>
          <w:szCs w:val="28"/>
        </w:rPr>
      </w:pPr>
      <w:r>
        <w:rPr>
          <w:rFonts w:hint="eastAsia" w:ascii="宋体" w:hAnsi="宋体" w:eastAsia="宋体"/>
          <w:sz w:val="32"/>
          <w:szCs w:val="32"/>
        </w:rPr>
        <w:t>2021年度财政拨款支出合计</w:t>
      </w:r>
      <w:r>
        <w:rPr>
          <w:rFonts w:hint="eastAsia" w:ascii="宋体" w:hAnsi="宋体" w:eastAsia="宋体"/>
          <w:sz w:val="32"/>
          <w:szCs w:val="32"/>
          <w:lang w:val="en-US" w:eastAsia="zh-CN"/>
        </w:rPr>
        <w:t>66.36</w:t>
      </w:r>
      <w:r>
        <w:rPr>
          <w:rFonts w:hint="eastAsia" w:ascii="宋体" w:hAnsi="宋体" w:eastAsia="宋体"/>
          <w:sz w:val="32"/>
          <w:szCs w:val="32"/>
        </w:rPr>
        <w:t>万元（不含年末财政拨款结转和结余资金</w:t>
      </w:r>
      <w:r>
        <w:rPr>
          <w:rFonts w:hint="eastAsia" w:ascii="宋体" w:hAnsi="宋体" w:eastAsia="宋体"/>
          <w:sz w:val="32"/>
          <w:szCs w:val="32"/>
          <w:lang w:val="en-US" w:eastAsia="zh-CN"/>
        </w:rPr>
        <w:t>0.13万元</w:t>
      </w:r>
      <w:r>
        <w:rPr>
          <w:rFonts w:hint="eastAsia" w:ascii="宋体" w:hAnsi="宋体" w:eastAsia="宋体"/>
          <w:sz w:val="32"/>
          <w:szCs w:val="32"/>
        </w:rPr>
        <w:t>），与上年相比，减少</w:t>
      </w:r>
      <w:r>
        <w:rPr>
          <w:rFonts w:hint="eastAsia" w:ascii="宋体" w:hAnsi="宋体" w:eastAsia="宋体"/>
          <w:sz w:val="32"/>
          <w:szCs w:val="32"/>
          <w:lang w:val="en-US" w:eastAsia="zh-CN"/>
        </w:rPr>
        <w:t>43.7</w:t>
      </w:r>
      <w:r>
        <w:rPr>
          <w:rFonts w:hint="eastAsia" w:ascii="宋体" w:hAnsi="宋体" w:eastAsia="宋体"/>
          <w:sz w:val="32"/>
          <w:szCs w:val="32"/>
        </w:rPr>
        <w:t>万元,减少</w:t>
      </w:r>
      <w:r>
        <w:rPr>
          <w:rFonts w:hint="eastAsia" w:ascii="宋体" w:hAnsi="宋体" w:eastAsia="宋体"/>
          <w:sz w:val="32"/>
          <w:szCs w:val="32"/>
          <w:lang w:val="en-US" w:eastAsia="zh-CN"/>
        </w:rPr>
        <w:t>40</w:t>
      </w:r>
      <w:r>
        <w:rPr>
          <w:rFonts w:hint="eastAsia" w:ascii="宋体" w:hAnsi="宋体" w:eastAsia="宋体"/>
          <w:sz w:val="32"/>
          <w:szCs w:val="32"/>
        </w:rPr>
        <w:t>%，主要是因为</w:t>
      </w:r>
      <w:r>
        <w:rPr>
          <w:rFonts w:hint="eastAsia" w:ascii="宋体" w:hAnsi="宋体" w:eastAsia="宋体"/>
          <w:color w:val="auto"/>
          <w:sz w:val="32"/>
          <w:szCs w:val="32"/>
          <w:lang w:val="en-US" w:eastAsia="zh-CN"/>
        </w:rPr>
        <w:t>旅游项目经费减少</w:t>
      </w:r>
      <w:r>
        <w:rPr>
          <w:rFonts w:hint="eastAsia" w:ascii="宋体" w:hAnsi="宋体" w:eastAsia="宋体"/>
          <w:color w:val="auto"/>
          <w:sz w:val="32"/>
          <w:szCs w:val="32"/>
        </w:rPr>
        <w:t>。</w:t>
      </w:r>
    </w:p>
    <w:p>
      <w:pPr>
        <w:pStyle w:val="10"/>
        <w:outlineLvl w:val="0"/>
        <w:rPr>
          <w:rFonts w:hAnsi="黑体"/>
          <w:b/>
          <w:sz w:val="32"/>
          <w:szCs w:val="32"/>
        </w:rPr>
      </w:pPr>
      <w:r>
        <w:rPr>
          <w:rFonts w:hint="eastAsia" w:hAnsi="黑体"/>
          <w:b/>
          <w:sz w:val="32"/>
          <w:szCs w:val="32"/>
        </w:rPr>
        <w:t>五、一般公共预算财政拨款支出决算情况说明</w:t>
      </w:r>
    </w:p>
    <w:p>
      <w:pPr>
        <w:pStyle w:val="10"/>
        <w:ind w:firstLine="640" w:firstLineChars="20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hint="eastAsia" w:ascii="宋体" w:hAnsi="宋体" w:eastAsia="宋体" w:cs="宋体"/>
          <w:b w:val="0"/>
          <w:bCs w:val="0"/>
          <w:color w:val="auto"/>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66.36</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41</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43.7</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40</w:t>
      </w:r>
      <w:r>
        <w:rPr>
          <w:rFonts w:hint="eastAsia" w:asciiTheme="minorEastAsia" w:hAnsiTheme="minorEastAsia" w:eastAsiaTheme="minorEastAsia"/>
          <w:sz w:val="32"/>
          <w:szCs w:val="32"/>
        </w:rPr>
        <w:t>%，主要是</w:t>
      </w:r>
      <w:r>
        <w:rPr>
          <w:rFonts w:hint="eastAsia" w:ascii="宋体" w:hAnsi="宋体" w:eastAsia="宋体" w:cs="宋体"/>
          <w:sz w:val="32"/>
          <w:szCs w:val="32"/>
        </w:rPr>
        <w:t>因</w:t>
      </w:r>
      <w:r>
        <w:rPr>
          <w:rFonts w:hint="eastAsia" w:ascii="宋体" w:hAnsi="宋体" w:eastAsia="宋体" w:cs="宋体"/>
          <w:b w:val="0"/>
          <w:bCs w:val="0"/>
          <w:color w:val="auto"/>
          <w:sz w:val="32"/>
          <w:szCs w:val="32"/>
        </w:rPr>
        <w:t>为</w:t>
      </w:r>
      <w:r>
        <w:rPr>
          <w:rFonts w:hint="eastAsia" w:ascii="宋体" w:hAnsi="宋体" w:eastAsia="宋体" w:cs="宋体"/>
          <w:b w:val="0"/>
          <w:bCs w:val="0"/>
          <w:color w:val="auto"/>
          <w:sz w:val="32"/>
          <w:szCs w:val="32"/>
          <w:lang w:val="en-US" w:eastAsia="zh-CN"/>
        </w:rPr>
        <w:t>减少了旅游营销活动经费。</w:t>
      </w:r>
    </w:p>
    <w:p>
      <w:pPr>
        <w:pStyle w:val="10"/>
        <w:ind w:firstLine="480" w:firstLineChars="15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66.36</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val="en-US" w:eastAsia="zh-CN"/>
        </w:rPr>
        <w:t>文化旅游体育与传媒（类）支出66.36万元，</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ind w:firstLine="800" w:firstLineChars="25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55.29</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66.36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120</w:t>
      </w:r>
      <w:r>
        <w:rPr>
          <w:rFonts w:hint="eastAsia" w:asciiTheme="minorEastAsia" w:hAnsiTheme="minorEastAsia" w:eastAsiaTheme="minorEastAsia"/>
          <w:sz w:val="32"/>
          <w:szCs w:val="32"/>
        </w:rPr>
        <w:t>%，其中：</w:t>
      </w:r>
    </w:p>
    <w:p>
      <w:pPr>
        <w:pStyle w:val="10"/>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val="en-US" w:eastAsia="zh-CN"/>
        </w:rPr>
        <w:t>文化旅游体育与传媒支出（类）文化和旅游（款）机关服务（项）</w:t>
      </w:r>
      <w:r>
        <w:rPr>
          <w:rFonts w:hint="eastAsia" w:asciiTheme="minorEastAsia" w:hAnsiTheme="minorEastAsia" w:eastAsiaTheme="minorEastAsia"/>
          <w:sz w:val="32"/>
          <w:szCs w:val="32"/>
        </w:rPr>
        <w:t>。</w:t>
      </w:r>
    </w:p>
    <w:p>
      <w:pPr>
        <w:pStyle w:val="10"/>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等于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的</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val="en-US" w:eastAsia="zh-CN"/>
        </w:rPr>
        <w:t>严格按年初预算数执行。</w:t>
      </w:r>
    </w:p>
    <w:p>
      <w:pPr>
        <w:pStyle w:val="10"/>
        <w:keepNext w:val="0"/>
        <w:keepLines w:val="0"/>
        <w:pageBreakBefore w:val="0"/>
        <w:widowControl w:val="0"/>
        <w:numPr>
          <w:ilvl w:val="0"/>
          <w:numId w:val="3"/>
        </w:numPr>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文化旅游体育与传媒支出（类）文化和旅游（款）文化和旅游市场管理（项）。</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年初预算为44.06万元，支出决算为55.13万元，完成年初预算的125%。决算数大于预算数的主要原因是财政根据我单位业务活动情况追加了部分项目经费。</w:t>
      </w:r>
    </w:p>
    <w:p>
      <w:pPr>
        <w:pStyle w:val="10"/>
        <w:keepNext w:val="0"/>
        <w:keepLines w:val="0"/>
        <w:pageBreakBefore w:val="0"/>
        <w:widowControl w:val="0"/>
        <w:numPr>
          <w:ilvl w:val="0"/>
          <w:numId w:val="3"/>
        </w:numPr>
        <w:kinsoku/>
        <w:wordWrap/>
        <w:overflowPunct/>
        <w:topLinePunct w:val="0"/>
        <w:autoSpaceDE w:val="0"/>
        <w:autoSpaceDN w:val="0"/>
        <w:bidi w:val="0"/>
        <w:adjustRightInd w:val="0"/>
        <w:snapToGrid/>
        <w:ind w:left="0" w:leftChars="0" w:firstLine="640" w:firstLineChars="20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文化旅游体育与传媒支出（类）文化和旅游（款） 文化和旅游管理事务（项）。</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年初预算为3万元，支出决算为3万元，完成年初预算的100%，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等于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的</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val="en-US" w:eastAsia="zh-CN"/>
        </w:rPr>
        <w:t>严格按年初预算数执行。</w:t>
      </w:r>
    </w:p>
    <w:p>
      <w:pPr>
        <w:pStyle w:val="10"/>
        <w:keepNext w:val="0"/>
        <w:keepLines w:val="0"/>
        <w:pageBreakBefore w:val="0"/>
        <w:widowControl w:val="0"/>
        <w:numPr>
          <w:ilvl w:val="0"/>
          <w:numId w:val="3"/>
        </w:numPr>
        <w:kinsoku/>
        <w:wordWrap/>
        <w:overflowPunct/>
        <w:topLinePunct w:val="0"/>
        <w:autoSpaceDE w:val="0"/>
        <w:autoSpaceDN w:val="0"/>
        <w:bidi w:val="0"/>
        <w:adjustRightInd w:val="0"/>
        <w:snapToGrid/>
        <w:ind w:left="0" w:leftChars="0" w:firstLine="640" w:firstLineChars="20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文化旅游体育与传媒支出（类）文化和旅游（款） 其他文化和旅游支出（项）。</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年初预算为2.23万元，支出决算为2.23万元，完成年初预算的100%，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等于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的</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val="en-US" w:eastAsia="zh-CN"/>
        </w:rPr>
        <w:t>严格按年初预算数执行。</w:t>
      </w:r>
    </w:p>
    <w:p>
      <w:pPr>
        <w:pStyle w:val="10"/>
        <w:outlineLvl w:val="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53.81</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33.96</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63</w:t>
      </w:r>
      <w:r>
        <w:rPr>
          <w:rFonts w:hint="eastAsia" w:asciiTheme="minorEastAsia" w:hAnsiTheme="minorEastAsia" w:eastAsiaTheme="minorEastAsia"/>
          <w:sz w:val="32"/>
          <w:szCs w:val="32"/>
        </w:rPr>
        <w:t>%,主要包括基本工资、津贴补贴、奖金、</w:t>
      </w:r>
      <w:r>
        <w:rPr>
          <w:rFonts w:hint="eastAsia" w:asciiTheme="minorEastAsia" w:hAnsiTheme="minorEastAsia" w:eastAsiaTheme="minorEastAsia"/>
          <w:sz w:val="32"/>
          <w:szCs w:val="32"/>
          <w:lang w:val="en-US" w:eastAsia="zh-CN"/>
        </w:rPr>
        <w:t>机关事业单位基本养老保险缴费、职工基本医疗保险缴费、公务员医疗补助缴费、其他社会保障缴费、住房公积金、其他工资福利支出</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19.85</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37</w:t>
      </w:r>
      <w:r>
        <w:rPr>
          <w:rFonts w:hint="eastAsia" w:asciiTheme="minorEastAsia" w:hAnsiTheme="minorEastAsia" w:eastAsiaTheme="minorEastAsia"/>
          <w:sz w:val="32"/>
          <w:szCs w:val="32"/>
        </w:rPr>
        <w:t>%，主要包括办公费、</w:t>
      </w:r>
      <w:r>
        <w:rPr>
          <w:rFonts w:hint="eastAsia" w:asciiTheme="minorEastAsia" w:hAnsiTheme="minorEastAsia" w:eastAsiaTheme="minorEastAsia"/>
          <w:sz w:val="32"/>
          <w:szCs w:val="32"/>
          <w:lang w:val="en-US" w:eastAsia="zh-CN"/>
        </w:rPr>
        <w:t>邮电费、差旅费、培训会、公务接待费 、专用材料费、专用燃料费、委托业务费、工会经费、福利费、其他商品和服务支出</w:t>
      </w:r>
      <w:r>
        <w:rPr>
          <w:rFonts w:hint="eastAsia" w:asciiTheme="minorEastAsia" w:hAnsiTheme="minorEastAsia" w:eastAsiaTheme="minorEastAsia"/>
          <w:sz w:val="32"/>
          <w:szCs w:val="32"/>
        </w:rPr>
        <w:t>。</w:t>
      </w:r>
    </w:p>
    <w:p>
      <w:pPr>
        <w:pStyle w:val="10"/>
        <w:outlineLvl w:val="0"/>
        <w:rPr>
          <w:rFonts w:hAnsi="黑体"/>
          <w:b/>
          <w:sz w:val="32"/>
          <w:szCs w:val="32"/>
        </w:rPr>
      </w:pPr>
      <w:r>
        <w:rPr>
          <w:rFonts w:hint="eastAsia" w:hAnsi="黑体"/>
          <w:b/>
          <w:sz w:val="32"/>
          <w:szCs w:val="32"/>
        </w:rPr>
        <w:t>七、一般公共预算财政拨款“三公”经费支出决算情况说明</w:t>
      </w:r>
    </w:p>
    <w:p>
      <w:pPr>
        <w:pStyle w:val="1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0.19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0.19</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决算数等于预算数的</w:t>
      </w:r>
      <w:r>
        <w:rPr>
          <w:rFonts w:hint="eastAsia" w:asciiTheme="minorEastAsia" w:hAnsiTheme="minorEastAsia" w:eastAsiaTheme="minorEastAsia"/>
          <w:sz w:val="32"/>
          <w:szCs w:val="32"/>
        </w:rPr>
        <w:t>主要原因是原因是认真贯彻落实中央“八项规定”精神和厉行节约要求，从严控制“三公”经费开支。</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0.19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0.19</w:t>
      </w:r>
      <w:r>
        <w:rPr>
          <w:rFonts w:hint="eastAsia" w:asciiTheme="minorEastAsia" w:hAnsiTheme="minorEastAsia" w:eastAsiaTheme="minorEastAsia"/>
          <w:sz w:val="32"/>
          <w:szCs w:val="32"/>
        </w:rPr>
        <w:t>万，完成预算的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等于</w:t>
      </w:r>
      <w:r>
        <w:rPr>
          <w:rFonts w:hint="eastAsia" w:asciiTheme="minorEastAsia" w:hAnsiTheme="minorEastAsia" w:eastAsiaTheme="minorEastAsia"/>
          <w:sz w:val="32"/>
          <w:szCs w:val="32"/>
        </w:rPr>
        <w:t>预算数</w:t>
      </w:r>
      <w:r>
        <w:rPr>
          <w:rFonts w:hint="eastAsia" w:asciiTheme="minorEastAsia" w:hAnsiTheme="minorEastAsia" w:eastAsiaTheme="minorEastAsia"/>
          <w:sz w:val="32"/>
          <w:szCs w:val="32"/>
          <w:lang w:val="en-US" w:eastAsia="zh-CN"/>
        </w:rPr>
        <w:t>的</w:t>
      </w:r>
      <w:r>
        <w:rPr>
          <w:rFonts w:hint="eastAsia" w:asciiTheme="minorEastAsia" w:hAnsiTheme="minorEastAsia" w:eastAsiaTheme="minorEastAsia"/>
          <w:sz w:val="32"/>
          <w:szCs w:val="32"/>
        </w:rPr>
        <w:t>主要原因</w:t>
      </w:r>
      <w:r>
        <w:rPr>
          <w:rFonts w:hint="eastAsia" w:asciiTheme="minorEastAsia" w:hAnsiTheme="minorEastAsia" w:eastAsiaTheme="minorEastAsia"/>
          <w:sz w:val="32"/>
          <w:szCs w:val="32"/>
          <w:lang w:val="zh-CN" w:eastAsia="zh-CN"/>
        </w:rPr>
        <w:t>是认真贯彻落实中央“八项规定”精神和厉行节约要求，从严控制“三公”经费开支</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等于</w:t>
      </w:r>
      <w:r>
        <w:rPr>
          <w:rFonts w:hint="eastAsia" w:asciiTheme="minorEastAsia" w:hAnsiTheme="minorEastAsia" w:eastAsiaTheme="minorEastAsia"/>
          <w:sz w:val="32"/>
          <w:szCs w:val="32"/>
        </w:rPr>
        <w:t>预算数</w:t>
      </w:r>
      <w:r>
        <w:rPr>
          <w:rFonts w:hint="eastAsia" w:asciiTheme="minorEastAsia" w:hAnsiTheme="minorEastAsia" w:eastAsiaTheme="minorEastAsia"/>
          <w:sz w:val="32"/>
          <w:szCs w:val="32"/>
          <w:lang w:val="en-US" w:eastAsia="zh-CN"/>
        </w:rPr>
        <w:t>的</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val="zh-CN" w:eastAsia="zh-CN"/>
        </w:rPr>
        <w:t>认真贯彻落实中央“八项规定”精神和厉行节约要求，从严控制“三公”经费开支</w:t>
      </w:r>
      <w:r>
        <w:rPr>
          <w:rFonts w:hint="eastAsia" w:asciiTheme="minorEastAsia" w:hAnsiTheme="minorEastAsia" w:eastAsiaTheme="minorEastAsia"/>
          <w:sz w:val="32"/>
          <w:szCs w:val="32"/>
        </w:rPr>
        <w:t>。</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等于</w:t>
      </w:r>
      <w:r>
        <w:rPr>
          <w:rFonts w:hint="eastAsia" w:asciiTheme="minorEastAsia" w:hAnsiTheme="minorEastAsia" w:eastAsiaTheme="minorEastAsia"/>
          <w:sz w:val="32"/>
          <w:szCs w:val="32"/>
        </w:rPr>
        <w:t>预算数</w:t>
      </w:r>
      <w:r>
        <w:rPr>
          <w:rFonts w:hint="eastAsia" w:asciiTheme="minorEastAsia" w:hAnsiTheme="minorEastAsia" w:eastAsiaTheme="minorEastAsia"/>
          <w:sz w:val="32"/>
          <w:szCs w:val="32"/>
          <w:lang w:val="en-US" w:eastAsia="zh-CN"/>
        </w:rPr>
        <w:t>的</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val="zh-CN" w:eastAsia="zh-CN"/>
        </w:rPr>
        <w:t>认真贯彻落实中央“八项规定”精神和厉行节约要求，从严控制“三公”经费开支</w:t>
      </w:r>
      <w:r>
        <w:rPr>
          <w:rFonts w:hint="eastAsia" w:asciiTheme="minorEastAsia" w:hAnsiTheme="minorEastAsia" w:eastAsiaTheme="minorEastAsia"/>
          <w:sz w:val="32"/>
          <w:szCs w:val="32"/>
        </w:rPr>
        <w:t>。</w:t>
      </w:r>
    </w:p>
    <w:p>
      <w:pPr>
        <w:pStyle w:val="1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0.19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0"/>
        <w:ind w:firstLine="640" w:firstLineChars="200"/>
        <w:rPr>
          <w:rFonts w:hint="eastAsia" w:asciiTheme="minorEastAsia" w:hAnsiTheme="minorEastAsia" w:eastAsiaTheme="minorEastAsia"/>
          <w:b/>
          <w:sz w:val="32"/>
          <w:szCs w:val="32"/>
          <w:lang w:val="en-US"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人次,开支内容包括：</w:t>
      </w:r>
      <w:r>
        <w:rPr>
          <w:rFonts w:hint="eastAsia" w:asciiTheme="minorEastAsia" w:hAnsiTheme="minorEastAsia" w:eastAsiaTheme="minorEastAsia"/>
          <w:sz w:val="32"/>
          <w:szCs w:val="32"/>
          <w:lang w:val="en-US" w:eastAsia="zh-CN"/>
        </w:rPr>
        <w:t>无</w:t>
      </w:r>
    </w:p>
    <w:p>
      <w:pPr>
        <w:pStyle w:val="10"/>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0.19</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48</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val="en-US" w:eastAsia="zh-CN"/>
        </w:rPr>
        <w:t>对接旅游宣传营销</w:t>
      </w:r>
      <w:r>
        <w:rPr>
          <w:rFonts w:hint="eastAsia" w:asciiTheme="minorEastAsia" w:hAnsiTheme="minorEastAsia" w:eastAsiaTheme="minorEastAsia"/>
          <w:sz w:val="32"/>
          <w:szCs w:val="32"/>
        </w:rPr>
        <w:t>发生的接待支出。</w:t>
      </w:r>
    </w:p>
    <w:p>
      <w:pPr>
        <w:ind w:firstLine="800" w:firstLineChars="250"/>
        <w:rPr>
          <w:rFonts w:hint="eastAsia" w:cs="黑体" w:asciiTheme="minorEastAsia" w:hAnsiTheme="minorEastAsia"/>
          <w:i/>
          <w:color w:val="FF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val="en-US" w:eastAsia="zh-CN"/>
        </w:rPr>
        <w:t>单位本级</w:t>
      </w:r>
      <w:r>
        <w:rPr>
          <w:rFonts w:hint="eastAsia" w:asciiTheme="minorEastAsia" w:hAnsiTheme="minorEastAsia"/>
          <w:sz w:val="32"/>
          <w:szCs w:val="32"/>
        </w:rPr>
        <w:t>更新公务用车</w:t>
      </w:r>
      <w:r>
        <w:rPr>
          <w:rFonts w:hint="eastAsia" w:asciiTheme="minorEastAsia" w:hAnsiTheme="minorEastAsia"/>
          <w:sz w:val="32"/>
          <w:szCs w:val="32"/>
          <w:lang w:val="en-US" w:eastAsia="zh-CN"/>
        </w:rPr>
        <w:t>0</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w:t>
      </w:r>
      <w:r>
        <w:rPr>
          <w:rFonts w:hint="eastAsia" w:asciiTheme="minorEastAsia" w:hAnsiTheme="minorEastAsia"/>
          <w:sz w:val="32"/>
          <w:szCs w:val="32"/>
        </w:rPr>
        <w:t>截止2021年12月31日，我单位开支财政拨款的公务用车保有量为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10"/>
        <w:outlineLvl w:val="0"/>
        <w:rPr>
          <w:rFonts w:hAnsi="黑体"/>
          <w:b/>
          <w:sz w:val="32"/>
          <w:szCs w:val="32"/>
        </w:rPr>
      </w:pPr>
      <w:r>
        <w:rPr>
          <w:rFonts w:hint="eastAsia" w:hAnsi="黑体"/>
          <w:b/>
          <w:sz w:val="32"/>
          <w:szCs w:val="32"/>
        </w:rPr>
        <w:t>八、政府性基金预算收入支出决算情况</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2021</w:t>
      </w:r>
      <w:r>
        <w:rPr>
          <w:rFonts w:hint="eastAsia" w:ascii="宋体" w:hAnsi="宋体" w:eastAsia="宋体" w:cs="宋体"/>
          <w:kern w:val="0"/>
          <w:sz w:val="32"/>
          <w:szCs w:val="32"/>
        </w:rPr>
        <w:t>年本单位没有使用政府性基金预算拨款安排的支出。</w:t>
      </w:r>
    </w:p>
    <w:p>
      <w:pPr>
        <w:pStyle w:val="10"/>
        <w:numPr>
          <w:ilvl w:val="0"/>
          <w:numId w:val="4"/>
        </w:numPr>
        <w:outlineLvl w:val="0"/>
        <w:rPr>
          <w:rFonts w:hint="eastAsia" w:hAnsi="黑体"/>
          <w:b/>
          <w:sz w:val="32"/>
          <w:szCs w:val="32"/>
          <w:lang w:eastAsia="zh-CN"/>
        </w:rPr>
      </w:pPr>
      <w:r>
        <w:rPr>
          <w:rFonts w:hint="eastAsia" w:hAnsi="黑体"/>
          <w:b/>
          <w:sz w:val="32"/>
          <w:szCs w:val="32"/>
          <w:lang w:eastAsia="zh-CN"/>
        </w:rPr>
        <w:t>国有资本经营预算财政拨款支出决算情况</w:t>
      </w:r>
    </w:p>
    <w:p>
      <w:pPr>
        <w:pStyle w:val="10"/>
        <w:ind w:firstLine="800" w:firstLineChars="250"/>
        <w:rPr>
          <w:rFonts w:hint="default" w:ascii="宋体" w:hAnsi="宋体" w:eastAsia="宋体" w:cs="宋体"/>
          <w:color w:val="auto"/>
          <w:kern w:val="0"/>
          <w:sz w:val="32"/>
          <w:szCs w:val="32"/>
          <w:lang w:val="en-US" w:eastAsia="zh-CN" w:bidi="ar-SA"/>
        </w:rPr>
      </w:pPr>
      <w:r>
        <w:rPr>
          <w:rFonts w:hint="eastAsia" w:ascii="宋体" w:hAnsi="宋体" w:eastAsia="宋体" w:cs="宋体"/>
          <w:color w:val="auto"/>
          <w:kern w:val="0"/>
          <w:sz w:val="32"/>
          <w:szCs w:val="32"/>
          <w:lang w:val="en-US" w:eastAsia="zh-CN" w:bidi="ar-SA"/>
        </w:rPr>
        <w:t>2021年度本单位无国有资本经营预算财政拨款支出。</w:t>
      </w:r>
    </w:p>
    <w:p>
      <w:pPr>
        <w:pStyle w:val="10"/>
        <w:outlineLvl w:val="0"/>
        <w:rPr>
          <w:rFonts w:hAnsi="黑体"/>
          <w:b/>
          <w:sz w:val="32"/>
          <w:szCs w:val="32"/>
        </w:rPr>
      </w:pPr>
      <w:r>
        <w:rPr>
          <w:rFonts w:hint="eastAsia" w:hAnsi="黑体"/>
          <w:b/>
          <w:sz w:val="32"/>
          <w:szCs w:val="32"/>
          <w:lang w:eastAsia="zh-CN"/>
        </w:rPr>
        <w:t>十</w:t>
      </w:r>
      <w:r>
        <w:rPr>
          <w:rFonts w:hint="eastAsia" w:hAnsi="黑体"/>
          <w:b/>
          <w:sz w:val="32"/>
          <w:szCs w:val="32"/>
        </w:rPr>
        <w:t>、机关运行经费支出说明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19.85</w:t>
      </w:r>
      <w:r>
        <w:rPr>
          <w:rFonts w:hint="eastAsia" w:asciiTheme="minorEastAsia" w:hAnsiTheme="minorEastAsia" w:eastAsiaTheme="minorEastAsia"/>
          <w:sz w:val="32"/>
          <w:szCs w:val="32"/>
        </w:rPr>
        <w:t>万元，比上年决算数减少</w:t>
      </w:r>
      <w:r>
        <w:rPr>
          <w:rFonts w:hint="eastAsia" w:asciiTheme="minorEastAsia" w:hAnsiTheme="minorEastAsia" w:eastAsiaTheme="minorEastAsia"/>
          <w:sz w:val="32"/>
          <w:szCs w:val="32"/>
          <w:lang w:val="en-US" w:eastAsia="zh-CN"/>
        </w:rPr>
        <w:t>4.27</w:t>
      </w:r>
      <w:r>
        <w:rPr>
          <w:rFonts w:hint="eastAsia" w:asciiTheme="minorEastAsia" w:hAnsiTheme="minorEastAsia" w:eastAsiaTheme="minorEastAsia"/>
          <w:sz w:val="32"/>
          <w:szCs w:val="32"/>
        </w:rPr>
        <w:t xml:space="preserve"> 万元，降低</w:t>
      </w:r>
      <w:r>
        <w:rPr>
          <w:rFonts w:hint="eastAsia" w:asciiTheme="minorEastAsia" w:hAnsiTheme="minorEastAsia" w:eastAsiaTheme="minorEastAsia"/>
          <w:sz w:val="32"/>
          <w:szCs w:val="32"/>
          <w:lang w:val="en-US" w:eastAsia="zh-CN"/>
        </w:rPr>
        <w:t>18</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val="zh-CN" w:eastAsia="zh-CN"/>
        </w:rPr>
        <w:t>认真贯彻落实中央“八项规定”精神和厉行节约要求，</w:t>
      </w:r>
      <w:r>
        <w:rPr>
          <w:rFonts w:hint="eastAsia" w:asciiTheme="minorEastAsia" w:hAnsiTheme="minorEastAsia" w:eastAsiaTheme="minorEastAsia"/>
          <w:sz w:val="32"/>
          <w:szCs w:val="32"/>
          <w:lang w:val="en-US" w:eastAsia="zh-CN"/>
        </w:rPr>
        <w:t>压缩机关运行经费</w:t>
      </w:r>
      <w:r>
        <w:rPr>
          <w:rFonts w:hint="eastAsia" w:asciiTheme="minorEastAsia" w:hAnsiTheme="minorEastAsia" w:eastAsiaTheme="minorEastAsia"/>
          <w:sz w:val="32"/>
          <w:szCs w:val="32"/>
        </w:rPr>
        <w:t>。</w:t>
      </w:r>
    </w:p>
    <w:p>
      <w:pPr>
        <w:pStyle w:val="10"/>
        <w:outlineLvl w:val="0"/>
        <w:rPr>
          <w:rFonts w:hAnsi="黑体"/>
          <w:b/>
          <w:sz w:val="32"/>
          <w:szCs w:val="32"/>
        </w:rPr>
      </w:pPr>
      <w:r>
        <w:rPr>
          <w:rFonts w:hint="eastAsia" w:hAnsi="黑体"/>
          <w:b/>
          <w:sz w:val="32"/>
          <w:szCs w:val="32"/>
          <w:lang w:eastAsia="zh-CN"/>
        </w:rPr>
        <w:t>十一</w:t>
      </w:r>
      <w:r>
        <w:rPr>
          <w:rFonts w:hint="eastAsia" w:hAnsi="黑体"/>
          <w:b/>
          <w:sz w:val="32"/>
          <w:szCs w:val="32"/>
        </w:rPr>
        <w:t>、一般性支出情况说明</w:t>
      </w:r>
    </w:p>
    <w:p>
      <w:pPr>
        <w:pStyle w:val="10"/>
        <w:ind w:firstLine="640" w:firstLineChars="200"/>
        <w:rPr>
          <w:rFonts w:hint="eastAsia" w:asciiTheme="minorEastAsia" w:hAnsiTheme="minorEastAsia" w:eastAsiaTheme="minorEastAsia"/>
          <w:color w:val="FF0000"/>
          <w:sz w:val="32"/>
          <w:szCs w:val="32"/>
          <w:lang w:eastAsia="zh-CN"/>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万元；开支培训费</w:t>
      </w:r>
      <w:r>
        <w:rPr>
          <w:rFonts w:hint="eastAsia" w:asciiTheme="minorEastAsia" w:hAnsiTheme="minorEastAsia" w:eastAsiaTheme="minorEastAsia"/>
          <w:sz w:val="32"/>
          <w:szCs w:val="32"/>
          <w:lang w:val="en-US" w:eastAsia="zh-CN"/>
        </w:rPr>
        <w:t>0.06</w:t>
      </w:r>
      <w:r>
        <w:rPr>
          <w:rFonts w:hint="eastAsia" w:asciiTheme="minorEastAsia" w:hAnsiTheme="minorEastAsia" w:eastAsiaTheme="minorEastAsia"/>
          <w:sz w:val="32"/>
          <w:szCs w:val="32"/>
        </w:rPr>
        <w:t>万元，用于</w:t>
      </w:r>
      <w:r>
        <w:rPr>
          <w:rFonts w:hint="eastAsia" w:asciiTheme="minorEastAsia" w:hAnsiTheme="minorEastAsia" w:eastAsiaTheme="minorEastAsia"/>
          <w:sz w:val="32"/>
          <w:szCs w:val="32"/>
          <w:lang w:val="en-US" w:eastAsia="zh-CN"/>
        </w:rPr>
        <w:t>参加事业单位人员</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val="en-US" w:eastAsia="zh-CN"/>
        </w:rPr>
        <w:t>参加党校举办的新进事业单位人员培训</w:t>
      </w:r>
      <w:r>
        <w:rPr>
          <w:rFonts w:hint="eastAsia" w:asciiTheme="minorEastAsia" w:hAnsiTheme="minorEastAsia" w:eastAsiaTheme="minorEastAsia"/>
          <w:sz w:val="32"/>
          <w:szCs w:val="32"/>
          <w:lang w:eastAsia="zh-CN"/>
        </w:rPr>
        <w:t>。</w:t>
      </w:r>
    </w:p>
    <w:p>
      <w:pPr>
        <w:pStyle w:val="10"/>
        <w:outlineLvl w:val="0"/>
        <w:rPr>
          <w:rFonts w:hAnsi="黑体"/>
          <w:b/>
          <w:sz w:val="32"/>
          <w:szCs w:val="32"/>
        </w:rPr>
      </w:pPr>
      <w:r>
        <w:rPr>
          <w:rFonts w:hint="eastAsia" w:hAnsi="黑体"/>
          <w:b/>
          <w:sz w:val="32"/>
          <w:szCs w:val="32"/>
        </w:rPr>
        <w:t>十</w:t>
      </w:r>
      <w:r>
        <w:rPr>
          <w:rFonts w:hint="eastAsia" w:hAnsi="黑体"/>
          <w:b/>
          <w:sz w:val="32"/>
          <w:szCs w:val="32"/>
          <w:lang w:eastAsia="zh-CN"/>
        </w:rPr>
        <w:t>二</w:t>
      </w:r>
      <w:r>
        <w:rPr>
          <w:rFonts w:hint="eastAsia" w:hAnsi="黑体"/>
          <w:b/>
          <w:sz w:val="32"/>
          <w:szCs w:val="32"/>
        </w:rPr>
        <w:t>、政府采购支出说明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outlineLvl w:val="0"/>
        <w:rPr>
          <w:rFonts w:hAnsi="黑体"/>
          <w:b/>
          <w:sz w:val="32"/>
          <w:szCs w:val="32"/>
        </w:rPr>
      </w:pPr>
      <w:r>
        <w:rPr>
          <w:rFonts w:hint="eastAsia" w:hAnsi="黑体"/>
          <w:b/>
          <w:sz w:val="32"/>
          <w:szCs w:val="32"/>
        </w:rPr>
        <w:t>十</w:t>
      </w:r>
      <w:r>
        <w:rPr>
          <w:rFonts w:hint="eastAsia" w:hAnsi="黑体"/>
          <w:b/>
          <w:sz w:val="32"/>
          <w:szCs w:val="32"/>
          <w:lang w:eastAsia="zh-CN"/>
        </w:rPr>
        <w:t>三</w:t>
      </w:r>
      <w:r>
        <w:rPr>
          <w:rFonts w:hint="eastAsia" w:hAnsi="黑体"/>
          <w:b/>
          <w:sz w:val="32"/>
          <w:szCs w:val="32"/>
        </w:rPr>
        <w:t>、国有资产占用情况说明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辆；单位价值50万元以上通用设备台（套）；单位价值100万元以上专用设备台（套）。</w:t>
      </w:r>
    </w:p>
    <w:p>
      <w:pPr>
        <w:pStyle w:val="10"/>
        <w:outlineLvl w:val="0"/>
        <w:rPr>
          <w:rFonts w:hAnsi="黑体"/>
          <w:b/>
          <w:sz w:val="32"/>
          <w:szCs w:val="32"/>
        </w:rPr>
      </w:pPr>
      <w:r>
        <w:rPr>
          <w:rFonts w:hint="eastAsia" w:hAnsi="黑体"/>
          <w:b/>
          <w:sz w:val="32"/>
          <w:szCs w:val="32"/>
        </w:rPr>
        <w:t>十</w:t>
      </w:r>
      <w:r>
        <w:rPr>
          <w:rFonts w:hint="eastAsia" w:hAnsi="黑体"/>
          <w:b/>
          <w:sz w:val="32"/>
          <w:szCs w:val="32"/>
          <w:lang w:eastAsia="zh-CN"/>
        </w:rPr>
        <w:t>四</w:t>
      </w:r>
      <w:r>
        <w:rPr>
          <w:rFonts w:hint="eastAsia" w:hAnsi="黑体"/>
          <w:b/>
          <w:sz w:val="32"/>
          <w:szCs w:val="32"/>
        </w:rPr>
        <w:t>、2021年度预算绩效情况说明</w:t>
      </w:r>
    </w:p>
    <w:p>
      <w:pPr>
        <w:autoSpaceDE w:val="0"/>
        <w:autoSpaceDN w:val="0"/>
        <w:adjustRightInd w:val="0"/>
        <w:ind w:firstLine="640" w:firstLineChars="200"/>
        <w:jc w:val="left"/>
        <w:outlineLvl w:val="1"/>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个，二级项目</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年度政府性基金预算项目支出开展绩效自评，共涉及资金</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万元，占政府性基金预算项目支出总额的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年度国有资本经营预算项目支出开展绩效自评，共涉及资金</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万元，占国有资本经营预算项目支出总额的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组织对项目开展了部门评价，涉及一般公共预算支出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万元，国有资本经营预算支出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本</w:t>
      </w:r>
      <w:r>
        <w:rPr>
          <w:rFonts w:hint="eastAsia" w:cs="黑体" w:asciiTheme="minorEastAsia" w:hAnsiTheme="minorEastAsia"/>
          <w:color w:val="000000"/>
          <w:kern w:val="0"/>
          <w:sz w:val="32"/>
          <w:szCs w:val="32"/>
        </w:rPr>
        <w:t>单位开展整体支出绩效评价，涉及一般公共预算支出</w:t>
      </w:r>
      <w:r>
        <w:rPr>
          <w:rFonts w:hint="eastAsia" w:cs="黑体" w:asciiTheme="minorEastAsia" w:hAnsiTheme="minorEastAsia"/>
          <w:color w:val="000000"/>
          <w:kern w:val="0"/>
          <w:sz w:val="32"/>
          <w:szCs w:val="32"/>
          <w:lang w:val="en-US" w:eastAsia="zh-CN"/>
        </w:rPr>
        <w:t>66.36</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万元。从评价情况来看，我</w:t>
      </w:r>
      <w:r>
        <w:rPr>
          <w:rFonts w:hint="eastAsia" w:cs="黑体" w:asciiTheme="minorEastAsia" w:hAnsiTheme="minorEastAsia"/>
          <w:color w:val="000000"/>
          <w:kern w:val="0"/>
          <w:sz w:val="32"/>
          <w:szCs w:val="32"/>
          <w:lang w:val="en-US" w:eastAsia="zh-CN"/>
        </w:rPr>
        <w:t>中心2021</w:t>
      </w:r>
      <w:r>
        <w:rPr>
          <w:rFonts w:hint="eastAsia" w:cs="黑体" w:asciiTheme="minorEastAsia" w:hAnsiTheme="minorEastAsia"/>
          <w:color w:val="000000"/>
          <w:kern w:val="0"/>
          <w:sz w:val="32"/>
          <w:szCs w:val="32"/>
        </w:rPr>
        <w:t>年的部门整体支出绩效自我评价得分为</w:t>
      </w:r>
      <w:r>
        <w:rPr>
          <w:rFonts w:hint="eastAsia" w:cs="黑体" w:asciiTheme="minorEastAsia" w:hAnsiTheme="minorEastAsia"/>
          <w:color w:val="000000"/>
          <w:kern w:val="0"/>
          <w:sz w:val="32"/>
          <w:szCs w:val="32"/>
          <w:lang w:val="en-US" w:eastAsia="zh-CN"/>
        </w:rPr>
        <w:t>98</w:t>
      </w:r>
      <w:r>
        <w:rPr>
          <w:rFonts w:hint="eastAsia" w:cs="黑体" w:asciiTheme="minorEastAsia" w:hAnsiTheme="minorEastAsia"/>
          <w:color w:val="000000"/>
          <w:kern w:val="0"/>
          <w:sz w:val="32"/>
          <w:szCs w:val="32"/>
        </w:rPr>
        <w:t>分。自评结</w:t>
      </w:r>
      <w:r>
        <w:rPr>
          <w:rFonts w:hint="eastAsia" w:cs="黑体" w:asciiTheme="minorEastAsia" w:hAnsiTheme="minorEastAsia"/>
          <w:color w:val="000000"/>
          <w:kern w:val="0"/>
          <w:sz w:val="32"/>
          <w:szCs w:val="32"/>
          <w:lang w:val="en-US" w:eastAsia="zh-CN"/>
        </w:rPr>
        <w:t>果</w:t>
      </w:r>
      <w:r>
        <w:rPr>
          <w:rFonts w:hint="eastAsia" w:cs="黑体" w:asciiTheme="minorEastAsia" w:hAnsiTheme="minorEastAsia"/>
          <w:color w:val="000000"/>
          <w:kern w:val="0"/>
          <w:sz w:val="32"/>
          <w:szCs w:val="32"/>
        </w:rPr>
        <w:t>为：优秀。</w:t>
      </w:r>
    </w:p>
    <w:p>
      <w:pPr>
        <w:autoSpaceDE w:val="0"/>
        <w:autoSpaceDN w:val="0"/>
        <w:adjustRightInd w:val="0"/>
        <w:ind w:firstLine="640" w:firstLineChars="200"/>
        <w:jc w:val="left"/>
        <w:outlineLvl w:val="1"/>
        <w:rPr>
          <w:rFonts w:hint="eastAsia" w:cs="黑体" w:asciiTheme="minorEastAsia" w:hAnsiTheme="minorEastAsia" w:eastAsiaTheme="minorEastAsia"/>
          <w:b/>
          <w:color w:val="000000"/>
          <w:kern w:val="0"/>
          <w:sz w:val="32"/>
          <w:szCs w:val="32"/>
          <w:lang w:val="en-US" w:eastAsia="zh-CN"/>
        </w:rPr>
      </w:pPr>
      <w:r>
        <w:rPr>
          <w:rFonts w:hint="eastAsia" w:cs="黑体" w:asciiTheme="minorEastAsia" w:hAnsiTheme="minorEastAsia"/>
          <w:b/>
          <w:color w:val="000000"/>
          <w:kern w:val="0"/>
          <w:sz w:val="32"/>
          <w:szCs w:val="32"/>
        </w:rPr>
        <w:t>（2）部门决算中项目绩效自评结果。</w:t>
      </w:r>
    </w:p>
    <w:p>
      <w:pPr>
        <w:autoSpaceDE w:val="0"/>
        <w:autoSpaceDN w:val="0"/>
        <w:adjustRightInd w:val="0"/>
        <w:ind w:firstLine="640" w:firstLineChars="200"/>
        <w:jc w:val="left"/>
        <w:outlineLvl w:val="1"/>
        <w:rPr>
          <w:rFonts w:hint="default"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2021年我单位没有绩效自评的项目。</w:t>
      </w:r>
    </w:p>
    <w:p>
      <w:pPr>
        <w:autoSpaceDE w:val="0"/>
        <w:autoSpaceDN w:val="0"/>
        <w:adjustRightInd w:val="0"/>
        <w:ind w:firstLine="640" w:firstLineChars="200"/>
        <w:jc w:val="left"/>
        <w:outlineLvl w:val="1"/>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outlineLvl w:val="1"/>
        <w:rPr>
          <w:rFonts w:hint="default"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2021年我单位没有绩部门评价项目。</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outlineLvl w:val="0"/>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eastAsia="zh-CN"/>
        </w:rPr>
      </w:pPr>
      <w:r>
        <w:rPr>
          <w:rFonts w:hint="eastAsia" w:ascii="宋体" w:hAnsi="宋体" w:eastAsia="宋体" w:cs="宋体"/>
          <w:color w:val="000000"/>
          <w:kern w:val="0"/>
          <w:sz w:val="32"/>
          <w:szCs w:val="32"/>
          <w:highlight w:val="white"/>
          <w:lang w:val="en-US"/>
        </w:rPr>
        <w:t>财政拨款收入：指本级财政当年拨付的资金。</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eastAsia="zh-CN"/>
        </w:rPr>
      </w:pPr>
      <w:r>
        <w:rPr>
          <w:rFonts w:hint="eastAsia" w:ascii="宋体" w:hAnsi="宋体" w:eastAsia="宋体" w:cs="宋体"/>
          <w:color w:val="000000"/>
          <w:kern w:val="0"/>
          <w:sz w:val="32"/>
          <w:szCs w:val="32"/>
          <w:highlight w:val="white"/>
          <w:lang w:val="en-US"/>
        </w:rPr>
        <w:t>其他收入：指除上述“财政拨款收入”、“上级补助收入”、“事业收入”、“经营收入”、“附属单位上缴收入”等以外的收入。</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eastAsia="zh-CN"/>
        </w:rPr>
      </w:pPr>
      <w:r>
        <w:rPr>
          <w:rFonts w:hint="eastAsia" w:ascii="宋体" w:hAnsi="宋体" w:eastAsia="宋体" w:cs="宋体"/>
          <w:color w:val="000000"/>
          <w:kern w:val="0"/>
          <w:sz w:val="32"/>
          <w:szCs w:val="32"/>
          <w:highlight w:val="white"/>
          <w:lang w:val="en-US"/>
        </w:rPr>
        <w:t>上年结转和结余：指以前年度尚未完成、结转到本年按有关规定继续使用的资金。</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eastAsia="zh-CN"/>
        </w:rPr>
      </w:pPr>
      <w:r>
        <w:rPr>
          <w:rFonts w:hint="eastAsia" w:ascii="宋体" w:hAnsi="宋体" w:eastAsia="宋体" w:cs="宋体"/>
          <w:color w:val="000000"/>
          <w:kern w:val="0"/>
          <w:sz w:val="32"/>
          <w:szCs w:val="32"/>
          <w:highlight w:val="white"/>
          <w:lang w:val="en-US"/>
        </w:rPr>
        <w:t>年末结转和结余资金：指本年度或以前年度预算安排、因客观条件发生变化无法按原计划实施，需要延迟到以后年度按有关规定继续使用的资金。</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文化体育与传媒支出（类）：是指用于文化、文物、体育、新闻出版广播影视等方面的支出，包括保障机构正常运转、完成日常和特定的工作任务或事业发展目标的支出。</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其他支出（类）：是指用于反映除上述项目以外其他不能划分到具体功能科目中的支出项目，包括保障机构正常运转、完成日常和特定的工作任务或事业发展目标的支出。</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基本支出：指保障机构正常运转、完成支日常工作任务而发生的人员支出和公用支出。</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eastAsia="zh-CN"/>
        </w:rPr>
      </w:pPr>
      <w:r>
        <w:rPr>
          <w:rFonts w:hint="eastAsia" w:ascii="宋体" w:hAnsi="宋体" w:eastAsia="宋体" w:cs="宋体"/>
          <w:color w:val="000000"/>
          <w:kern w:val="0"/>
          <w:sz w:val="32"/>
          <w:szCs w:val="32"/>
          <w:highlight w:val="white"/>
          <w:lang w:val="en-US"/>
        </w:rPr>
        <w:t>项目支出：指在基本支出之外为完成特定行政任务和事业发展目标所发生的支出。</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工资福利支出：反映单位开支的在职职工和编制外长期聘用人员的各类劳动报酬，以及为上述人员</w:t>
      </w:r>
      <w:bookmarkStart w:id="0" w:name="_GoBack"/>
      <w:bookmarkEnd w:id="0"/>
      <w:r>
        <w:rPr>
          <w:rFonts w:hint="eastAsia" w:ascii="宋体" w:hAnsi="宋体" w:eastAsia="宋体" w:cs="宋体"/>
          <w:color w:val="000000"/>
          <w:kern w:val="0"/>
          <w:sz w:val="32"/>
          <w:szCs w:val="32"/>
          <w:highlight w:val="white"/>
          <w:lang w:val="en-US"/>
        </w:rPr>
        <w:t>缴纳的各项社会保险费等。</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津贴补贴：反映经国家批准建立的机关事业单位艰苦边远地区津贴、机关工作人员地区附加津贴、机关工作人员岗位津贴、事业单位工作人员特殊岗位津贴补贴等。</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eastAsia="zh-CN"/>
        </w:rPr>
      </w:pPr>
      <w:r>
        <w:rPr>
          <w:rFonts w:hint="eastAsia" w:ascii="宋体" w:hAnsi="宋体" w:eastAsia="宋体" w:cs="宋体"/>
          <w:color w:val="000000"/>
          <w:kern w:val="0"/>
          <w:sz w:val="32"/>
          <w:szCs w:val="32"/>
          <w:highlight w:val="white"/>
          <w:lang w:val="en-US"/>
        </w:rPr>
        <w:t>奖金：反映机关工作人员年终一次性奖金。</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绩效工资：反映事业单位工作人员的绩效工资。</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eastAsia="zh-CN"/>
        </w:rPr>
      </w:pPr>
      <w:r>
        <w:rPr>
          <w:rFonts w:hint="eastAsia" w:ascii="宋体" w:hAnsi="宋体" w:eastAsia="宋体" w:cs="宋体"/>
          <w:color w:val="000000"/>
          <w:kern w:val="0"/>
          <w:sz w:val="32"/>
          <w:szCs w:val="32"/>
          <w:highlight w:val="white"/>
          <w:lang w:val="en-US"/>
        </w:rPr>
        <w:t>机关事业单位基本养老保险缴费：反映机关事业单位缴纳的基本养老保险费。由单位代扣的工作人员基本养老保险缴费，不在此科目反映。</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职工基本医疗保险缴费：反映单位为职工缴纳的基本医疗保险费。</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公务员医疗补助缴费：反映按规定可享受公务员医疗补助单位为职工缴纳的公务员医疗补助费。</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其他社会保障缴费：反映单位为职工缴纳的基本医疗、失业、工伤、生育等社会保险费，残疾人就业保障金，军队（含武警）为军人缴纳的伤亡、退役医疗等社会保险费。</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住房公积金：反映行政事业单位按人力资源和社会保障部、财政部规定的基本工资和津贴补贴以及规定比例为职工缴纳的住房公积金。</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医疗费：反映未参加医疗保险单位的医疗经费和单位按规定为职工支出的其他医疗费用。</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商品和服务支出：反映单位购买商品和服务的支出（不包括用于购置固定资产的支出、战略性和应急储备支出）。</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办公费：反映单位购买按财务会计制度规定不符合固定资产确认标准的日常办公用品、书报杂志等支出。</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印刷费：反映单位的印刷费支出。</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水费：反映单位支付的水费、污水处理费等支出。</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电费：反映单位的电费支出。</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eastAsia="zh-CN"/>
        </w:rPr>
      </w:pPr>
      <w:r>
        <w:rPr>
          <w:rFonts w:hint="eastAsia" w:ascii="宋体" w:hAnsi="宋体" w:eastAsia="宋体" w:cs="宋体"/>
          <w:color w:val="000000"/>
          <w:kern w:val="0"/>
          <w:sz w:val="32"/>
          <w:szCs w:val="32"/>
          <w:highlight w:val="white"/>
          <w:lang w:val="en-US"/>
        </w:rPr>
        <w:t>邮电费：反映单位开支的信函、包裹、货物等物品的邮寄费及电话费、电报费、传真费、网络通讯费等。</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物业管理费：反映单位开支的办公用房以及未实行职工住宅物业服务改革的在职职工和离退休人员宿舍等的物业管理费，包括综合治理、绿化、卫生等方面的支出。</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eastAsia="zh-CN"/>
        </w:rPr>
      </w:pPr>
      <w:r>
        <w:rPr>
          <w:rFonts w:hint="eastAsia" w:ascii="宋体" w:hAnsi="宋体" w:eastAsia="宋体" w:cs="宋体"/>
          <w:color w:val="000000"/>
          <w:kern w:val="0"/>
          <w:sz w:val="32"/>
          <w:szCs w:val="32"/>
          <w:highlight w:val="white"/>
          <w:lang w:val="en-US"/>
        </w:rPr>
        <w:t>差旅费：反映单位工作人员出差发生的城市间交通费、住宿费、伙食补贴费和市内交通费。</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维修(护)费：反映单位日常开支的固定资产（不包括车船等交通工具）修理和维护费用，网络信息系统运行与维护费用，以及按规定提取的修购基金。</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eastAsia="zh-CN"/>
        </w:rPr>
      </w:pPr>
      <w:r>
        <w:rPr>
          <w:rFonts w:hint="eastAsia" w:ascii="宋体" w:hAnsi="宋体" w:eastAsia="宋体" w:cs="宋体"/>
          <w:color w:val="000000"/>
          <w:kern w:val="0"/>
          <w:sz w:val="32"/>
          <w:szCs w:val="32"/>
          <w:highlight w:val="white"/>
          <w:lang w:val="en-US"/>
        </w:rPr>
        <w:t>培训费：反映除因公出国（境）培训费以外的各类培训支出。</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专用材料费：反映单位购买日常专用材料的支出。具体包括药品及医疗耗材，农用材料，兽医用品，实验室用品，专用服装，消耗性体育用品，专用工具和仪器，艺术部门专用材料和用品，广播电视台发射台发射机的电力、材料等方面的支出。</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eastAsia="zh-CN"/>
        </w:rPr>
      </w:pPr>
      <w:r>
        <w:rPr>
          <w:rFonts w:hint="eastAsia" w:ascii="宋体" w:hAnsi="宋体" w:eastAsia="宋体" w:cs="宋体"/>
          <w:color w:val="000000"/>
          <w:kern w:val="0"/>
          <w:sz w:val="32"/>
          <w:szCs w:val="32"/>
          <w:highlight w:val="white"/>
          <w:lang w:val="en-US"/>
        </w:rPr>
        <w:t>劳务费：反映支付给单位和个人的劳务费用，如临时聘用人员、钟点工工资，稿费、翻译费，评审费等。</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工会经费：反映单位按规定提取的工会经费。</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eastAsia="zh-CN"/>
        </w:rPr>
      </w:pPr>
      <w:r>
        <w:rPr>
          <w:rFonts w:hint="eastAsia" w:ascii="宋体" w:hAnsi="宋体" w:eastAsia="宋体" w:cs="宋体"/>
          <w:color w:val="000000"/>
          <w:kern w:val="0"/>
          <w:sz w:val="32"/>
          <w:szCs w:val="32"/>
          <w:highlight w:val="white"/>
          <w:lang w:val="en-US"/>
        </w:rPr>
        <w:t>其他交通费用：反映单位除公务用车运行维护费以外的其他交通费用。如公务交通补贴，租车费用、出租车费用，飞机、船舶等的燃料费、维修费、保险费等。</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其他商品和服务支出：反映上述科目未包括的日常公用支出。如行政赔偿费和诉讼费、国内组织的会员费、来访费、广告宣传、其他劳务费及离休人员特需费、公用经费等。</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eastAsia="zh-CN"/>
        </w:rPr>
      </w:pPr>
      <w:r>
        <w:rPr>
          <w:rFonts w:hint="eastAsia" w:ascii="宋体" w:hAnsi="宋体" w:eastAsia="宋体" w:cs="宋体"/>
          <w:color w:val="000000"/>
          <w:kern w:val="0"/>
          <w:sz w:val="32"/>
          <w:szCs w:val="32"/>
          <w:highlight w:val="white"/>
          <w:lang w:val="en-US"/>
        </w:rPr>
        <w:t>对个人和家庭的补助：反映政府用于对个人和家庭的补助支出。</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eastAsia="zh-CN"/>
        </w:rPr>
      </w:pPr>
      <w:r>
        <w:rPr>
          <w:rFonts w:hint="eastAsia" w:ascii="宋体" w:hAnsi="宋体" w:eastAsia="宋体" w:cs="宋体"/>
          <w:color w:val="000000"/>
          <w:kern w:val="0"/>
          <w:sz w:val="32"/>
          <w:szCs w:val="32"/>
          <w:highlight w:val="white"/>
          <w:lang w:val="en-US"/>
        </w:rPr>
        <w:t>奖励金：反映政府各部门的奖励支出，如对个体私营经济的奖励、计划生育目标责任奖励、独生子女父母奖励等。</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eastAsia="zh-CN"/>
        </w:rPr>
      </w:pPr>
      <w:r>
        <w:rPr>
          <w:rFonts w:hint="eastAsia" w:ascii="宋体" w:hAnsi="宋体" w:eastAsia="宋体" w:cs="宋体"/>
          <w:color w:val="000000"/>
          <w:kern w:val="0"/>
          <w:sz w:val="32"/>
          <w:szCs w:val="32"/>
          <w:highlight w:val="white"/>
          <w:lang w:val="en-US"/>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pStyle w:val="10"/>
        <w:pageBreakBefore w:val="0"/>
        <w:widowControl w:val="0"/>
        <w:kinsoku/>
        <w:wordWrap/>
        <w:overflowPunct/>
        <w:topLinePunct w:val="0"/>
        <w:bidi w:val="0"/>
        <w:snapToGrid/>
        <w:jc w:val="both"/>
        <w:textAlignment w:val="auto"/>
        <w:rPr>
          <w:rFonts w:hint="eastAsia" w:ascii="宋体" w:hAnsi="宋体" w:eastAsia="宋体" w:cs="宋体"/>
          <w:sz w:val="32"/>
          <w:szCs w:val="32"/>
        </w:rPr>
      </w:pPr>
    </w:p>
    <w:p>
      <w:pPr>
        <w:pStyle w:val="10"/>
        <w:jc w:val="center"/>
        <w:rPr>
          <w:rFonts w:hint="eastAsia" w:ascii="宋体" w:hAnsi="宋体" w:eastAsia="宋体" w:cs="宋体"/>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outlineLvl w:val="0"/>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ind w:firstLine="1920" w:firstLineChars="600"/>
        <w:jc w:val="left"/>
        <w:rPr>
          <w:rFonts w:cs="黑体" w:asciiTheme="minorEastAsia" w:hAnsiTheme="minorEastAsia"/>
          <w:b/>
          <w:color w:val="000000"/>
          <w:kern w:val="0"/>
          <w:sz w:val="32"/>
          <w:szCs w:val="32"/>
        </w:rPr>
      </w:pPr>
    </w:p>
    <w:p>
      <w:pPr>
        <w:ind w:firstLine="3200" w:firstLineChars="1000"/>
        <w:jc w:val="left"/>
        <w:rPr>
          <w:rFonts w:hint="eastAsia" w:cs="黑体" w:asciiTheme="minorEastAsia" w:hAnsiTheme="minorEastAsia" w:eastAsiaTheme="minorEastAsia"/>
          <w:b/>
          <w:color w:val="000000"/>
          <w:kern w:val="0"/>
          <w:sz w:val="32"/>
          <w:szCs w:val="32"/>
          <w:lang w:eastAsia="zh-CN"/>
        </w:rPr>
      </w:pPr>
      <w:r>
        <w:rPr>
          <w:rFonts w:hint="eastAsia" w:cs="黑体" w:asciiTheme="minorEastAsia" w:hAnsiTheme="minorEastAsia"/>
          <w:b/>
          <w:color w:val="000000"/>
          <w:kern w:val="0"/>
          <w:sz w:val="32"/>
          <w:szCs w:val="32"/>
        </w:rPr>
        <w:t>2021年度部门决算公开</w:t>
      </w:r>
      <w:r>
        <w:rPr>
          <w:rFonts w:hint="eastAsia" w:cs="黑体" w:asciiTheme="minorEastAsia" w:hAnsiTheme="minorEastAsia"/>
          <w:b/>
          <w:color w:val="000000"/>
          <w:kern w:val="0"/>
          <w:sz w:val="32"/>
          <w:szCs w:val="32"/>
          <w:lang w:eastAsia="zh-CN"/>
        </w:rPr>
        <w:t>表</w:t>
      </w:r>
    </w:p>
    <w:p>
      <w:pPr>
        <w:ind w:firstLine="2560" w:firstLineChars="8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2021年度部门整体支出绩效评价报告</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D7B759"/>
    <w:multiLevelType w:val="singleLevel"/>
    <w:tmpl w:val="A5D7B759"/>
    <w:lvl w:ilvl="0" w:tentative="0">
      <w:start w:val="2"/>
      <w:numFmt w:val="decimal"/>
      <w:suff w:val="nothing"/>
      <w:lvlText w:val="%1、"/>
      <w:lvlJc w:val="left"/>
    </w:lvl>
  </w:abstractNum>
  <w:abstractNum w:abstractNumId="1">
    <w:nsid w:val="F3F6CB5F"/>
    <w:multiLevelType w:val="singleLevel"/>
    <w:tmpl w:val="F3F6CB5F"/>
    <w:lvl w:ilvl="0" w:tentative="0">
      <w:start w:val="9"/>
      <w:numFmt w:val="chineseCounting"/>
      <w:suff w:val="nothing"/>
      <w:lvlText w:val="%1、"/>
      <w:lvlJc w:val="left"/>
      <w:rPr>
        <w:rFonts w:hint="eastAsia"/>
      </w:rPr>
    </w:lvl>
  </w:abstractNum>
  <w:abstractNum w:abstractNumId="2">
    <w:nsid w:val="F6F26AFB"/>
    <w:multiLevelType w:val="singleLevel"/>
    <w:tmpl w:val="F6F26AFB"/>
    <w:lvl w:ilvl="0" w:tentative="0">
      <w:start w:val="1"/>
      <w:numFmt w:val="chineseCounting"/>
      <w:suff w:val="nothing"/>
      <w:lvlText w:val="（%1）"/>
      <w:lvlJc w:val="left"/>
      <w:rPr>
        <w:rFonts w:hint="eastAsia"/>
      </w:rPr>
    </w:lvl>
  </w:abstractNum>
  <w:abstractNum w:abstractNumId="3">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3NjMyMTJmMTZlZDUxNmQ5NDk1MWY2MDI2ZWU0MzQ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0638A"/>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1101675"/>
    <w:rsid w:val="02766859"/>
    <w:rsid w:val="03CA1FAF"/>
    <w:rsid w:val="05B11678"/>
    <w:rsid w:val="074D3623"/>
    <w:rsid w:val="089A2898"/>
    <w:rsid w:val="08C571E9"/>
    <w:rsid w:val="090E6DE2"/>
    <w:rsid w:val="09E162A4"/>
    <w:rsid w:val="09E85885"/>
    <w:rsid w:val="0A3463D4"/>
    <w:rsid w:val="0A3A6B8A"/>
    <w:rsid w:val="0BFC73C5"/>
    <w:rsid w:val="0C3E178C"/>
    <w:rsid w:val="0D1C7D1F"/>
    <w:rsid w:val="0D611BD6"/>
    <w:rsid w:val="0E0A401C"/>
    <w:rsid w:val="0EC872B8"/>
    <w:rsid w:val="0F5B515F"/>
    <w:rsid w:val="0F865924"/>
    <w:rsid w:val="0F927BB6"/>
    <w:rsid w:val="0FB748BD"/>
    <w:rsid w:val="0FDA5C70"/>
    <w:rsid w:val="104B4477"/>
    <w:rsid w:val="10C23C81"/>
    <w:rsid w:val="11333889"/>
    <w:rsid w:val="115F7498"/>
    <w:rsid w:val="11D566EF"/>
    <w:rsid w:val="12261E82"/>
    <w:rsid w:val="12BE7183"/>
    <w:rsid w:val="13850E2A"/>
    <w:rsid w:val="140908D1"/>
    <w:rsid w:val="14AD3953"/>
    <w:rsid w:val="16222D53"/>
    <w:rsid w:val="16297009"/>
    <w:rsid w:val="1A4B61EF"/>
    <w:rsid w:val="1C9C6787"/>
    <w:rsid w:val="1D74500E"/>
    <w:rsid w:val="1E65704C"/>
    <w:rsid w:val="1E984D2C"/>
    <w:rsid w:val="1ED1023E"/>
    <w:rsid w:val="1F050AA0"/>
    <w:rsid w:val="1F2939A5"/>
    <w:rsid w:val="20112FE8"/>
    <w:rsid w:val="20F621DE"/>
    <w:rsid w:val="21821CC3"/>
    <w:rsid w:val="21A97250"/>
    <w:rsid w:val="231B474B"/>
    <w:rsid w:val="239D4B92"/>
    <w:rsid w:val="23BD6FE3"/>
    <w:rsid w:val="24286B52"/>
    <w:rsid w:val="24613E12"/>
    <w:rsid w:val="25E76599"/>
    <w:rsid w:val="28774D8D"/>
    <w:rsid w:val="28A96F11"/>
    <w:rsid w:val="290B259E"/>
    <w:rsid w:val="297D349C"/>
    <w:rsid w:val="2B481888"/>
    <w:rsid w:val="2B824D9A"/>
    <w:rsid w:val="2BE07D12"/>
    <w:rsid w:val="2BED6907"/>
    <w:rsid w:val="2FD22068"/>
    <w:rsid w:val="2FEB1FB0"/>
    <w:rsid w:val="30D140CD"/>
    <w:rsid w:val="31093867"/>
    <w:rsid w:val="347A51A8"/>
    <w:rsid w:val="372721A3"/>
    <w:rsid w:val="37620175"/>
    <w:rsid w:val="37A721C1"/>
    <w:rsid w:val="37D526F5"/>
    <w:rsid w:val="38FD77E2"/>
    <w:rsid w:val="39DC0EF4"/>
    <w:rsid w:val="3A2E6CE4"/>
    <w:rsid w:val="3A3D78AC"/>
    <w:rsid w:val="3AB17449"/>
    <w:rsid w:val="3B504A4D"/>
    <w:rsid w:val="3B5B5607"/>
    <w:rsid w:val="3B9823B7"/>
    <w:rsid w:val="3C5E715D"/>
    <w:rsid w:val="3E2148E6"/>
    <w:rsid w:val="3EDB155A"/>
    <w:rsid w:val="3F6727CC"/>
    <w:rsid w:val="3FDB6D16"/>
    <w:rsid w:val="40E045E4"/>
    <w:rsid w:val="417B430D"/>
    <w:rsid w:val="42813BA5"/>
    <w:rsid w:val="42E87780"/>
    <w:rsid w:val="4326474D"/>
    <w:rsid w:val="434370AD"/>
    <w:rsid w:val="438D20D6"/>
    <w:rsid w:val="438D5400"/>
    <w:rsid w:val="43AC2EA4"/>
    <w:rsid w:val="44315157"/>
    <w:rsid w:val="48104EED"/>
    <w:rsid w:val="482125BB"/>
    <w:rsid w:val="49425710"/>
    <w:rsid w:val="499F1133"/>
    <w:rsid w:val="49F033BE"/>
    <w:rsid w:val="4BBA1ED6"/>
    <w:rsid w:val="4C0B15B8"/>
    <w:rsid w:val="4C5C1E13"/>
    <w:rsid w:val="4C6F0F12"/>
    <w:rsid w:val="4E320449"/>
    <w:rsid w:val="4F006FDB"/>
    <w:rsid w:val="4F251D5C"/>
    <w:rsid w:val="4F6C798B"/>
    <w:rsid w:val="4F876573"/>
    <w:rsid w:val="5117067E"/>
    <w:rsid w:val="51226553"/>
    <w:rsid w:val="525C5A95"/>
    <w:rsid w:val="52A31CC8"/>
    <w:rsid w:val="52AF3E17"/>
    <w:rsid w:val="52ED230C"/>
    <w:rsid w:val="53DC50DF"/>
    <w:rsid w:val="543F741C"/>
    <w:rsid w:val="55B94FAC"/>
    <w:rsid w:val="56BC6B02"/>
    <w:rsid w:val="58624863"/>
    <w:rsid w:val="58DC16DE"/>
    <w:rsid w:val="5A5A6D5E"/>
    <w:rsid w:val="5A851901"/>
    <w:rsid w:val="5AD563E4"/>
    <w:rsid w:val="5B2E3D47"/>
    <w:rsid w:val="5B90055D"/>
    <w:rsid w:val="5C910A31"/>
    <w:rsid w:val="5D243653"/>
    <w:rsid w:val="5D303DA6"/>
    <w:rsid w:val="5D88799D"/>
    <w:rsid w:val="5F7541D1"/>
    <w:rsid w:val="60351EDB"/>
    <w:rsid w:val="61504A17"/>
    <w:rsid w:val="61587D6F"/>
    <w:rsid w:val="61F07FA8"/>
    <w:rsid w:val="62531F6F"/>
    <w:rsid w:val="632E2B36"/>
    <w:rsid w:val="64104931"/>
    <w:rsid w:val="64813139"/>
    <w:rsid w:val="64B1730C"/>
    <w:rsid w:val="65827169"/>
    <w:rsid w:val="66B772E6"/>
    <w:rsid w:val="68E72104"/>
    <w:rsid w:val="690305C1"/>
    <w:rsid w:val="6979104D"/>
    <w:rsid w:val="6A1F142A"/>
    <w:rsid w:val="6ACD532A"/>
    <w:rsid w:val="6C861C34"/>
    <w:rsid w:val="6D6261FE"/>
    <w:rsid w:val="6D7140C0"/>
    <w:rsid w:val="6E22598D"/>
    <w:rsid w:val="6FFB6495"/>
    <w:rsid w:val="70344547"/>
    <w:rsid w:val="721101F2"/>
    <w:rsid w:val="73974EC8"/>
    <w:rsid w:val="73D20697"/>
    <w:rsid w:val="73E62FB9"/>
    <w:rsid w:val="74055B35"/>
    <w:rsid w:val="752F1791"/>
    <w:rsid w:val="756607EB"/>
    <w:rsid w:val="777328E3"/>
    <w:rsid w:val="777A2396"/>
    <w:rsid w:val="77E1129B"/>
    <w:rsid w:val="782A3DBC"/>
    <w:rsid w:val="783C764B"/>
    <w:rsid w:val="78AC7708"/>
    <w:rsid w:val="79627585"/>
    <w:rsid w:val="7B5178B1"/>
    <w:rsid w:val="7B5353D8"/>
    <w:rsid w:val="7C136915"/>
    <w:rsid w:val="7C851FFD"/>
    <w:rsid w:val="7C8B6DF3"/>
    <w:rsid w:val="7E693D98"/>
    <w:rsid w:val="7ECD4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5986</Words>
  <Characters>6326</Characters>
  <Lines>69</Lines>
  <Paragraphs>19</Paragraphs>
  <TotalTime>7</TotalTime>
  <ScaleCrop>false</ScaleCrop>
  <LinksUpToDate>false</LinksUpToDate>
  <CharactersWithSpaces>6349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杨云</cp:lastModifiedBy>
  <cp:lastPrinted>2022-07-27T12:55:00Z</cp:lastPrinted>
  <dcterms:modified xsi:type="dcterms:W3CDTF">2023-03-15T08:25:13Z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79C7EF67F3374D4692BE1892E0EDBBD3</vt:lpwstr>
  </property>
</Properties>
</file>