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岳阳县司法局（本级）单位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color w:val="auto"/>
          <w:kern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u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color w:val="auto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第二部分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 xml:space="preserve">  单位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12、一般公共预算基本支出表-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公用</w:t>
      </w:r>
      <w:r>
        <w:rPr>
          <w:rFonts w:eastAsia="仿宋_GB2312"/>
          <w:color w:val="auto"/>
          <w:sz w:val="32"/>
          <w:szCs w:val="32"/>
          <w:u w:val="none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13、一般公共预算基本支出表-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公用</w:t>
      </w:r>
      <w:r>
        <w:rPr>
          <w:rFonts w:eastAsia="仿宋_GB2312"/>
          <w:color w:val="auto"/>
          <w:sz w:val="32"/>
          <w:szCs w:val="32"/>
          <w:u w:val="none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项目支出</w:t>
      </w:r>
      <w:r>
        <w:rPr>
          <w:rFonts w:eastAsia="仿宋_GB2312"/>
          <w:color w:val="auto"/>
          <w:sz w:val="32"/>
          <w:szCs w:val="32"/>
          <w:u w:val="none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  <w:rPr>
          <w:color w:val="auto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  <w:u w:val="none"/>
        </w:rPr>
        <w:t>、</w:t>
      </w:r>
      <w:r>
        <w:rPr>
          <w:rFonts w:hint="eastAsia" w:eastAsia="仿宋_GB2312"/>
          <w:color w:val="auto"/>
          <w:sz w:val="32"/>
          <w:szCs w:val="32"/>
          <w:u w:val="none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eastAsia="仿宋_GB2312"/>
          <w:b/>
          <w:bCs w:val="0"/>
          <w:color w:val="auto"/>
          <w:kern w:val="0"/>
          <w:sz w:val="32"/>
          <w:szCs w:val="32"/>
          <w:u w:val="none"/>
        </w:rPr>
        <w:t>注：以上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公开</w:t>
      </w:r>
      <w:r>
        <w:rPr>
          <w:rFonts w:eastAsia="仿宋_GB2312"/>
          <w:b/>
          <w:bCs w:val="0"/>
          <w:color w:val="auto"/>
          <w:kern w:val="0"/>
          <w:sz w:val="32"/>
          <w:szCs w:val="32"/>
          <w:u w:val="none"/>
        </w:rPr>
        <w:t>报表中，空表表示本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eastAsia="仿宋_GB2312"/>
          <w:b/>
          <w:bCs w:val="0"/>
          <w:color w:val="auto"/>
          <w:kern w:val="0"/>
          <w:sz w:val="32"/>
          <w:szCs w:val="32"/>
          <w:u w:val="none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第一部分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202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年单位预算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一、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 xml:space="preserve"> 1、贯彻执行党和国家、省、市有关司法行政工作的方针、政策和法律、法规及规章；拟定全县司法行政规范性文件，编制全县司法行政工作的中长期规划、年度工作计划，并组织和监督实施；指导管理全县基层司法所及村（居）人民调解委员会、社区矫正、基层法律服务机构的工作、负责对全县刑满释放和解除劳教人员的安置帮教工作、监督管理全县法律援助工作、指导管理全县法律服务机构和法律服务市场；指导律师队伍的行业管理，负责对公证、律师机构及其从业人员的相关管理工作，检查监督律师、公证机构及其人员依法执业情况，对其违法违纪行为进行查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（二）机构设置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岳阳县司法局是岳阳县人民政府工作部门之一，主管全县司法行政工作。机关现有在职人数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80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人。局机关内设办公室、计财装备股、公共法律服务管理股、岳阳县法律援助中心、规范性文件管理股、行政复议应诉股、行政执法协调监督股、法治调研与督查股、政工室、人民参与和促进法治股、社区矫正工作管理股；荣家湾司法所、步仙司法所、中洲司法所、新墙司法所、月田司法所、新开司法所、柏祥司法所、毛田司法所、公田司法所、筻口司法所、东洞庭湖司法所、长湖司法所、黄沙街司法所、麻塘司法所、杨林司法所、张谷英司法所16个派出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年本单位收入预算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1290.07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万元，其中，一般公共预算拨款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1290.07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万元，政府性基金预算拨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万元，国有资本经营预算拨款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万元，财政专户管理资金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万元，上级补助收入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万元，事业单位经营收入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万元，上年结转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194.07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见表2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“本单位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”）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收入较去年增加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了175.56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万元，主要是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因为改变了计算方式，将上年结转结余纳入收入中。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2023年本单位</w:t>
      </w:r>
      <w:r>
        <w:rPr>
          <w:rFonts w:eastAsia="仿宋_GB2312"/>
          <w:color w:val="auto"/>
          <w:sz w:val="32"/>
          <w:szCs w:val="32"/>
          <w:u w:val="none"/>
        </w:rPr>
        <w:t>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1484.14</w:t>
      </w:r>
      <w:r>
        <w:rPr>
          <w:rFonts w:eastAsia="仿宋_GB2312"/>
          <w:color w:val="auto"/>
          <w:sz w:val="32"/>
          <w:szCs w:val="32"/>
          <w:u w:val="none"/>
        </w:rPr>
        <w:t>万元，其中，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公共安全支出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1298.76</w:t>
      </w:r>
      <w:r>
        <w:rPr>
          <w:rFonts w:eastAsia="仿宋_GB2312"/>
          <w:color w:val="auto"/>
          <w:sz w:val="32"/>
          <w:szCs w:val="32"/>
          <w:u w:val="none"/>
        </w:rPr>
        <w:t>万元，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社会保障和就业支出81.86万元，卫生健康支出45.74万元，住房保障支出57.78万元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类级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功能科目列出支出预算明细，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见表6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eastAsia="仿宋_GB2312"/>
          <w:color w:val="auto"/>
          <w:sz w:val="32"/>
          <w:szCs w:val="32"/>
          <w:u w:val="none"/>
        </w:rPr>
        <w:t>。</w:t>
      </w:r>
      <w:r>
        <w:rPr>
          <w:rFonts w:hint="eastAsia" w:eastAsia="仿宋_GB2312"/>
          <w:color w:val="auto"/>
          <w:sz w:val="32"/>
          <w:szCs w:val="32"/>
          <w:u w:val="none"/>
        </w:rPr>
        <w:t>支出较去年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增加了175.56</w:t>
      </w:r>
      <w:r>
        <w:rPr>
          <w:rFonts w:hint="eastAsia" w:eastAsia="仿宋_GB2312"/>
          <w:color w:val="auto"/>
          <w:sz w:val="32"/>
          <w:szCs w:val="32"/>
          <w:u w:val="none"/>
        </w:rPr>
        <w:t>万元，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其中</w:t>
      </w:r>
      <w:r>
        <w:rPr>
          <w:rFonts w:hint="eastAsia" w:eastAsia="仿宋_GB2312"/>
          <w:color w:val="auto"/>
          <w:sz w:val="32"/>
          <w:szCs w:val="32"/>
          <w:u w:val="none"/>
        </w:rPr>
        <w:t>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减少67.28</w:t>
      </w:r>
      <w:r>
        <w:rPr>
          <w:rFonts w:hint="eastAsia" w:eastAsia="仿宋_GB2312"/>
          <w:color w:val="auto"/>
          <w:sz w:val="32"/>
          <w:szCs w:val="32"/>
          <w:u w:val="none"/>
        </w:rPr>
        <w:t>万元，项目支出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242.84</w:t>
      </w:r>
      <w:r>
        <w:rPr>
          <w:rFonts w:hint="eastAsia" w:eastAsia="仿宋_GB2312"/>
          <w:color w:val="auto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见表7、15、18、19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，将其基本支出、项目支出相加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/>
          <w:color w:val="auto"/>
          <w:sz w:val="32"/>
          <w:szCs w:val="32"/>
          <w:u w:val="none"/>
        </w:rPr>
        <w:t>。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其中基本支出较上年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主要是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因为未统发人员的人员经费及办公经费等都放入项目中支出，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主要是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因为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增加了未统发人员经费及办公经费。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一般公共预算拨款支出预算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1484.14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万元，其中</w:t>
      </w:r>
      <w:r>
        <w:rPr>
          <w:rFonts w:eastAsia="仿宋_GB2312"/>
          <w:color w:val="auto"/>
          <w:sz w:val="32"/>
          <w:szCs w:val="32"/>
          <w:u w:val="none"/>
        </w:rPr>
        <w:t>，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2040601行政运行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1298.76</w:t>
      </w:r>
      <w:r>
        <w:rPr>
          <w:rFonts w:eastAsia="仿宋_GB2312"/>
          <w:color w:val="auto"/>
          <w:sz w:val="32"/>
          <w:szCs w:val="32"/>
          <w:u w:val="none"/>
        </w:rPr>
        <w:t>万元，占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87.51</w:t>
      </w:r>
      <w:r>
        <w:rPr>
          <w:rFonts w:hint="eastAsia" w:eastAsia="仿宋_GB2312"/>
          <w:color w:val="auto"/>
          <w:sz w:val="32"/>
          <w:szCs w:val="32"/>
          <w:u w:val="none"/>
        </w:rPr>
        <w:t>%</w:t>
      </w:r>
      <w:r>
        <w:rPr>
          <w:rFonts w:eastAsia="仿宋_GB2312"/>
          <w:color w:val="auto"/>
          <w:sz w:val="32"/>
          <w:szCs w:val="32"/>
          <w:u w:val="none"/>
        </w:rPr>
        <w:t>；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2080505机关事业单位基本养老保险缴费支出77.04万元，占5.19%；2089999其他社会保障和就业支出4.82万元，占0.32%；2101101 行政单位医疗支出45.74万元，占3.08%； 2210201 住房公积金支出57.78万元，占3.89%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见表7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）具体安排情况如下：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（一）基本支出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：2023年基本支出年初预算数为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1139.8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auto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（二）项目支出：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项目支出年初预算数为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344.34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，是指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为完成特定行政工作任务或事业发展目标而发生的支出，包括有关业务工作经费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u w:val="none"/>
        </w:rPr>
        <w:t>运行维护经费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等</w:t>
      </w:r>
      <w:r>
        <w:rPr>
          <w:rFonts w:hint="eastAsia" w:eastAsia="仿宋_GB2312"/>
          <w:color w:val="auto"/>
          <w:sz w:val="32"/>
          <w:szCs w:val="32"/>
          <w:u w:val="none"/>
        </w:rPr>
        <w:t>。其中：运行维护经费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344.34</w:t>
      </w:r>
      <w:r>
        <w:rPr>
          <w:rFonts w:hint="eastAsia" w:eastAsia="仿宋_GB2312"/>
          <w:color w:val="auto"/>
          <w:sz w:val="32"/>
          <w:szCs w:val="32"/>
          <w:u w:val="none"/>
        </w:rPr>
        <w:t>万元，主要用于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普法50万元、人民调解107.57万元、法律援助19万元、社区矫正及安置帮教73万元、行政复议与行政执法培训工作费在34.5万元，司法管理经费60.27万元</w:t>
      </w:r>
      <w:r>
        <w:rPr>
          <w:rFonts w:hint="eastAsia" w:eastAsia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2023年政府性基金预算拨款支出预算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见表15 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)2023年度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”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机关运行经费当年一般公共预算拨款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208.45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见表13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，比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了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44.11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了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26.84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%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。主要原因是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公务交通补贴纳入了机关运行经费中。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“三公”经费预算数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11.28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见表14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，其中，公务接待费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3.38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万元，因公出国（境）费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7.9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其中公务用车购置费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7.9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万元。比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0.52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降低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4.4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%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主要原因是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减少了公务接待.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本单位2023年会议费预算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  <w:lang w:val="en-US" w:eastAsia="zh-CN"/>
        </w:rPr>
        <w:t>见表13会议费+培训费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，拟召开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次会议，人数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150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人，内容为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全县司法行政大会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；培训费预算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政府采购预算总额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123.86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万元，其中工程类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万元，货物类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103.86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万元，服务类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共有车辆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辆，其中领导干部用车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辆，一般公务用车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执法用车1辆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价值50万元以上通用设备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台，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价值100万元以上专用设备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2023年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拟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none"/>
          <w:lang w:eastAsia="zh-CN"/>
        </w:rPr>
        <w:t>报废处置公务用车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none"/>
          <w:lang w:val="en-US" w:eastAsia="zh-CN"/>
        </w:rPr>
        <w:t>0辆，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拟新增配置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车辆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，其中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领导干部用车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辆，一般公务用车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辆，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执法用车1辆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，主要用于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社区矫正执法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，资金来源为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上级转移支付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拟新增配备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价值50万元以上通用设备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台，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价值100万元以上专用设备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台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/>
          <w:bCs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所有支出实行绩效目标管理。纳入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none"/>
          <w:lang w:eastAsia="zh-CN"/>
        </w:rPr>
        <w:t>2023年单位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整体支出绩效目标的金额为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1484.14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1139.8</w:t>
      </w:r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344.34</w:t>
      </w:r>
      <w:bookmarkStart w:id="0" w:name="_GoBack"/>
      <w:bookmarkEnd w:id="0"/>
      <w:r>
        <w:rPr>
          <w:rFonts w:eastAsia="仿宋_GB2312"/>
          <w:bCs/>
          <w:color w:val="auto"/>
          <w:kern w:val="0"/>
          <w:sz w:val="32"/>
          <w:szCs w:val="32"/>
          <w:u w:val="none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1、机关运行经费：是指各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按规定开支的各类公务接待支出；公务用车购置及运行费反映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公务出国（境）的国际旅费、国外城市间交通费、食宿费等支出。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br w:type="page"/>
      </w: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第二部分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单位预算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公开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黑体" w:cs="黑体"/>
          <w:color w:val="auto"/>
          <w:kern w:val="0"/>
          <w:sz w:val="32"/>
          <w:szCs w:val="32"/>
          <w:u w:val="none"/>
          <w:lang w:eastAsia="zh-CN"/>
        </w:rPr>
        <w:t>附件：岳阳县司法局（本级）</w:t>
      </w:r>
      <w:r>
        <w:rPr>
          <w:rFonts w:hint="eastAsia" w:eastAsia="黑体" w:cs="黑体"/>
          <w:color w:val="auto"/>
          <w:kern w:val="0"/>
          <w:sz w:val="32"/>
          <w:szCs w:val="32"/>
          <w:u w:val="none"/>
          <w:lang w:val="en-US" w:eastAsia="zh-CN"/>
        </w:rPr>
        <w:t>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0F91BC-7C1A-46C1-A140-903BB8B51BC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F856EFBA-69C4-4A79-9B9F-1337E6041D5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3AF2B24B-96A0-44F8-8D65-C6ADD2C4778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764BFCD-8830-46AB-92CB-8DCA4DB441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90897C3-4605-4339-97A2-78E7653C8C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B82D5CD-C089-4456-8267-478681EC1209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ODQ2YmE4YjQ2ODA4MDViYTI4N2EzZDA0MTFhZjM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66CFA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1514517"/>
    <w:rsid w:val="0154000B"/>
    <w:rsid w:val="025F6535"/>
    <w:rsid w:val="02945915"/>
    <w:rsid w:val="02DF562C"/>
    <w:rsid w:val="032D48E5"/>
    <w:rsid w:val="039837D0"/>
    <w:rsid w:val="04497920"/>
    <w:rsid w:val="05586FF3"/>
    <w:rsid w:val="069419C6"/>
    <w:rsid w:val="081929B8"/>
    <w:rsid w:val="08281851"/>
    <w:rsid w:val="08A36CAE"/>
    <w:rsid w:val="0AF15A72"/>
    <w:rsid w:val="0C0C6008"/>
    <w:rsid w:val="0C4F7AFC"/>
    <w:rsid w:val="0C9D3E5B"/>
    <w:rsid w:val="0D5B6622"/>
    <w:rsid w:val="0E064421"/>
    <w:rsid w:val="0ED234CD"/>
    <w:rsid w:val="0F654CC7"/>
    <w:rsid w:val="0F9E0A26"/>
    <w:rsid w:val="119B7DE2"/>
    <w:rsid w:val="12D97A65"/>
    <w:rsid w:val="13E42B8F"/>
    <w:rsid w:val="15D9563A"/>
    <w:rsid w:val="174A36DB"/>
    <w:rsid w:val="189D68C0"/>
    <w:rsid w:val="19420C90"/>
    <w:rsid w:val="19D5374E"/>
    <w:rsid w:val="1A0B1C7C"/>
    <w:rsid w:val="1A9F3D3E"/>
    <w:rsid w:val="1AB77AA9"/>
    <w:rsid w:val="1AC31CB7"/>
    <w:rsid w:val="1BEF6124"/>
    <w:rsid w:val="1C8E7152"/>
    <w:rsid w:val="1F1F1226"/>
    <w:rsid w:val="1F884BDD"/>
    <w:rsid w:val="21A97250"/>
    <w:rsid w:val="2268336E"/>
    <w:rsid w:val="253C6407"/>
    <w:rsid w:val="26570D53"/>
    <w:rsid w:val="27D848B8"/>
    <w:rsid w:val="2CDB483B"/>
    <w:rsid w:val="2FC40521"/>
    <w:rsid w:val="30546E25"/>
    <w:rsid w:val="3405688C"/>
    <w:rsid w:val="34E11E02"/>
    <w:rsid w:val="37871A66"/>
    <w:rsid w:val="388764A3"/>
    <w:rsid w:val="3AD60BC6"/>
    <w:rsid w:val="3BC82B6A"/>
    <w:rsid w:val="3E4D3BDD"/>
    <w:rsid w:val="3ECE16C5"/>
    <w:rsid w:val="41DA7DB9"/>
    <w:rsid w:val="447637E8"/>
    <w:rsid w:val="489108BA"/>
    <w:rsid w:val="49EF4858"/>
    <w:rsid w:val="4AE9742D"/>
    <w:rsid w:val="4BA67C06"/>
    <w:rsid w:val="4CA46ED7"/>
    <w:rsid w:val="4D013E21"/>
    <w:rsid w:val="4D8D7228"/>
    <w:rsid w:val="4DDD2C7F"/>
    <w:rsid w:val="4E251660"/>
    <w:rsid w:val="4EC83910"/>
    <w:rsid w:val="4F1826FF"/>
    <w:rsid w:val="50103163"/>
    <w:rsid w:val="506C2AB0"/>
    <w:rsid w:val="53344C63"/>
    <w:rsid w:val="53464800"/>
    <w:rsid w:val="55295806"/>
    <w:rsid w:val="55D3446A"/>
    <w:rsid w:val="593F63D3"/>
    <w:rsid w:val="5B2B638A"/>
    <w:rsid w:val="5B423ECD"/>
    <w:rsid w:val="5C637526"/>
    <w:rsid w:val="5CDA4DA9"/>
    <w:rsid w:val="601B6F8F"/>
    <w:rsid w:val="60252573"/>
    <w:rsid w:val="62606C2B"/>
    <w:rsid w:val="62820F98"/>
    <w:rsid w:val="64035B71"/>
    <w:rsid w:val="64DB31B9"/>
    <w:rsid w:val="681842B0"/>
    <w:rsid w:val="6A4F02F7"/>
    <w:rsid w:val="6AE87D9C"/>
    <w:rsid w:val="6B61739E"/>
    <w:rsid w:val="6CCD20F0"/>
    <w:rsid w:val="6F8561D3"/>
    <w:rsid w:val="70271B5B"/>
    <w:rsid w:val="70A379FF"/>
    <w:rsid w:val="71AC0C24"/>
    <w:rsid w:val="73473B43"/>
    <w:rsid w:val="773C67F0"/>
    <w:rsid w:val="7B2B3AD3"/>
    <w:rsid w:val="7DFA5EB0"/>
    <w:rsid w:val="7E3E736E"/>
    <w:rsid w:val="7F0C6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10</Pages>
  <Words>3091</Words>
  <Characters>3419</Characters>
  <Lines>38</Lines>
  <Paragraphs>10</Paragraphs>
  <TotalTime>60</TotalTime>
  <ScaleCrop>false</ScaleCrop>
  <LinksUpToDate>false</LinksUpToDate>
  <CharactersWithSpaces>3447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2023-03-20T06:45:35Z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DB089470541F4643ABE00D0ED1CFA9BF</vt:lpwstr>
  </property>
</Properties>
</file>