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名称：湖南省岳阳县大云山国家森林管理处</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算编码：425001</w:t>
      </w:r>
    </w:p>
    <w:p>
      <w:pPr>
        <w:spacing w:beforeLines="50" w:line="348" w:lineRule="auto"/>
        <w:ind w:firstLine="476" w:firstLineChars="150"/>
        <w:rPr>
          <w:rFonts w:eastAsia="仿宋_GB2312"/>
          <w:sz w:val="32"/>
          <w:szCs w:val="32"/>
        </w:rPr>
      </w:pPr>
      <w:r>
        <w:rPr>
          <w:rFonts w:hint="eastAsia" w:eastAsia="仿宋_GB2312"/>
          <w:sz w:val="32"/>
          <w:szCs w:val="32"/>
        </w:rPr>
        <w:t>评价方式：</w:t>
      </w:r>
      <w:r>
        <w:rPr>
          <w:rFonts w:hint="eastAsia" w:eastAsia="仿宋_GB2312"/>
          <w:sz w:val="32"/>
          <w:szCs w:val="32"/>
          <w:lang w:eastAsia="zh-CN"/>
        </w:rPr>
        <w:t>岳阳县</w:t>
      </w:r>
      <w:r>
        <w:rPr>
          <w:rFonts w:hint="eastAsia" w:eastAsia="仿宋_GB2312"/>
          <w:sz w:val="32"/>
          <w:szCs w:val="32"/>
        </w:rPr>
        <w:t>大云山国家森林</w:t>
      </w:r>
      <w:r>
        <w:rPr>
          <w:rFonts w:hint="eastAsia" w:eastAsia="仿宋_GB2312"/>
          <w:sz w:val="32"/>
          <w:szCs w:val="32"/>
          <w:lang w:val="en-US" w:eastAsia="zh-CN"/>
        </w:rPr>
        <w:t>公园管</w:t>
      </w:r>
      <w:r>
        <w:rPr>
          <w:rFonts w:hint="eastAsia" w:eastAsia="仿宋_GB2312"/>
          <w:sz w:val="32"/>
          <w:szCs w:val="32"/>
        </w:rPr>
        <w:t>理处绩效自评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w:t>
      </w:r>
      <w:r>
        <w:rPr>
          <w:rFonts w:hint="eastAsia" w:eastAsia="仿宋_GB2312"/>
          <w:sz w:val="32"/>
          <w:szCs w:val="32"/>
          <w:lang w:eastAsia="zh-CN"/>
        </w:rPr>
        <w:t>岳阳县</w:t>
      </w:r>
      <w:r>
        <w:rPr>
          <w:rFonts w:hint="eastAsia" w:eastAsia="仿宋_GB2312"/>
          <w:sz w:val="32"/>
          <w:szCs w:val="32"/>
        </w:rPr>
        <w:t>大云山国家森林</w:t>
      </w:r>
      <w:r>
        <w:rPr>
          <w:rFonts w:hint="eastAsia" w:eastAsia="仿宋_GB2312"/>
          <w:sz w:val="32"/>
          <w:szCs w:val="32"/>
          <w:lang w:val="en-US" w:eastAsia="zh-CN"/>
        </w:rPr>
        <w:t>公园管</w:t>
      </w:r>
      <w:r>
        <w:rPr>
          <w:rFonts w:hint="eastAsia" w:eastAsia="仿宋_GB2312"/>
          <w:sz w:val="32"/>
          <w:szCs w:val="32"/>
        </w:rPr>
        <w:t>理处评价组</w:t>
      </w:r>
    </w:p>
    <w:p>
      <w:pPr>
        <w:spacing w:line="348" w:lineRule="auto"/>
        <w:jc w:val="both"/>
        <w:rPr>
          <w:rFonts w:hint="eastAsia" w:eastAsia="仿宋_GB2312"/>
          <w:sz w:val="32"/>
        </w:rPr>
      </w:pPr>
    </w:p>
    <w:p>
      <w:pPr>
        <w:spacing w:line="348" w:lineRule="auto"/>
        <w:jc w:val="both"/>
        <w:rPr>
          <w:rFonts w:hint="eastAsia" w:eastAsia="仿宋_GB2312"/>
          <w:sz w:val="32"/>
        </w:rPr>
      </w:pPr>
    </w:p>
    <w:p>
      <w:pPr>
        <w:spacing w:line="348" w:lineRule="auto"/>
        <w:jc w:val="both"/>
        <w:rPr>
          <w:rFonts w:hint="eastAsia" w:eastAsia="仿宋_GB2312"/>
          <w:sz w:val="32"/>
        </w:rPr>
      </w:pPr>
    </w:p>
    <w:p>
      <w:pPr>
        <w:spacing w:line="348" w:lineRule="auto"/>
        <w:jc w:val="center"/>
        <w:rPr>
          <w:rFonts w:eastAsia="仿宋_GB2312"/>
          <w:sz w:val="32"/>
          <w:szCs w:val="32"/>
        </w:rPr>
      </w:pPr>
      <w:r>
        <w:rPr>
          <w:rFonts w:hint="eastAsia" w:eastAsia="仿宋_GB2312"/>
          <w:sz w:val="32"/>
        </w:rPr>
        <w:t>报告日期：2022年06月</w:t>
      </w:r>
      <w:r>
        <w:rPr>
          <w:rFonts w:hint="eastAsia" w:eastAsia="仿宋_GB2312"/>
          <w:sz w:val="32"/>
          <w:lang w:val="en-US" w:eastAsia="zh-CN"/>
        </w:rPr>
        <w:t>30</w:t>
      </w:r>
      <w:r>
        <w:rPr>
          <w:rFonts w:hint="eastAsia" w:eastAsia="仿宋_GB2312"/>
          <w:sz w:val="32"/>
        </w:rPr>
        <w:t>日</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523"/>
        <w:gridCol w:w="1990"/>
        <w:gridCol w:w="455"/>
        <w:gridCol w:w="495"/>
        <w:gridCol w:w="324"/>
        <w:gridCol w:w="261"/>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27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冯思</w:t>
            </w:r>
          </w:p>
        </w:tc>
        <w:tc>
          <w:tcPr>
            <w:tcW w:w="32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60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18229852340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27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w:t>
            </w:r>
          </w:p>
        </w:tc>
        <w:tc>
          <w:tcPr>
            <w:tcW w:w="32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60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大云山国家森林公园</w:t>
            </w:r>
            <w:r>
              <w:rPr>
                <w:rFonts w:hint="eastAsia" w:ascii="仿宋_GB2312" w:hAnsi="仿宋_GB2312" w:eastAsia="仿宋_GB2312" w:cs="仿宋_GB2312"/>
                <w:color w:val="000000"/>
                <w:sz w:val="24"/>
                <w:lang w:val="en-US" w:eastAsia="zh-CN"/>
              </w:rPr>
              <w:t>管理处主要负责公园管辖范围内的</w:t>
            </w:r>
            <w:r>
              <w:rPr>
                <w:rFonts w:hint="eastAsia" w:ascii="仿宋_GB2312" w:hAnsi="仿宋_GB2312" w:eastAsia="仿宋_GB2312" w:cs="仿宋_GB2312"/>
                <w:color w:val="000000"/>
                <w:sz w:val="24"/>
              </w:rPr>
              <w:t>森林管护</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森林培育、文化建设、旅游发展、经济建设、生产建设、生态文明建设等事务</w:t>
            </w:r>
            <w:r>
              <w:rPr>
                <w:rFonts w:hint="eastAsia" w:ascii="仿宋_GB2312" w:hAnsi="仿宋_GB2312" w:eastAsia="仿宋_GB2312" w:cs="仿宋_GB2312"/>
                <w:color w:val="000000"/>
                <w:sz w:val="24"/>
              </w:rPr>
              <w:t>。配合旅游部门编制大云山国家森林公园旅游发展规划，并组织实施旅游开发，负责旅游设施和服务设施建设，对外招商引资工作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负责景区内宗教活动场所的协调工作和文物保护工作。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任务1：培育森林</w:t>
            </w:r>
            <w:r>
              <w:rPr>
                <w:rFonts w:hint="eastAsia" w:ascii="仿宋_GB2312" w:hAnsi="仿宋_GB2312" w:eastAsia="仿宋_GB2312" w:cs="仿宋_GB2312"/>
                <w:color w:val="000000"/>
                <w:sz w:val="24"/>
                <w:lang w:val="en-US" w:eastAsia="zh-CN"/>
              </w:rPr>
              <w:t>管护</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全力维护好现有的</w:t>
            </w:r>
            <w:r>
              <w:rPr>
                <w:rFonts w:hint="eastAsia" w:ascii="仿宋_GB2312" w:hAnsi="仿宋_GB2312" w:eastAsia="仿宋_GB2312" w:cs="仿宋_GB2312"/>
                <w:color w:val="000000"/>
                <w:sz w:val="24"/>
              </w:rPr>
              <w:t>生态环境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任务2：重点时期</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扎实推进防火</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防汛、护林、管护等日常性</w:t>
            </w:r>
            <w:r>
              <w:rPr>
                <w:rFonts w:hint="eastAsia" w:ascii="仿宋_GB2312" w:hAnsi="仿宋_GB2312" w:eastAsia="仿宋_GB2312" w:cs="仿宋_GB2312"/>
                <w:color w:val="000000"/>
                <w:sz w:val="24"/>
              </w:rPr>
              <w:t>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任务3：扎实推进旅游开发工作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任务4：争资引项工作成效显著</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任务5：加强制度及精神文明建设</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lang w:eastAsia="zh-CN"/>
              </w:rPr>
              <w:t xml:space="preserve"> </w:t>
            </w:r>
            <w:r>
              <w:rPr>
                <w:rFonts w:hint="eastAsia" w:ascii="仿宋_GB2312" w:hAnsi="仿宋_GB2312" w:eastAsia="仿宋_GB2312" w:cs="仿宋_GB2312"/>
                <w:color w:val="000000"/>
                <w:spacing w:val="-6"/>
                <w:sz w:val="24"/>
                <w:lang w:val="en-US" w:eastAsia="zh-CN"/>
              </w:rPr>
              <w:t xml:space="preserve">                                                                                                                                                                                                                                                                                                                                                                                                                                                                                                                     </w:t>
            </w: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1、加强森林资源的培育，加强生态环境的管护。</w:t>
            </w:r>
            <w:r>
              <w:rPr>
                <w:rFonts w:hint="eastAsia" w:ascii="仿宋_GB2312" w:hAnsi="仿宋_GB2312" w:eastAsia="仿宋_GB2312" w:cs="仿宋_GB2312"/>
                <w:bCs/>
                <w:color w:val="000000"/>
                <w:sz w:val="24"/>
              </w:rPr>
              <w:t>全面禁止乱挖、乱采、乱砍、乱填等</w:t>
            </w:r>
            <w:r>
              <w:rPr>
                <w:rFonts w:hint="eastAsia" w:ascii="仿宋_GB2312" w:hAnsi="仿宋_GB2312" w:eastAsia="仿宋_GB2312" w:cs="仿宋_GB2312"/>
                <w:color w:val="000000"/>
                <w:sz w:val="24"/>
              </w:rPr>
              <w:t>。景区范围内不得新开基建房和建新坟，全场禁放烟花爆竹和野外用火，并做好相邻交界乡镇、村组的护林防火联防工作。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2、2021年，从9月15日开始进防火期后，全场禁放烟花爆竹，无野外用火.加大宣传力度，做到家喻户晓。协调周边乡镇关系，签订联防协议。出台管理办法，加大打击惩治力度。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3、国家4A级旅游景区创建已完成第一阶段景评，获评新华网评选的“全国优质康养休闲旅游目的地”称号。2021年2000亩景观林的打造已完工；竹海林的打造、旅游产品（竹笋）的开发已经启动，目前进展顺利。</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主动对接国家省市林业、发改、文旅等相关部门，争取项目与资金。引进专业文旅集团公司合作开发运营大云山旅游事项已进入实质性运作阶段。大云山森林防火带修复、防火应急通道、火警瞭望台、应急水源地等建设纳入省森林防火应急规划，将林区道路、看护用房、森林步道建设等纳入省林业的林场建设、旅游发展等规划。</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5、管理处班子重视单位内部管理和精神文明建设工作，坚持“两手抓”，统筹兼顾，采取一系列工作措施，进一步规范内部管理，提高精神文明建设水平。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99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1709.0</w:t>
            </w:r>
            <w:r>
              <w:rPr>
                <w:rFonts w:hint="eastAsia" w:ascii="仿宋_GB2312" w:hAnsi="仿宋_GB2312" w:eastAsia="仿宋_GB2312" w:cs="仿宋_GB2312"/>
                <w:color w:val="000000"/>
                <w:sz w:val="24"/>
                <w:lang w:val="en-US" w:eastAsia="zh-CN"/>
              </w:rPr>
              <w:t>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434.4</w:t>
            </w:r>
            <w:r>
              <w:rPr>
                <w:rFonts w:hint="eastAsia" w:ascii="仿宋_GB2312" w:hAnsi="仿宋_GB2312" w:eastAsia="仿宋_GB2312" w:cs="仿宋_GB2312"/>
                <w:color w:val="000000"/>
                <w:sz w:val="24"/>
                <w:lang w:val="en-US" w:eastAsia="zh-CN"/>
              </w:rPr>
              <w:t>4</w:t>
            </w: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727.72</w:t>
            </w:r>
          </w:p>
        </w:tc>
        <w:tc>
          <w:tcPr>
            <w:tcW w:w="199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546.8</w:t>
            </w:r>
            <w:r>
              <w:rPr>
                <w:rFonts w:hint="eastAsia" w:ascii="仿宋_GB2312" w:hAnsi="仿宋_GB2312" w:eastAsia="仿宋_GB2312" w:cs="仿宋_GB2312"/>
                <w:color w:val="000000"/>
                <w:sz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1709.0</w:t>
            </w:r>
            <w:r>
              <w:rPr>
                <w:rFonts w:hint="eastAsia" w:ascii="仿宋_GB2312" w:hAnsi="仿宋_GB2312" w:eastAsia="仿宋_GB2312" w:cs="仿宋_GB2312"/>
                <w:color w:val="000000"/>
                <w:sz w:val="24"/>
                <w:lang w:val="en-US" w:eastAsia="zh-CN"/>
              </w:rPr>
              <w:t>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434.4</w:t>
            </w:r>
            <w:r>
              <w:rPr>
                <w:rFonts w:hint="eastAsia" w:ascii="仿宋_GB2312" w:hAnsi="仿宋_GB2312" w:eastAsia="仿宋_GB2312" w:cs="仿宋_GB2312"/>
                <w:color w:val="000000"/>
                <w:sz w:val="24"/>
                <w:lang w:val="en-US" w:eastAsia="zh-CN"/>
              </w:rPr>
              <w:t>4</w:t>
            </w: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727.72</w:t>
            </w:r>
          </w:p>
        </w:tc>
        <w:tc>
          <w:tcPr>
            <w:tcW w:w="199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546.8</w:t>
            </w:r>
            <w:r>
              <w:rPr>
                <w:rFonts w:hint="eastAsia" w:ascii="仿宋_GB2312" w:hAnsi="仿宋_GB2312" w:eastAsia="仿宋_GB2312" w:cs="仿宋_GB2312"/>
                <w:color w:val="000000"/>
                <w:sz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99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99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4"/>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3"/>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4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3"/>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highlight w:val="none"/>
              </w:rPr>
              <w:t>1709.0</w:t>
            </w:r>
            <w:r>
              <w:rPr>
                <w:rFonts w:hint="eastAsia" w:ascii="仿宋_GB2312" w:hAnsi="仿宋_GB2312" w:eastAsia="仿宋_GB2312" w:cs="仿宋_GB2312"/>
                <w:color w:val="000000"/>
                <w:sz w:val="24"/>
                <w:highlight w:val="none"/>
                <w:lang w:val="en-US" w:eastAsia="zh-CN"/>
              </w:rPr>
              <w:t>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424.8</w:t>
            </w:r>
            <w:r>
              <w:rPr>
                <w:rFonts w:hint="eastAsia" w:ascii="仿宋_GB2312" w:hAnsi="仿宋_GB2312" w:eastAsia="仿宋_GB2312" w:cs="仿宋_GB2312"/>
                <w:color w:val="000000"/>
                <w:sz w:val="24"/>
                <w:lang w:val="en-US" w:eastAsia="zh-CN"/>
              </w:rPr>
              <w:t>8</w:t>
            </w: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322.62</w:t>
            </w:r>
          </w:p>
        </w:tc>
        <w:tc>
          <w:tcPr>
            <w:tcW w:w="24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102.25</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1284.16</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1709.0</w:t>
            </w:r>
            <w:r>
              <w:rPr>
                <w:rFonts w:hint="eastAsia" w:ascii="仿宋_GB2312" w:hAnsi="仿宋_GB2312" w:eastAsia="仿宋_GB2312" w:cs="仿宋_GB2312"/>
                <w:color w:val="000000"/>
                <w:sz w:val="24"/>
                <w:lang w:val="en-US" w:eastAsia="zh-CN"/>
              </w:rPr>
              <w:t>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424.8</w:t>
            </w:r>
            <w:r>
              <w:rPr>
                <w:rFonts w:hint="eastAsia" w:ascii="仿宋_GB2312" w:hAnsi="仿宋_GB2312" w:eastAsia="仿宋_GB2312" w:cs="仿宋_GB2312"/>
                <w:color w:val="000000"/>
                <w:sz w:val="24"/>
                <w:lang w:val="en-US" w:eastAsia="zh-CN"/>
              </w:rPr>
              <w:t>8</w:t>
            </w: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322.62</w:t>
            </w:r>
          </w:p>
        </w:tc>
        <w:tc>
          <w:tcPr>
            <w:tcW w:w="24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102.25</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1284.16</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4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0.16</w:t>
            </w: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2.25</w:t>
            </w:r>
          </w:p>
        </w:tc>
        <w:tc>
          <w:tcPr>
            <w:tcW w:w="24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0.16</w:t>
            </w: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2.25</w:t>
            </w:r>
          </w:p>
        </w:tc>
        <w:tc>
          <w:tcPr>
            <w:tcW w:w="24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15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929"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84.57</w:t>
            </w:r>
          </w:p>
        </w:tc>
        <w:tc>
          <w:tcPr>
            <w:tcW w:w="215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84.57</w:t>
            </w:r>
          </w:p>
        </w:tc>
        <w:tc>
          <w:tcPr>
            <w:tcW w:w="3929"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84.57</w:t>
            </w:r>
          </w:p>
        </w:tc>
        <w:tc>
          <w:tcPr>
            <w:tcW w:w="215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84.57</w:t>
            </w:r>
          </w:p>
        </w:tc>
        <w:tc>
          <w:tcPr>
            <w:tcW w:w="3929"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5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929"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5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929"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489"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87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489"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目标1：全年预算申请到位和下达数量在95%以上，三公经费变动率缩减。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目标2：社会效益、经济效益、生态效益、可持续影响和社会公众满意度达到预期目标。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目标3：大力发展旅游经济，招商引资加强基础设施建设。</w:t>
            </w:r>
          </w:p>
        </w:tc>
        <w:tc>
          <w:tcPr>
            <w:tcW w:w="487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1、全年预算申请到位和下达数量达100%，“三公”经费变动缩减。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2、社会效益、经济效益、生态效益、可持续影响和社会公众满意度达到预期目标。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三战三捷”摩崖石刻展示工程暨抗战纪念园项目已通过省发改委、省文物局初审后已报国家发改委和国家文物局；大云山国家4A级景区旅游基础设施项目已纳入省发改委2022年项目库；大云山旅游基础设施国债项目和碳汇德行贷款项目均已通过省发改委、省财政厅和省林业局的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46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93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46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ascii="仿宋_GB2312" w:hAnsi="仿宋_GB2312" w:eastAsia="仿宋_GB2312" w:cs="仿宋_GB2312"/>
                <w:color w:val="000000"/>
                <w:sz w:val="24"/>
              </w:rPr>
              <w:t>政府采购执行率</w:t>
            </w:r>
          </w:p>
        </w:tc>
        <w:tc>
          <w:tcPr>
            <w:tcW w:w="193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46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指标2：公务卡刷卡率</w:t>
            </w:r>
          </w:p>
        </w:tc>
        <w:tc>
          <w:tcPr>
            <w:tcW w:w="193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46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指标1：“三公经费”变动率</w:t>
            </w:r>
          </w:p>
        </w:tc>
        <w:tc>
          <w:tcPr>
            <w:tcW w:w="193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缩减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46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指标2：财政供养人员控制率</w:t>
            </w:r>
          </w:p>
        </w:tc>
        <w:tc>
          <w:tcPr>
            <w:tcW w:w="193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46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指标1：森林资源管护</w:t>
            </w:r>
          </w:p>
        </w:tc>
        <w:tc>
          <w:tcPr>
            <w:tcW w:w="193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46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指标1：全年财政整体支出</w:t>
            </w:r>
          </w:p>
        </w:tc>
        <w:tc>
          <w:tcPr>
            <w:tcW w:w="193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highlight w:val="none"/>
              </w:rPr>
              <w:t>1709.03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46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指标1：带动农民就业1000人以上</w:t>
            </w:r>
          </w:p>
        </w:tc>
        <w:tc>
          <w:tcPr>
            <w:tcW w:w="193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46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ascii="仿宋_GB2312" w:hAnsi="仿宋_GB2312" w:eastAsia="仿宋_GB2312" w:cs="仿宋_GB2312"/>
                <w:color w:val="000000"/>
                <w:sz w:val="24"/>
              </w:rPr>
              <w:t>推动我园绿色经济发展，提高人均收入水平，大力发展旅游经济</w:t>
            </w:r>
          </w:p>
        </w:tc>
        <w:tc>
          <w:tcPr>
            <w:tcW w:w="193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46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指标1：森林资源得到有效管护，生态环境得到大力改善，林农经济效益得到大幅提升，生态功能进一步完善</w:t>
            </w:r>
          </w:p>
        </w:tc>
        <w:tc>
          <w:tcPr>
            <w:tcW w:w="193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46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指标1：被维护对象满意率高于90%；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指标2：群众满意率高于90%</w:t>
            </w:r>
          </w:p>
        </w:tc>
        <w:tc>
          <w:tcPr>
            <w:tcW w:w="193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27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32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60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周水果</w:t>
            </w:r>
          </w:p>
        </w:tc>
        <w:tc>
          <w:tcPr>
            <w:tcW w:w="327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管理处党组书记，主任</w:t>
            </w:r>
          </w:p>
        </w:tc>
        <w:tc>
          <w:tcPr>
            <w:tcW w:w="32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大云山国家森林公园管理处</w:t>
            </w:r>
          </w:p>
        </w:tc>
        <w:tc>
          <w:tcPr>
            <w:tcW w:w="160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jc w:val="center"/>
              <w:rPr>
                <w:rFonts w:hint="eastAsia"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成卫军</w:t>
            </w:r>
          </w:p>
        </w:tc>
        <w:tc>
          <w:tcPr>
            <w:tcW w:w="327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管理处副主任</w:t>
            </w:r>
          </w:p>
        </w:tc>
        <w:tc>
          <w:tcPr>
            <w:tcW w:w="32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大云山国家森林公园管理处</w:t>
            </w:r>
          </w:p>
        </w:tc>
        <w:tc>
          <w:tcPr>
            <w:tcW w:w="160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彭先红</w:t>
            </w:r>
          </w:p>
        </w:tc>
        <w:tc>
          <w:tcPr>
            <w:tcW w:w="327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管理处计财股长</w:t>
            </w:r>
          </w:p>
        </w:tc>
        <w:tc>
          <w:tcPr>
            <w:tcW w:w="32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大云山国家森林公园管理处</w:t>
            </w:r>
          </w:p>
        </w:tc>
        <w:tc>
          <w:tcPr>
            <w:tcW w:w="160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冯</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思</w:t>
            </w:r>
          </w:p>
        </w:tc>
        <w:tc>
          <w:tcPr>
            <w:tcW w:w="327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管理处会计</w:t>
            </w:r>
          </w:p>
        </w:tc>
        <w:tc>
          <w:tcPr>
            <w:tcW w:w="32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大云山国家森林公园管理处</w:t>
            </w:r>
          </w:p>
        </w:tc>
        <w:tc>
          <w:tcPr>
            <w:tcW w:w="160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8"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大云山公园管理处</w:t>
            </w: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firstLine="4080" w:firstLineChars="17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大云山公园管理处</w:t>
            </w:r>
            <w:r>
              <w:rPr>
                <w:rFonts w:hint="eastAsia" w:ascii="仿宋_GB2312" w:hAnsi="仿宋_GB2312" w:eastAsia="仿宋_GB2312" w:cs="仿宋_GB2312"/>
                <w:color w:val="000000"/>
                <w:sz w:val="24"/>
              </w:rPr>
              <w:t>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年    月    日</w:t>
            </w:r>
          </w:p>
        </w:tc>
      </w:tr>
    </w:tbl>
    <w:p>
      <w:pPr>
        <w:rPr>
          <w:rFonts w:eastAsia="仿宋_GB2312" w:cs="仿宋_GB2312"/>
          <w:bCs/>
          <w:sz w:val="28"/>
          <w:szCs w:val="28"/>
        </w:rPr>
      </w:pPr>
      <w:r>
        <w:rPr>
          <w:rFonts w:hint="eastAsia" w:eastAsia="仿宋_GB2312" w:cs="仿宋_GB2312"/>
          <w:bCs/>
          <w:sz w:val="28"/>
          <w:szCs w:val="28"/>
        </w:rPr>
        <w:t>填报人（签名）：</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五、评价报告综述（文字部分）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val="en-US" w:eastAsia="zh-CN"/>
              </w:rPr>
              <w:t>公园总体</w:t>
            </w:r>
            <w:r>
              <w:rPr>
                <w:rFonts w:hint="eastAsia" w:ascii="仿宋_GB2312" w:hAnsi="仿宋_GB2312" w:eastAsia="仿宋_GB2312" w:cs="仿宋_GB2312"/>
                <w:bCs/>
                <w:sz w:val="28"/>
                <w:szCs w:val="28"/>
              </w:rPr>
              <w:t>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大云山国家森林公园为县管正科级事业单位，为全额财政拨款行政事业单位。主要职能森林管护，发展旅游。配合旅游部门编制大云山国家森林公园旅游发展规划，并组织实施旅游开发，负责旅游设施和服务设施建设，对外招商引资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内设机构为：办公室、计财股、营林生产股、林政股、综合管理股。202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年核定全额拨款事业编制18名，现在编在岗20人，其中管理人员9名，专业技术人员8名，后勤人员3人。核定管理处领导职数为正科级职数1名，副科级职数3名，股级职数7名。</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val="en-US" w:eastAsia="zh-CN"/>
              </w:rPr>
              <w:t>公园</w:t>
            </w:r>
            <w:r>
              <w:rPr>
                <w:rFonts w:hint="eastAsia" w:ascii="仿宋_GB2312" w:hAnsi="仿宋_GB2312" w:eastAsia="仿宋_GB2312" w:cs="仿宋_GB2312"/>
                <w:bCs/>
                <w:sz w:val="28"/>
                <w:szCs w:val="28"/>
              </w:rPr>
              <w:t>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2021年整体支出共计1709.0</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万元，其中基本支出424.8</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万元，主要包括人员经费、公用支出等方面；项目支出1284.16，主要用于项目相关开支</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val="en-US" w:eastAsia="zh-CN"/>
              </w:rPr>
              <w:t>大云山公园管理处</w:t>
            </w:r>
            <w:r>
              <w:rPr>
                <w:rFonts w:hint="eastAsia" w:ascii="仿宋_GB2312" w:hAnsi="仿宋_GB2312" w:eastAsia="仿宋_GB2312" w:cs="仿宋_GB2312"/>
                <w:bCs/>
                <w:sz w:val="28"/>
                <w:szCs w:val="28"/>
              </w:rPr>
              <w:t>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1、2021年县大云山森林公园管理处基本支出424.8</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万元，其中：人员支出322.6</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万元；公共支出102.25万元。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2、严格控制“三公经费”管理。公务接待0.16万元、公务用车运维费2.25万元,无因公出国出境支出，均在预算范围内。</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各级财政安排我单位专项资金共1284.16万元。其中：文化和旅游支出450万，林业和草原建设和停伐补助支出75.3万，机关服务和城乡社区环境卫生支出68.9万，生产发展支出40万，林业草原防灾减灾支出30万，就业补助支出19，其他项目600.96万。</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各专项资金使用情况及拨付情况较为及时，严格按照资金文使用方向拨付，支付手续齐全，使用效果较好。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为规范专项资金使用，提高专项资金使用效益，我单位主要采取四项措施。一是制订专项资金管理制度；二是各专项资金建立了专帐；三是制订了项目实施方案；四是认真组织项目验收，专项资金做到专款专用。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w:t>
            </w:r>
            <w:r>
              <w:rPr>
                <w:rFonts w:hint="eastAsia" w:ascii="仿宋_GB2312" w:hAnsi="仿宋_GB2312" w:eastAsia="仿宋_GB2312" w:cs="仿宋_GB2312"/>
                <w:bCs/>
                <w:sz w:val="28"/>
                <w:szCs w:val="28"/>
                <w:lang w:val="en-US" w:eastAsia="zh-CN"/>
              </w:rPr>
              <w:t>公园管理处</w:t>
            </w:r>
            <w:r>
              <w:rPr>
                <w:rFonts w:hint="eastAsia" w:ascii="仿宋_GB2312" w:hAnsi="仿宋_GB2312" w:eastAsia="仿宋_GB2312" w:cs="仿宋_GB2312"/>
                <w:bCs/>
                <w:sz w:val="28"/>
                <w:szCs w:val="28"/>
              </w:rPr>
              <w:t>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大云山公园管理处</w:t>
            </w:r>
            <w:r>
              <w:rPr>
                <w:rFonts w:hint="eastAsia" w:ascii="仿宋_GB2312" w:hAnsi="仿宋_GB2312" w:eastAsia="仿宋_GB2312" w:cs="仿宋_GB2312"/>
                <w:bCs/>
                <w:sz w:val="28"/>
                <w:szCs w:val="28"/>
                <w:highlight w:val="none"/>
              </w:rPr>
              <w:t>项目实施前成立专门的项目领导</w:t>
            </w:r>
            <w:r>
              <w:rPr>
                <w:rFonts w:hint="eastAsia" w:ascii="仿宋_GB2312" w:hAnsi="仿宋_GB2312" w:eastAsia="仿宋_GB2312" w:cs="仿宋_GB2312"/>
                <w:bCs/>
                <w:sz w:val="28"/>
                <w:szCs w:val="28"/>
                <w:highlight w:val="none"/>
                <w:lang w:val="en-US" w:eastAsia="zh-CN"/>
              </w:rPr>
              <w:t>小组</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val="en-US" w:eastAsia="zh-CN"/>
              </w:rPr>
              <w:t>管理处党组书记、主任周水果任组长，公园管理处分管财务的副主任成卫军任副组长，副主任方威、刘映欣、计财股彭先红、冯思等为成员</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rPr>
              <w:t>负责项目实施。重大项目则由县主要领导牵头组织项目实施，相关部门参与项目重大事项决策，</w:t>
            </w:r>
            <w:r>
              <w:rPr>
                <w:rFonts w:hint="eastAsia" w:ascii="仿宋_GB2312" w:hAnsi="仿宋_GB2312" w:eastAsia="仿宋_GB2312" w:cs="仿宋_GB2312"/>
                <w:bCs/>
                <w:sz w:val="28"/>
                <w:szCs w:val="28"/>
                <w:highlight w:val="none"/>
                <w:lang w:eastAsia="zh-CN"/>
              </w:rPr>
              <w:t>管理处</w:t>
            </w:r>
            <w:r>
              <w:rPr>
                <w:rFonts w:hint="eastAsia" w:ascii="仿宋_GB2312" w:hAnsi="仿宋_GB2312" w:eastAsia="仿宋_GB2312" w:cs="仿宋_GB2312"/>
                <w:bCs/>
                <w:sz w:val="28"/>
                <w:szCs w:val="28"/>
                <w:highlight w:val="none"/>
              </w:rPr>
              <w:t>安排一名主要领导负责项目实施的协调工作。</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所有专项资金使用前都制订了详细的实施方案，同时健全了项目资金管理、工程招标管理、政府采购管理、工程质量监理管理等各种管理制度。要求各相关责任人严格按照项目实施方案和相关制度实施项目。</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（二）专项管理情况分析</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大云山公园管理处</w:t>
            </w:r>
            <w:r>
              <w:rPr>
                <w:rFonts w:hint="eastAsia" w:ascii="仿宋_GB2312" w:hAnsi="仿宋_GB2312" w:eastAsia="仿宋_GB2312" w:cs="仿宋_GB2312"/>
                <w:bCs/>
                <w:sz w:val="28"/>
                <w:szCs w:val="28"/>
                <w:highlight w:val="none"/>
              </w:rPr>
              <w:t>工程项目的工程采购都由中介机构进行公开招投标，县纪委和县招投标办全程参入招投标过程。货物采购都由县采购办统一采购，财政部门直接支付货物资金。项目实施过程中及完工后，邀请县财政、发改等部门进行检查验收，所有项目完工后，都由县审计局对项目资金使用情况进行审计，所有专项资金使用都顺利通过了省相关部门的验收。</w:t>
            </w:r>
          </w:p>
          <w:p>
            <w:pPr>
              <w:spacing w:line="560" w:lineRule="exact"/>
              <w:ind w:firstLine="560" w:firstLineChars="200"/>
              <w:rPr>
                <w:rFonts w:ascii="仿宋_GB2312" w:hAnsi="仿宋_GB2312" w:eastAsia="仿宋_GB2312" w:cs="仿宋_GB2312"/>
                <w:bCs/>
                <w:sz w:val="28"/>
                <w:szCs w:val="28"/>
                <w:highlight w:val="none"/>
              </w:rPr>
            </w:pP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w:t>
            </w:r>
            <w:r>
              <w:rPr>
                <w:rFonts w:hint="eastAsia" w:ascii="仿宋_GB2312" w:hAnsi="仿宋_GB2312" w:eastAsia="仿宋_GB2312" w:cs="仿宋_GB2312"/>
                <w:bCs/>
                <w:sz w:val="28"/>
                <w:szCs w:val="28"/>
                <w:lang w:val="en-US" w:eastAsia="zh-CN"/>
              </w:rPr>
              <w:t>大云山公园管理处</w:t>
            </w:r>
            <w:r>
              <w:rPr>
                <w:rFonts w:hint="eastAsia" w:ascii="仿宋_GB2312" w:hAnsi="仿宋_GB2312" w:eastAsia="仿宋_GB2312" w:cs="仿宋_GB2312"/>
                <w:bCs/>
                <w:sz w:val="28"/>
                <w:szCs w:val="28"/>
              </w:rPr>
              <w:t>整体支出绩效情况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（一）预算配置。202</w:t>
            </w:r>
            <w:r>
              <w:rPr>
                <w:rFonts w:hint="eastAsia" w:ascii="仿宋_GB2312" w:hAnsi="仿宋_GB2312" w:eastAsia="仿宋_GB2312" w:cs="仿宋_GB2312"/>
                <w:bCs/>
                <w:sz w:val="28"/>
                <w:szCs w:val="28"/>
                <w:lang w:val="en-US" w:eastAsia="zh-CN"/>
              </w:rPr>
              <w:t>1</w:t>
            </w:r>
            <w:bookmarkStart w:id="0" w:name="_GoBack"/>
            <w:bookmarkEnd w:id="0"/>
            <w:r>
              <w:rPr>
                <w:rFonts w:ascii="仿宋_GB2312" w:hAnsi="仿宋_GB2312" w:eastAsia="仿宋_GB2312" w:cs="仿宋_GB2312"/>
                <w:bCs/>
                <w:sz w:val="28"/>
                <w:szCs w:val="28"/>
              </w:rPr>
              <w:t>年“三公”经费预算数为</w:t>
            </w:r>
            <w:r>
              <w:rPr>
                <w:rFonts w:hint="eastAsia" w:ascii="仿宋_GB2312" w:hAnsi="仿宋_GB2312" w:eastAsia="仿宋_GB2312" w:cs="仿宋_GB2312"/>
                <w:bCs/>
                <w:sz w:val="28"/>
                <w:szCs w:val="28"/>
              </w:rPr>
              <w:t>3.42</w:t>
            </w:r>
            <w:r>
              <w:rPr>
                <w:rFonts w:ascii="仿宋_GB2312" w:hAnsi="仿宋_GB2312" w:eastAsia="仿宋_GB2312" w:cs="仿宋_GB2312"/>
                <w:bCs/>
                <w:sz w:val="28"/>
                <w:szCs w:val="28"/>
              </w:rPr>
              <w:t>万元，决算数为</w:t>
            </w:r>
            <w:r>
              <w:rPr>
                <w:rFonts w:hint="eastAsia" w:ascii="仿宋_GB2312" w:hAnsi="仿宋_GB2312" w:eastAsia="仿宋_GB2312" w:cs="仿宋_GB2312"/>
                <w:bCs/>
                <w:sz w:val="28"/>
                <w:szCs w:val="28"/>
              </w:rPr>
              <w:t>2.41</w:t>
            </w:r>
            <w:r>
              <w:rPr>
                <w:rFonts w:ascii="仿宋_GB2312" w:hAnsi="仿宋_GB2312" w:eastAsia="仿宋_GB2312" w:cs="仿宋_GB2312"/>
                <w:bCs/>
                <w:sz w:val="28"/>
                <w:szCs w:val="28"/>
              </w:rPr>
              <w:t>万元，完成预算数</w:t>
            </w:r>
            <w:r>
              <w:rPr>
                <w:rFonts w:hint="eastAsia" w:ascii="仿宋_GB2312" w:hAnsi="仿宋_GB2312" w:eastAsia="仿宋_GB2312" w:cs="仿宋_GB2312"/>
                <w:bCs/>
                <w:sz w:val="28"/>
                <w:szCs w:val="28"/>
              </w:rPr>
              <w:t>70.46</w:t>
            </w:r>
            <w:r>
              <w:rPr>
                <w:rFonts w:ascii="仿宋_GB2312" w:hAnsi="仿宋_GB2312" w:eastAsia="仿宋_GB2312" w:cs="仿宋_GB2312"/>
                <w:bCs/>
                <w:sz w:val="28"/>
                <w:szCs w:val="28"/>
              </w:rPr>
              <w:t>%。决算书小于预算数的主要原因是厉行节约，继续严控“三公”经费。</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（二）预算执行情况。年初预算收支</w:t>
            </w:r>
            <w:r>
              <w:rPr>
                <w:rFonts w:hint="eastAsia" w:ascii="仿宋_GB2312" w:hAnsi="仿宋_GB2312" w:eastAsia="仿宋_GB2312" w:cs="仿宋_GB2312"/>
                <w:bCs/>
                <w:sz w:val="28"/>
                <w:szCs w:val="28"/>
              </w:rPr>
              <w:t>235.69</w:t>
            </w:r>
            <w:r>
              <w:rPr>
                <w:rFonts w:ascii="仿宋_GB2312" w:hAnsi="仿宋_GB2312" w:eastAsia="仿宋_GB2312" w:cs="仿宋_GB2312"/>
                <w:bCs/>
                <w:sz w:val="28"/>
                <w:szCs w:val="28"/>
              </w:rPr>
              <w:t>万元，实际收入</w:t>
            </w:r>
            <w:r>
              <w:rPr>
                <w:rFonts w:hint="eastAsia" w:ascii="仿宋_GB2312" w:hAnsi="仿宋_GB2312" w:eastAsia="仿宋_GB2312" w:cs="仿宋_GB2312"/>
                <w:bCs/>
                <w:sz w:val="28"/>
                <w:szCs w:val="28"/>
              </w:rPr>
              <w:t>1274.60</w:t>
            </w:r>
            <w:r>
              <w:rPr>
                <w:rFonts w:ascii="仿宋_GB2312" w:hAnsi="仿宋_GB2312" w:eastAsia="仿宋_GB2312" w:cs="仿宋_GB2312"/>
                <w:bCs/>
                <w:sz w:val="28"/>
                <w:szCs w:val="28"/>
              </w:rPr>
              <w:t>万元，实际支出</w:t>
            </w:r>
            <w:r>
              <w:rPr>
                <w:rFonts w:hint="eastAsia" w:ascii="仿宋_GB2312" w:hAnsi="仿宋_GB2312" w:eastAsia="仿宋_GB2312" w:cs="仿宋_GB2312"/>
                <w:bCs/>
                <w:sz w:val="28"/>
                <w:szCs w:val="28"/>
              </w:rPr>
              <w:t>1709.0</w:t>
            </w: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万元，主要原因是年初预算只包含了县级预算，未包含上级项目资金。整体而言，基本实现了年度收支平衡。</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（三）预算管理情况。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1、“三公”经费控制率100%。经费开支未超标。</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2、管理制度进一步健全。202</w:t>
            </w: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年本单位制定了财务管理制度和会计核算等管理制度，明确了财务职责，制定了厉行节约制度，管理制度依照有关国家法律法规而制定的，具有合法性、合规性、完整性、同时相关制度得到认真执行。</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资金使用合规性。一切支出按照国家财经法规和财务管理制度规定及专项资金管理办法的规定办理。财务人员认真审核每笔业务的合法性、真实性、手续完整性和资料的准确性。健全会计核算，按照国家统一会计制度规定设置会计账簿，依照规定进行会计处理，保证会计指标口径一致。资金拨付有完善的审批程序和手续，支出符合部门预算批复的用途、资金使用无截留、挤占、挪用、虚列开支等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4、预算信息公开性。按照规定的内容、时间公开预算信息，做到基础数据信息和会计资金真实、完整、准确。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五、存在的主要问题</w:t>
            </w:r>
          </w:p>
          <w:p>
            <w:pPr>
              <w:adjustRightInd w:val="0"/>
              <w:spacing w:line="560" w:lineRule="exact"/>
              <w:ind w:firstLine="560" w:firstLineChars="200"/>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1、大云山景区运营问题。模式落后、运营收益单一、运营效益不佳；投入严重不足，旅游设施严重落后。景区仍然处于不温不火状态，开发建设仍然任重道远。</w:t>
            </w:r>
          </w:p>
          <w:p>
            <w:pPr>
              <w:widowControl/>
              <w:adjustRightInd w:val="0"/>
              <w:spacing w:line="560" w:lineRule="exact"/>
              <w:ind w:firstLine="560" w:firstLineChars="200"/>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将大云山下属分场纳入乡村振兴政策范围的问题。旅游开发需要本地村民的广泛参与发展才能兴旺和持续，也只有让村民来参与旅游开发才能让其受益而致富。如能将大云山下属分场按照农业行政村对待，享受当前乡村振兴政策，则可以刺激分场村民参与旅游的积极性，并消除很多政策障碍。</w:t>
            </w:r>
          </w:p>
          <w:p>
            <w:pPr>
              <w:widowControl/>
              <w:adjustRightInd w:val="0"/>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3、相关项目建设手续问题。大云山属铁山水库风景名胜区的一部分，但铁山水库风景名胜区在</w:t>
            </w:r>
            <w:r>
              <w:rPr>
                <w:rFonts w:ascii="仿宋_GB2312" w:hAnsi="仿宋_GB2312" w:eastAsia="仿宋_GB2312" w:cs="仿宋_GB2312"/>
                <w:bCs/>
                <w:sz w:val="28"/>
                <w:szCs w:val="28"/>
              </w:rPr>
              <w:t>2012</w:t>
            </w:r>
            <w:r>
              <w:rPr>
                <w:rFonts w:hint="eastAsia" w:ascii="仿宋_GB2312" w:hAnsi="仿宋_GB2312" w:eastAsia="仿宋_GB2312" w:cs="仿宋_GB2312"/>
                <w:bCs/>
                <w:sz w:val="28"/>
                <w:szCs w:val="28"/>
              </w:rPr>
              <w:t>年编制了总体规划后，一直没有编制详细规划，导致大云山旅游开发建设因没有规划依据而无法办理相关手续，还需要相关部门协调与帮助，2022年将积极争取重点解决这个问题。</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六、改进措施和有关建议</w:t>
            </w:r>
          </w:p>
          <w:p>
            <w:pPr>
              <w:spacing w:line="560" w:lineRule="exact"/>
              <w:ind w:firstLine="644" w:firstLineChars="23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1、计划在2022年引进第三方专业的旅游运营公司，由大云山管理处、旅游开发投资方、运营公司三方合作运营。</w:t>
            </w:r>
          </w:p>
          <w:p>
            <w:pPr>
              <w:widowControl/>
              <w:adjustRightInd w:val="0"/>
              <w:spacing w:line="560" w:lineRule="exact"/>
              <w:ind w:firstLine="560" w:firstLineChars="200"/>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2、旅游开发带动乡村振兴，乡村振兴助推旅游开发。2022年将积极争取相关政策，向县人民政府请求将大云山所属分场纳入乡村振兴政策实施范围。</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3、向相关部门协调与帮助，2022年积极争取重点解决编制详细规划。</w:t>
            </w:r>
          </w:p>
        </w:tc>
      </w:tr>
    </w:tbl>
    <w:p>
      <w:pPr>
        <w:spacing w:line="348" w:lineRule="auto"/>
        <w:rPr>
          <w:rFonts w:eastAsia="楷体_GB2312"/>
          <w:bCs/>
          <w:sz w:val="28"/>
          <w:szCs w:val="28"/>
        </w:rPr>
      </w:pPr>
    </w:p>
    <w:p>
      <w:pPr>
        <w:rPr>
          <w:rFonts w:eastAsia="仿宋_GB2312" w:cs="仿宋_GB2312"/>
          <w:bCs/>
          <w:sz w:val="28"/>
          <w:szCs w:val="28"/>
        </w:rPr>
      </w:pPr>
    </w:p>
    <w:p>
      <w:pPr>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adjustRightInd w:val="0"/>
        <w:snapToGrid w:val="0"/>
        <w:spacing w:line="200" w:lineRule="exact"/>
        <w:jc w:val="left"/>
        <w:rPr>
          <w:rFonts w:eastAsia="仿宋_GB2312"/>
          <w:sz w:val="32"/>
        </w:rPr>
      </w:pPr>
    </w:p>
    <w:tbl>
      <w:tblPr>
        <w:tblStyle w:val="6"/>
        <w:tblW w:w="9450" w:type="dxa"/>
        <w:tblInd w:w="78" w:type="dxa"/>
        <w:tblLayout w:type="fixed"/>
        <w:tblCellMar>
          <w:top w:w="0" w:type="dxa"/>
          <w:left w:w="108" w:type="dxa"/>
          <w:bottom w:w="0" w:type="dxa"/>
          <w:right w:w="108" w:type="dxa"/>
        </w:tblCellMar>
      </w:tblPr>
      <w:tblGrid>
        <w:gridCol w:w="1650"/>
        <w:gridCol w:w="3842"/>
        <w:gridCol w:w="3958"/>
      </w:tblGrid>
      <w:tr>
        <w:tblPrEx>
          <w:tblCellMar>
            <w:top w:w="0" w:type="dxa"/>
            <w:left w:w="108" w:type="dxa"/>
            <w:bottom w:w="0" w:type="dxa"/>
            <w:right w:w="108" w:type="dxa"/>
          </w:tblCellMar>
        </w:tblPrEx>
        <w:trPr>
          <w:trHeight w:val="820" w:hRule="atLeast"/>
        </w:trPr>
        <w:tc>
          <w:tcPr>
            <w:tcW w:w="1650" w:type="dxa"/>
            <w:tcBorders>
              <w:top w:val="nil"/>
              <w:left w:val="nil"/>
              <w:bottom w:val="nil"/>
              <w:right w:val="nil"/>
              <w:tl2br w:val="nil"/>
              <w:tr2bl w:val="nil"/>
            </w:tcBorders>
            <w:noWrap/>
          </w:tcPr>
          <w:p>
            <w:pPr>
              <w:jc w:val="left"/>
              <w:rPr>
                <w:rFonts w:hint="eastAsia" w:ascii="仿宋_GB2312" w:hAnsi="仿宋_GB2312" w:eastAsia="仿宋_GB2312"/>
                <w:color w:val="000000"/>
                <w:sz w:val="32"/>
              </w:rPr>
            </w:pPr>
          </w:p>
          <w:p>
            <w:pPr>
              <w:jc w:val="left"/>
              <w:rPr>
                <w:rFonts w:ascii="仿宋_GB2312" w:hAnsi="仿宋_GB2312" w:eastAsia="仿宋_GB2312"/>
                <w:color w:val="000000"/>
                <w:sz w:val="32"/>
              </w:rPr>
            </w:pPr>
            <w:r>
              <w:rPr>
                <w:rFonts w:hint="eastAsia" w:ascii="仿宋_GB2312" w:hAnsi="仿宋_GB2312" w:eastAsia="仿宋_GB2312"/>
                <w:color w:val="000000"/>
                <w:sz w:val="32"/>
              </w:rPr>
              <w:t>附件：4-1</w:t>
            </w:r>
          </w:p>
        </w:tc>
        <w:tc>
          <w:tcPr>
            <w:tcW w:w="3842" w:type="dxa"/>
            <w:tcBorders>
              <w:top w:val="nil"/>
              <w:left w:val="nil"/>
              <w:bottom w:val="nil"/>
              <w:right w:val="nil"/>
              <w:tl2br w:val="nil"/>
              <w:tr2bl w:val="nil"/>
            </w:tcBorders>
            <w:noWrap/>
          </w:tcPr>
          <w:p>
            <w:pPr>
              <w:jc w:val="right"/>
              <w:rPr>
                <w:rFonts w:ascii="宋体" w:hAnsi="宋体"/>
                <w:color w:val="000000"/>
                <w:sz w:val="22"/>
              </w:rPr>
            </w:pPr>
          </w:p>
        </w:tc>
        <w:tc>
          <w:tcPr>
            <w:tcW w:w="3958" w:type="dxa"/>
            <w:tcBorders>
              <w:top w:val="nil"/>
              <w:left w:val="nil"/>
              <w:bottom w:val="nil"/>
              <w:right w:val="nil"/>
              <w:tl2br w:val="nil"/>
              <w:tr2bl w:val="nil"/>
            </w:tcBorders>
            <w:noWrap/>
          </w:tcPr>
          <w:p>
            <w:pPr>
              <w:jc w:val="right"/>
              <w:rPr>
                <w:rFonts w:ascii="宋体" w:hAnsi="宋体"/>
                <w:color w:val="000000"/>
                <w:sz w:val="22"/>
              </w:rPr>
            </w:pPr>
          </w:p>
        </w:tc>
      </w:tr>
      <w:tr>
        <w:tblPrEx>
          <w:tblCellMar>
            <w:top w:w="0" w:type="dxa"/>
            <w:left w:w="108" w:type="dxa"/>
            <w:bottom w:w="0" w:type="dxa"/>
            <w:right w:w="108" w:type="dxa"/>
          </w:tblCellMar>
        </w:tblPrEx>
        <w:trPr>
          <w:trHeight w:val="660" w:hRule="atLeast"/>
        </w:trPr>
        <w:tc>
          <w:tcPr>
            <w:tcW w:w="9450" w:type="dxa"/>
            <w:gridSpan w:val="3"/>
            <w:tcBorders>
              <w:top w:val="nil"/>
              <w:left w:val="nil"/>
              <w:bottom w:val="nil"/>
              <w:right w:val="nil"/>
              <w:tl2br w:val="nil"/>
              <w:tr2bl w:val="nil"/>
            </w:tcBorders>
            <w:noWrap/>
          </w:tcPr>
          <w:p>
            <w:pPr>
              <w:jc w:val="center"/>
              <w:rPr>
                <w:rFonts w:ascii="仿宋_GB2312" w:hAnsi="仿宋_GB2312" w:eastAsia="仿宋_GB2312"/>
                <w:b/>
                <w:color w:val="000000"/>
                <w:sz w:val="36"/>
              </w:rPr>
            </w:pPr>
            <w:r>
              <w:rPr>
                <w:rFonts w:hint="eastAsia" w:ascii="仿宋_GB2312" w:hAnsi="仿宋_GB2312" w:eastAsia="仿宋_GB2312"/>
                <w:b/>
                <w:color w:val="000000"/>
                <w:sz w:val="36"/>
              </w:rPr>
              <w:t>2021年预算部门整体支出绩效自评明细表</w:t>
            </w:r>
          </w:p>
        </w:tc>
      </w:tr>
      <w:tr>
        <w:tblPrEx>
          <w:tblCellMar>
            <w:top w:w="0" w:type="dxa"/>
            <w:left w:w="108" w:type="dxa"/>
            <w:bottom w:w="0" w:type="dxa"/>
            <w:right w:w="108" w:type="dxa"/>
          </w:tblCellMar>
        </w:tblPrEx>
        <w:trPr>
          <w:trHeight w:val="399" w:hRule="atLeast"/>
        </w:trPr>
        <w:tc>
          <w:tcPr>
            <w:tcW w:w="1650" w:type="dxa"/>
            <w:tcBorders>
              <w:top w:val="nil"/>
              <w:left w:val="nil"/>
              <w:bottom w:val="nil"/>
              <w:right w:val="nil"/>
              <w:tl2br w:val="nil"/>
              <w:tr2bl w:val="nil"/>
            </w:tcBorders>
            <w:noWrap/>
          </w:tcPr>
          <w:p>
            <w:pPr>
              <w:jc w:val="center"/>
              <w:rPr>
                <w:rFonts w:ascii="仿宋_GB2312" w:hAnsi="仿宋_GB2312" w:eastAsia="仿宋_GB2312"/>
                <w:b/>
                <w:color w:val="000000"/>
                <w:sz w:val="36"/>
              </w:rPr>
            </w:pPr>
          </w:p>
        </w:tc>
        <w:tc>
          <w:tcPr>
            <w:tcW w:w="3842" w:type="dxa"/>
            <w:tcBorders>
              <w:top w:val="nil"/>
              <w:left w:val="nil"/>
              <w:bottom w:val="nil"/>
              <w:right w:val="nil"/>
              <w:tl2br w:val="nil"/>
              <w:tr2bl w:val="nil"/>
            </w:tcBorders>
            <w:noWrap/>
          </w:tcPr>
          <w:p>
            <w:pPr>
              <w:jc w:val="center"/>
              <w:rPr>
                <w:rFonts w:ascii="仿宋_GB2312" w:hAnsi="仿宋_GB2312" w:eastAsia="仿宋_GB2312"/>
                <w:b/>
                <w:color w:val="000000"/>
                <w:sz w:val="36"/>
              </w:rPr>
            </w:pPr>
          </w:p>
        </w:tc>
        <w:tc>
          <w:tcPr>
            <w:tcW w:w="3958" w:type="dxa"/>
            <w:tcBorders>
              <w:top w:val="nil"/>
              <w:left w:val="nil"/>
              <w:bottom w:val="nil"/>
              <w:right w:val="nil"/>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单位：万元</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序号</w:t>
            </w:r>
          </w:p>
        </w:tc>
        <w:tc>
          <w:tcPr>
            <w:tcW w:w="3842"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单位</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金额</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东管会</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1140.00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文联</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69.11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教体局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7845.57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科技局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243.40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科协</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64.86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6</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文旅广电局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335.56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7</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广播电视台</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1111.58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8</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公路建设养护中心</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1298.00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9</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荣湾湖建设开发中心</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156.74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10</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住建局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1340.54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11</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城管局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1251.22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12</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交通局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595.01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13</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农业农村局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1506.54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14</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乡村振兴局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192.32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15</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水利局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971.02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16</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库区移民服务中心</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190.58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17</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畜牧水产发展服务中心</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444.46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18</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林业局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3127.63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19</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自然资源局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3763.39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20</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砂管局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649.40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21</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渔政局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1008.52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22</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highlight w:val="yellow"/>
              </w:rPr>
            </w:pPr>
            <w:r>
              <w:rPr>
                <w:rFonts w:hint="eastAsia" w:ascii="仿宋_GB2312" w:hAnsi="仿宋_GB2312" w:eastAsia="仿宋_GB2312"/>
                <w:color w:val="000000"/>
                <w:sz w:val="36"/>
                <w:highlight w:val="yellow"/>
              </w:rPr>
              <w:t>大云山管理处</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highlight w:val="yellow"/>
              </w:rPr>
            </w:pPr>
            <w:r>
              <w:rPr>
                <w:rFonts w:hint="eastAsia" w:ascii="仿宋_GB2312" w:hAnsi="仿宋_GB2312" w:eastAsia="仿宋_GB2312"/>
                <w:color w:val="000000"/>
                <w:sz w:val="36"/>
                <w:highlight w:val="yellow"/>
              </w:rPr>
              <w:t xml:space="preserve">235.69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23</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铁山水资源保护中心</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327.19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24</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高新技术产业园</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505.71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25</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台创园</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165.56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26</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工信局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473.58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27</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供销社</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330.76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28</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人社局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770.77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29</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残联</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419.81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30</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民政局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2585.00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31</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退役军人事务局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1404.30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32</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医疗保障局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614.07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33</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卫生健康局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3822.83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34</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商粮局</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1115.12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35</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贸促会</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139.83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36</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张谷英管理处</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165.95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37</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人大</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780.68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38</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政协</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478.24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39</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政府</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1095.25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40</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发改局</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566.80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41</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统计局</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368.86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42</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财政局</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1560.98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43</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审计局</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372.07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44</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纪委监委</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1615.05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45</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工商联</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108.13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46</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妇联</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91.56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47</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团委</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59.85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48</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总工会</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217.65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49</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县委办</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1252.87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50</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巡察办</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130.71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51</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编办</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144.64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52</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政法委</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376.26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53</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组织部</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431.98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54</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党校</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391.31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55</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宣传部</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380.48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56</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统战部</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339.97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57</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信访局</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140.87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58</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公安局</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8562.36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59</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司法局</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1250.57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60</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应急管理局</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658.29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61</w:t>
            </w:r>
          </w:p>
        </w:tc>
        <w:tc>
          <w:tcPr>
            <w:tcW w:w="3842"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市场局</w:t>
            </w:r>
          </w:p>
        </w:tc>
        <w:tc>
          <w:tcPr>
            <w:tcW w:w="3958"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3866.44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p>
        </w:tc>
        <w:tc>
          <w:tcPr>
            <w:tcW w:w="3842"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合  计</w:t>
            </w:r>
          </w:p>
        </w:tc>
        <w:tc>
          <w:tcPr>
            <w:tcW w:w="3958"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65623.49 </w:t>
            </w:r>
          </w:p>
        </w:tc>
      </w:tr>
    </w:tbl>
    <w:p>
      <w:pPr>
        <w:widowControl/>
        <w:jc w:val="left"/>
      </w:pP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AAEC09-ECAB-4D20-8D01-AC7723C344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2" w:fontKey="{D7634214-5FEB-4523-853C-B2BB5C597A58}"/>
  </w:font>
  <w:font w:name="楷体_GB2312">
    <w:altName w:val="楷体"/>
    <w:panose1 w:val="00000000000000000000"/>
    <w:charset w:val="86"/>
    <w:family w:val="modern"/>
    <w:pitch w:val="default"/>
    <w:sig w:usb0="00000000" w:usb1="00000000" w:usb2="00000010" w:usb3="00000000" w:csb0="00040000" w:csb1="00000000"/>
    <w:embedRegular r:id="rId3" w:fontKey="{DDED12B9-11E6-4079-B928-83C70F4D5B51}"/>
  </w:font>
  <w:font w:name="方正小标宋简体">
    <w:panose1 w:val="02000000000000000000"/>
    <w:charset w:val="86"/>
    <w:family w:val="auto"/>
    <w:pitch w:val="default"/>
    <w:sig w:usb0="00000001" w:usb1="08000000" w:usb2="00000000" w:usb3="00000000" w:csb0="00040000" w:csb1="00000000"/>
    <w:embedRegular r:id="rId4" w:fontKey="{7A62BBBF-CB16-4CEB-B682-1920FBC9CED6}"/>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6"/>
      <w:lvlText w:val="%1."/>
      <w:lvlJc w:val="left"/>
      <w:pPr>
        <w:tabs>
          <w:tab w:val="left" w:pos="780"/>
        </w:tabs>
        <w:ind w:left="7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MWViOGM0MmFjNjU3MzdhYjc5YjFhZWNlMGFiZWEifQ=="/>
  </w:docVars>
  <w:rsids>
    <w:rsidRoot w:val="00172A27"/>
    <w:rsid w:val="0000241F"/>
    <w:rsid w:val="000056A6"/>
    <w:rsid w:val="00005A3B"/>
    <w:rsid w:val="0000610C"/>
    <w:rsid w:val="00014921"/>
    <w:rsid w:val="0005701C"/>
    <w:rsid w:val="00073AAF"/>
    <w:rsid w:val="00090417"/>
    <w:rsid w:val="00093B20"/>
    <w:rsid w:val="000A0E5C"/>
    <w:rsid w:val="000A1723"/>
    <w:rsid w:val="000B4BEB"/>
    <w:rsid w:val="000B7DCB"/>
    <w:rsid w:val="000C7320"/>
    <w:rsid w:val="00100175"/>
    <w:rsid w:val="00107CC6"/>
    <w:rsid w:val="00122C2E"/>
    <w:rsid w:val="0014350A"/>
    <w:rsid w:val="001442A2"/>
    <w:rsid w:val="00146C23"/>
    <w:rsid w:val="00151B82"/>
    <w:rsid w:val="00157862"/>
    <w:rsid w:val="00165E89"/>
    <w:rsid w:val="0017192D"/>
    <w:rsid w:val="00172A27"/>
    <w:rsid w:val="00174E0D"/>
    <w:rsid w:val="001A21D5"/>
    <w:rsid w:val="001A709B"/>
    <w:rsid w:val="001B0CF4"/>
    <w:rsid w:val="001B1869"/>
    <w:rsid w:val="001B2F7F"/>
    <w:rsid w:val="001B4EA7"/>
    <w:rsid w:val="001C4AD7"/>
    <w:rsid w:val="001C5954"/>
    <w:rsid w:val="001E26FB"/>
    <w:rsid w:val="001F2104"/>
    <w:rsid w:val="00221B25"/>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13CA"/>
    <w:rsid w:val="002C4D24"/>
    <w:rsid w:val="002D5840"/>
    <w:rsid w:val="002F0080"/>
    <w:rsid w:val="00315C29"/>
    <w:rsid w:val="00321D2B"/>
    <w:rsid w:val="0033659F"/>
    <w:rsid w:val="003508A0"/>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B562B"/>
    <w:rsid w:val="005C50B2"/>
    <w:rsid w:val="005C68D7"/>
    <w:rsid w:val="005F6DB6"/>
    <w:rsid w:val="00607401"/>
    <w:rsid w:val="006320B1"/>
    <w:rsid w:val="0064544F"/>
    <w:rsid w:val="00657429"/>
    <w:rsid w:val="00664E76"/>
    <w:rsid w:val="006841C9"/>
    <w:rsid w:val="00684E4B"/>
    <w:rsid w:val="00696545"/>
    <w:rsid w:val="006A5D82"/>
    <w:rsid w:val="006B1771"/>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0F49"/>
    <w:rsid w:val="00956508"/>
    <w:rsid w:val="00962EF0"/>
    <w:rsid w:val="00966B61"/>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5DDA"/>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520B0"/>
    <w:rsid w:val="00C704A3"/>
    <w:rsid w:val="00C71B07"/>
    <w:rsid w:val="00C74701"/>
    <w:rsid w:val="00C854FD"/>
    <w:rsid w:val="00C873D8"/>
    <w:rsid w:val="00C8756E"/>
    <w:rsid w:val="00C87FDB"/>
    <w:rsid w:val="00C921BC"/>
    <w:rsid w:val="00C94085"/>
    <w:rsid w:val="00C971C1"/>
    <w:rsid w:val="00C97C43"/>
    <w:rsid w:val="00CA0B51"/>
    <w:rsid w:val="00CA1CF9"/>
    <w:rsid w:val="00CA6065"/>
    <w:rsid w:val="00CB1A56"/>
    <w:rsid w:val="00CB1EA9"/>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97815"/>
    <w:rsid w:val="00EB35F4"/>
    <w:rsid w:val="00EC40AF"/>
    <w:rsid w:val="00EC6F27"/>
    <w:rsid w:val="00ED1AAA"/>
    <w:rsid w:val="00ED7ACA"/>
    <w:rsid w:val="00EE315F"/>
    <w:rsid w:val="00EE67E1"/>
    <w:rsid w:val="00F435F8"/>
    <w:rsid w:val="00F60EC8"/>
    <w:rsid w:val="00F61205"/>
    <w:rsid w:val="00F766DE"/>
    <w:rsid w:val="00F81CBB"/>
    <w:rsid w:val="00F8501A"/>
    <w:rsid w:val="00F947E3"/>
    <w:rsid w:val="00FA6EE7"/>
    <w:rsid w:val="00FB16AF"/>
    <w:rsid w:val="00FB2BA1"/>
    <w:rsid w:val="00FD21C0"/>
    <w:rsid w:val="00FD708D"/>
    <w:rsid w:val="00FF3258"/>
    <w:rsid w:val="00FF605E"/>
    <w:rsid w:val="0A030A34"/>
    <w:rsid w:val="0B862B05"/>
    <w:rsid w:val="14CB7655"/>
    <w:rsid w:val="16AF65D0"/>
    <w:rsid w:val="1E545A7B"/>
    <w:rsid w:val="261A2CD6"/>
    <w:rsid w:val="29315E51"/>
    <w:rsid w:val="29793438"/>
    <w:rsid w:val="36FE2A29"/>
    <w:rsid w:val="3FA55A78"/>
    <w:rsid w:val="43641928"/>
    <w:rsid w:val="4AAE2E99"/>
    <w:rsid w:val="52F242BA"/>
    <w:rsid w:val="5C0F36E3"/>
    <w:rsid w:val="68AA4C39"/>
    <w:rsid w:val="6AD76980"/>
    <w:rsid w:val="6ECF188F"/>
    <w:rsid w:val="709578D2"/>
    <w:rsid w:val="732561B0"/>
    <w:rsid w:val="7A920274"/>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0"/>
    <w:pPr>
      <w:ind w:left="100" w:leftChars="2500"/>
    </w:pPr>
  </w:style>
  <w:style w:type="paragraph" w:styleId="3">
    <w:name w:val="Body Text Indent 2"/>
    <w:basedOn w:val="1"/>
    <w:link w:val="13"/>
    <w:semiHidden/>
    <w:unhideWhenUsed/>
    <w:qFormat/>
    <w:uiPriority w:val="0"/>
    <w:pPr>
      <w:ind w:firstLine="588" w:firstLineChars="200"/>
    </w:pPr>
    <w:rPr>
      <w:rFonts w:ascii="仿宋_GB2312" w:hAnsi="Calibri" w:eastAsia="仿宋_GB2312"/>
      <w:sz w:val="32"/>
    </w:rPr>
  </w:style>
  <w:style w:type="paragraph" w:styleId="4">
    <w:name w:val="footer"/>
    <w:basedOn w:val="1"/>
    <w:link w:val="17"/>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0"/>
    <w:semiHidden/>
    <w:unhideWhenUsed/>
    <w:qFormat/>
    <w:uiPriority w:val="0"/>
    <w:pP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semiHidden/>
    <w:unhideWhenUsed/>
    <w:qFormat/>
    <w:uiPriority w:val="0"/>
    <w:rPr>
      <w:color w:val="0000FF"/>
      <w:u w:val="single"/>
    </w:rPr>
  </w:style>
  <w:style w:type="character" w:customStyle="1" w:styleId="10">
    <w:name w:val="页眉 Char"/>
    <w:basedOn w:val="7"/>
    <w:link w:val="5"/>
    <w:semiHidden/>
    <w:qFormat/>
    <w:uiPriority w:val="0"/>
    <w:rPr>
      <w:rFonts w:ascii="Times New Roman" w:hAnsi="Times New Roman" w:eastAsia="宋体" w:cs="Times New Roman"/>
      <w:sz w:val="18"/>
      <w:szCs w:val="18"/>
    </w:rPr>
  </w:style>
  <w:style w:type="character" w:customStyle="1" w:styleId="11">
    <w:name w:val="页脚 Char"/>
    <w:basedOn w:val="7"/>
    <w:link w:val="4"/>
    <w:semiHidden/>
    <w:qFormat/>
    <w:uiPriority w:val="0"/>
    <w:rPr>
      <w:rFonts w:ascii="Times New Roman" w:hAnsi="Times New Roman" w:eastAsia="宋体" w:cs="Times New Roman"/>
      <w:sz w:val="18"/>
      <w:szCs w:val="18"/>
    </w:rPr>
  </w:style>
  <w:style w:type="character" w:customStyle="1" w:styleId="12">
    <w:name w:val="日期 Char"/>
    <w:basedOn w:val="7"/>
    <w:link w:val="2"/>
    <w:semiHidden/>
    <w:qFormat/>
    <w:uiPriority w:val="0"/>
    <w:rPr>
      <w:rFonts w:ascii="Times New Roman" w:hAnsi="Times New Roman" w:eastAsia="宋体" w:cs="Times New Roman"/>
      <w:szCs w:val="24"/>
    </w:rPr>
  </w:style>
  <w:style w:type="character" w:customStyle="1" w:styleId="13">
    <w:name w:val="正文文本缩进 2 Char"/>
    <w:basedOn w:val="7"/>
    <w:link w:val="3"/>
    <w:semiHidden/>
    <w:qFormat/>
    <w:uiPriority w:val="0"/>
    <w:rPr>
      <w:rFonts w:ascii="仿宋_GB2312" w:hAnsi="Calibri" w:eastAsia="仿宋_GB2312" w:cs="Times New Roman"/>
      <w:sz w:val="32"/>
      <w:szCs w:val="24"/>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7">
    <w:name w:val="页脚 Char1"/>
    <w:basedOn w:val="7"/>
    <w:link w:val="4"/>
    <w:semiHidden/>
    <w:qFormat/>
    <w:locked/>
    <w:uiPriority w:val="0"/>
    <w:rPr>
      <w:rFonts w:ascii="Times New Roman" w:hAnsi="Times New Roman" w:eastAsia="宋体" w:cs="Times New Roman"/>
      <w:kern w:val="0"/>
      <w:sz w:val="18"/>
      <w:szCs w:val="18"/>
    </w:rPr>
  </w:style>
  <w:style w:type="character" w:customStyle="1" w:styleId="18">
    <w:name w:val="标题 3 Char Char"/>
    <w:qFormat/>
    <w:uiPriority w:val="0"/>
    <w:rPr>
      <w:rFonts w:hint="eastAsia" w:ascii="楷体_GB2312" w:eastAsia="楷体_GB2312"/>
      <w:b/>
      <w:kern w:val="2"/>
      <w:sz w:val="32"/>
      <w:szCs w:val="24"/>
      <w:lang w:val="en-US" w:eastAsia="zh-CN" w:bidi="ar-SA"/>
    </w:rPr>
  </w:style>
  <w:style w:type="character" w:customStyle="1" w:styleId="19">
    <w:name w:val="font11"/>
    <w:basedOn w:val="7"/>
    <w:qFormat/>
    <w:uiPriority w:val="0"/>
    <w:rPr>
      <w:rFonts w:hint="eastAsia" w:ascii="宋体" w:hAnsi="宋体" w:eastAsia="宋体" w:cs="宋体"/>
      <w:b/>
      <w:bCs/>
      <w:color w:val="000000"/>
      <w:sz w:val="36"/>
      <w:szCs w:val="36"/>
      <w:u w:val="none"/>
    </w:rPr>
  </w:style>
  <w:style w:type="character" w:customStyle="1" w:styleId="20">
    <w:name w:val="font51"/>
    <w:basedOn w:val="7"/>
    <w:qFormat/>
    <w:uiPriority w:val="0"/>
    <w:rPr>
      <w:rFonts w:hint="eastAsia" w:ascii="宋体" w:hAnsi="宋体" w:eastAsia="宋体" w:cs="宋体"/>
      <w:color w:val="000000"/>
      <w:sz w:val="20"/>
      <w:szCs w:val="20"/>
      <w:u w:val="none"/>
    </w:rPr>
  </w:style>
  <w:style w:type="character" w:customStyle="1" w:styleId="21">
    <w:name w:val="font91"/>
    <w:basedOn w:val="7"/>
    <w:qFormat/>
    <w:uiPriority w:val="0"/>
    <w:rPr>
      <w:rFonts w:hint="eastAsia" w:ascii="宋体" w:hAnsi="宋体" w:eastAsia="宋体" w:cs="宋体"/>
      <w:color w:val="000000"/>
      <w:sz w:val="18"/>
      <w:szCs w:val="18"/>
      <w:u w:val="none"/>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6069</Words>
  <Characters>6897</Characters>
  <Lines>80</Lines>
  <Paragraphs>22</Paragraphs>
  <TotalTime>3</TotalTime>
  <ScaleCrop>false</ScaleCrop>
  <LinksUpToDate>false</LinksUpToDate>
  <CharactersWithSpaces>7763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18</cp:lastModifiedBy>
  <cp:lastPrinted>2022-06-29T12:24:00Z</cp:lastPrinted>
  <dcterms:modified xsi:type="dcterms:W3CDTF">2023-03-22T01:37:40Z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EB75B97EF6E643AAADFCEBE9B7D7E6D9</vt:lpwstr>
  </property>
</Properties>
</file>