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eastAsia="zh-CN"/>
        </w:rPr>
        <w:t>岳阳县城市管理和综合执法局</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211001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22</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许美阳</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13874053366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184</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城市管理和综合执法工作，对城市市容环境卫生管理、园林绿化建设维护管理、市政公用设施运行管理、城市管理综合执法、控建拆违，城市管理数字化、精细化、智慧化。</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任务1：加强机关党建、文明创建目标绩效考评，党风廉政建设和效能建设等工作；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任务2：加大城区环境卫生治理；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任务3：积极规范城市管理执法行为，实施城市管理行政执法；</w:t>
            </w:r>
          </w:p>
          <w:p>
            <w:pPr>
              <w:autoSpaceDN w:val="0"/>
              <w:spacing w:line="320" w:lineRule="exact"/>
              <w:jc w:val="left"/>
              <w:textAlignment w:val="center"/>
              <w:rPr>
                <w:rFonts w:ascii="仿宋_GB2312" w:hAnsi="仿宋_GB2312" w:eastAsia="仿宋_GB2312" w:cs="仿宋_GB2312"/>
                <w:color w:val="000000"/>
                <w:sz w:val="24"/>
              </w:rPr>
            </w:pPr>
            <w:r>
              <w:t>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2484.22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2020.58</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463.64</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24842.22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2020.58</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463.64</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2620.46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1490.61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379.31</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1111.3</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1129.86</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16.06</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20.26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16.06</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34.87</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34.87</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34.87</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34.87</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目标1：人员经费足额发放到位；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目标2：经费安排合理支出；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目标3：项目支出专项列支；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目标4：集中整治马路市场、出店经营、乱搭棚亭、油烟扰民等；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目标5：开展创建文明县城复审工作。</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按计划完成任务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三公经费控制率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固定资产利用率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政府采购执行率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“三公经费”变动率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财政支出绩效目标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财政供养人员控制率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t>项目资金如期使用</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t>项目成本按计划控制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维护社会和谐稳定</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创造干净、绿色家园</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pPr>
            <w:r>
              <w:t>减少油烟排放摊点</w:t>
            </w:r>
          </w:p>
          <w:p>
            <w:pPr>
              <w:autoSpaceDN w:val="0"/>
              <w:spacing w:line="320" w:lineRule="exact"/>
              <w:jc w:val="left"/>
              <w:textAlignment w:val="center"/>
              <w:rPr>
                <w:rFonts w:ascii="仿宋_GB2312" w:hAnsi="仿宋_GB2312" w:eastAsia="仿宋_GB2312" w:cs="仿宋_GB2312"/>
                <w:color w:val="000000"/>
                <w:sz w:val="24"/>
              </w:rPr>
            </w:pPr>
            <w:r>
              <w:t>禁止城区烟花爆竹燃放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b/>
                <w:color w:val="000000"/>
                <w:sz w:val="24"/>
              </w:rPr>
            </w:pPr>
            <w: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居民满意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rPr>
                <w:rFonts w:hint="eastAsia" w:cs="Times New Roman"/>
                <w:kern w:val="0"/>
                <w:sz w:val="24"/>
                <w:szCs w:val="24"/>
                <w:lang w:val="en-US" w:eastAsia="zh-CN" w:bidi="ar"/>
              </w:rPr>
              <w:t>杨文涛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岳阳县城市管理和综合执法局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余洋兵</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岳阳县城市管理和综合执法局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许美阳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计财股长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岳阳县城市管理和综合执法局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刘莉</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会计</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岳阳县城市管理和综合执法局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填报人（签名）：联系电话：</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岳阳县城市管理和综合执法局设立局办公室、人事股、计划财务股、政策法规股、行政审批股、市容环境卫生管理股、市政公用设施运行管理股、园林绿化建设维护管理股、户外广告股、燃气管理股共10个股室。局下设7个二级机构，其中市容环境卫生服务中心、风景园林绿化建设养护中心、规划监察大队为副科级事业单位，城市管理执法大队、城市管理环境执法大队、市政设施运行维护中心、城市公园广场维护中心为正股级事业单位，同时配属一个公安局城管执法大队（属公安局和我局双重管理），在职人员288人（其中在编人员184人，无编人员104人），退休人员101人,环卫服务中心临聘人员398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（二）部门（单位）整体支出规模、使用方向和主要内容、涉及范围等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1．负责区直有关部门、镇（街道）、社区城市管理和综合执法工作的组织指导、监督检查、考核考评工作。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2．负责辖区市容市貌的监督管理和综合整治工作；负责辖区户外招牌、建筑物立面和建筑物色彩批后的监督管理招牌指示牌设置及沿街门店商业文化活动占道的审批和监督管理工作；负责对辖区内未依法取得规划许可的建（构）筑物治理方面的全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3．负责辖区城市广场、人行道及管理范围内公共区域静态交通秩序的监督管理工作；负责城市公共停车设施运行监督管理工作。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4．负责辖区环境卫生的监督管理工作；负责辖区环境卫生综合整治和生活垃圾分类指导工作；负责辖区环卫设施设备的建设维护管理工作；负责辖区生活垃圾清扫、收集、运输的监督管理工作；负责建筑垃圾、餐厨垃圾收集、运输、消纳的批后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5．负责组织协调、监督监查全区治违、拆违工作；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6．负责制订管辖范围内市政公用设施大中修和专项维修、园林绿化建设和维护、环卫设施建设和维护、执法装备保障的城市管理项目年度计划，并组织实施。参与管辖范围内城市管理方面政府投资和非经营性建设项目的可行性研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7．负责全区市政公用设施运行的监督管理工作；负责区管道路、桥涵及其附属设施运行的监督管理工作；负责辖区城市广场、人行道设置“城市家具”的监督管理工作。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8．负责管辖范围内公园绿地、防护绿地、道路绿地的园林设施建设维护管理；负责全区园林绿化砍伐、移植树木、占用绿地的监督管理工作。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9．负责辖区城市管理数字化、精细化、智慧化的建设和管理工作。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10．负责辖区城市管理和综合执法的行政诉讼应诉工作。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11．负责辖区城市管理综合执法队伍的培训考核工作，负责队容风纪、公正执法、规范执法、文明执法的指导和督查工作。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12．负责岳阳县城区行政管理相对集中行政处罚工作。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13．参与辖区维稳处突、抗洪救灾、森林防火等应急处置工作。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14．承担区城市管理委员会办公室日常工作。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15．承担县委、县政府及上级主管部门交办的其他工作。</w:t>
            </w:r>
          </w:p>
          <w:p>
            <w:pPr>
              <w:numPr>
                <w:ilvl w:val="0"/>
                <w:numId w:val="0"/>
              </w:numPr>
              <w:spacing w:line="560" w:lineRule="exact"/>
              <w:ind w:leftChars="0"/>
              <w:rPr>
                <w:rFonts w:hint="eastAsia" w:ascii="仿宋_GB2312" w:hAnsi="仿宋_GB2312" w:eastAsia="仿宋_GB2312" w:cs="仿宋_GB2312"/>
                <w:bCs/>
                <w:sz w:val="28"/>
                <w:szCs w:val="28"/>
              </w:rPr>
            </w:pPr>
          </w:p>
          <w:p>
            <w:pPr>
              <w:numPr>
                <w:ilvl w:val="0"/>
                <w:numId w:val="0"/>
              </w:numPr>
              <w:spacing w:line="560" w:lineRule="exact"/>
              <w:rPr>
                <w:rFonts w:hint="eastAsia"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80" w:firstLineChars="200"/>
              <w:jc w:val="both"/>
            </w:pPr>
            <w:r>
              <w:t>202</w:t>
            </w:r>
            <w:r>
              <w:rPr>
                <w:rFonts w:hint="eastAsia"/>
                <w:lang w:val="en-US" w:eastAsia="zh-CN"/>
              </w:rPr>
              <w:t>1</w:t>
            </w:r>
            <w:r>
              <w:t>年我单位整体支出为</w:t>
            </w:r>
            <w:r>
              <w:rPr>
                <w:rFonts w:hint="eastAsia"/>
                <w:lang w:val="en-US" w:eastAsia="zh-CN"/>
              </w:rPr>
              <w:t>2620.46</w:t>
            </w:r>
            <w:r>
              <w:t>万元，其中：工资福利支出</w:t>
            </w:r>
            <w:r>
              <w:rPr>
                <w:rFonts w:hint="eastAsia"/>
                <w:lang w:val="en-US" w:eastAsia="zh-CN"/>
              </w:rPr>
              <w:t>376.86</w:t>
            </w:r>
            <w:r>
              <w:t>万元，主要基本工资</w:t>
            </w:r>
            <w:r>
              <w:rPr>
                <w:rFonts w:hint="eastAsia"/>
                <w:lang w:val="en-US" w:eastAsia="zh-CN"/>
              </w:rPr>
              <w:t>147.88</w:t>
            </w:r>
            <w:r>
              <w:t>万元，津补贴</w:t>
            </w:r>
            <w:r>
              <w:rPr>
                <w:rFonts w:hint="eastAsia"/>
                <w:lang w:val="en-US" w:eastAsia="zh-CN"/>
              </w:rPr>
              <w:t>96.94</w:t>
            </w:r>
            <w:r>
              <w:t>万元，奖金</w:t>
            </w:r>
            <w:r>
              <w:rPr>
                <w:rFonts w:hint="eastAsia"/>
                <w:lang w:val="en-US" w:eastAsia="zh-CN"/>
              </w:rPr>
              <w:t>5.29</w:t>
            </w:r>
            <w:r>
              <w:t>万元，伙食补助</w:t>
            </w:r>
            <w:r>
              <w:rPr>
                <w:rFonts w:hint="eastAsia"/>
                <w:lang w:val="en-US" w:eastAsia="zh-CN"/>
              </w:rPr>
              <w:t>0.6</w:t>
            </w:r>
            <w:r>
              <w:t>万元，绩效工资</w:t>
            </w:r>
            <w:r>
              <w:rPr>
                <w:rFonts w:hint="eastAsia"/>
                <w:lang w:val="en-US" w:eastAsia="zh-CN"/>
              </w:rPr>
              <w:t>34.2</w:t>
            </w:r>
            <w:r>
              <w:t>万元，养老金</w:t>
            </w:r>
            <w:r>
              <w:rPr>
                <w:rFonts w:hint="eastAsia"/>
                <w:lang w:val="en-US" w:eastAsia="zh-CN"/>
              </w:rPr>
              <w:t>35.39</w:t>
            </w:r>
            <w:r>
              <w:t>万元，职业年金</w:t>
            </w:r>
            <w:r>
              <w:rPr>
                <w:rFonts w:hint="eastAsia"/>
                <w:lang w:val="en-US" w:eastAsia="zh-CN"/>
              </w:rPr>
              <w:t>0</w:t>
            </w:r>
            <w:r>
              <w:t>万元，医保金</w:t>
            </w:r>
            <w:r>
              <w:rPr>
                <w:rFonts w:hint="eastAsia"/>
                <w:lang w:val="en-US" w:eastAsia="zh-CN"/>
              </w:rPr>
              <w:t>17.23</w:t>
            </w:r>
            <w:r>
              <w:t>万元，公务员医疗保险</w:t>
            </w:r>
            <w:r>
              <w:rPr>
                <w:rFonts w:hint="eastAsia"/>
                <w:lang w:val="en-US" w:eastAsia="zh-CN"/>
              </w:rPr>
              <w:t>2.26</w:t>
            </w:r>
            <w:r>
              <w:t>万</w:t>
            </w:r>
            <w:r>
              <w:rPr>
                <w:rFonts w:hint="eastAsia"/>
                <w:lang w:val="en-US" w:eastAsia="zh-CN"/>
              </w:rPr>
              <w:t xml:space="preserve">    </w:t>
            </w:r>
            <w:r>
              <w:t>元，其他社保金</w:t>
            </w:r>
            <w:r>
              <w:rPr>
                <w:rFonts w:hint="eastAsia"/>
                <w:lang w:val="en-US" w:eastAsia="zh-CN"/>
              </w:rPr>
              <w:t>1.3</w:t>
            </w:r>
            <w:r>
              <w:t>万元，住房公积金</w:t>
            </w:r>
            <w:r>
              <w:rPr>
                <w:rFonts w:hint="eastAsia"/>
                <w:lang w:val="en-US" w:eastAsia="zh-CN"/>
              </w:rPr>
              <w:t>30.83</w:t>
            </w:r>
            <w:r>
              <w:t>万元，其他工作福利支出</w:t>
            </w:r>
            <w:r>
              <w:rPr>
                <w:rFonts w:hint="eastAsia"/>
                <w:lang w:val="en-US" w:eastAsia="zh-CN"/>
              </w:rPr>
              <w:t>4.95</w:t>
            </w:r>
            <w:r>
              <w:t>万元。商品和服务支出</w:t>
            </w:r>
            <w:r>
              <w:rPr>
                <w:rFonts w:hint="eastAsia"/>
                <w:lang w:val="en-US" w:eastAsia="zh-CN"/>
              </w:rPr>
              <w:t>1071.23</w:t>
            </w:r>
            <w:r>
              <w:t>万元，主要用于单位正常办公开支等。项目支出</w:t>
            </w:r>
            <w:r>
              <w:rPr>
                <w:rFonts w:hint="eastAsia"/>
                <w:lang w:val="en-US" w:eastAsia="zh-CN"/>
              </w:rPr>
              <w:t>1129.86</w:t>
            </w:r>
            <w:r>
              <w:t>万元，主要用于重点执法费用、城市市容环境卫生管理、渣土禁炮、园林绿化养护维护、城市管理执收成本、禁违拆违等工作。</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420" w:firstLineChars="200"/>
              <w:rPr>
                <w:rFonts w:hint="default" w:ascii="仿宋_GB2312" w:hAnsi="仿宋_GB2312" w:eastAsia="宋体" w:cs="仿宋_GB2312"/>
                <w:bCs/>
                <w:sz w:val="28"/>
                <w:szCs w:val="28"/>
                <w:lang w:val="en-US" w:eastAsia="zh-CN"/>
              </w:rPr>
            </w:pPr>
            <w:r>
              <w:t>202</w:t>
            </w:r>
            <w:r>
              <w:rPr>
                <w:rFonts w:hint="eastAsia"/>
                <w:lang w:val="en-US" w:eastAsia="zh-CN"/>
              </w:rPr>
              <w:t>1</w:t>
            </w:r>
            <w:r>
              <w:t>年各项项目资金共投入</w:t>
            </w:r>
            <w:r>
              <w:rPr>
                <w:rFonts w:hint="eastAsia"/>
                <w:lang w:val="en-US" w:eastAsia="zh-CN"/>
              </w:rPr>
              <w:t>1129.86</w:t>
            </w:r>
            <w:r>
              <w:t>万元</w:t>
            </w:r>
            <w:r>
              <w:rPr>
                <w:rFonts w:hint="eastAsia"/>
                <w:lang w:val="en-US" w:eastAsia="zh-CN"/>
              </w:rPr>
              <w:t xml:space="preserve">                                       </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80" w:firstLineChars="200"/>
              <w:jc w:val="both"/>
            </w:pPr>
            <w:r>
              <w:t>202</w:t>
            </w:r>
            <w:r>
              <w:rPr>
                <w:rFonts w:hint="eastAsia"/>
                <w:lang w:val="en-US" w:eastAsia="zh-CN"/>
              </w:rPr>
              <w:t>1</w:t>
            </w:r>
            <w:r>
              <w:t>年各项项目支出2727.66万元，主要用于重点执法费用、城市市容环境卫生管理、渣土禁炮、园林绿化养护维护、城市管理执收成本、禁违拆违等工作。</w:t>
            </w:r>
          </w:p>
          <w:p>
            <w:pPr>
              <w:spacing w:line="560" w:lineRule="exact"/>
              <w:ind w:firstLine="560" w:firstLineChars="200"/>
              <w:rPr>
                <w:rFonts w:hint="eastAsia" w:ascii="仿宋_GB2312" w:hAnsi="仿宋_GB2312" w:eastAsia="仿宋_GB2312" w:cs="仿宋_GB2312"/>
                <w:bCs/>
                <w:sz w:val="28"/>
                <w:szCs w:val="28"/>
              </w:rPr>
            </w:pP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80" w:firstLineChars="200"/>
              <w:jc w:val="both"/>
            </w:pPr>
            <w: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numPr>
                <w:ilvl w:val="0"/>
                <w:numId w:val="0"/>
              </w:numPr>
              <w:spacing w:line="560" w:lineRule="exact"/>
              <w:rPr>
                <w:rFonts w:hint="eastAsia"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各项专项资金都安排责任人，按专项资金的用途专款专用。</w:t>
            </w:r>
          </w:p>
          <w:p>
            <w:pPr>
              <w:spacing w:line="560" w:lineRule="exact"/>
              <w:ind w:firstLine="560" w:firstLineChars="200"/>
              <w:rPr>
                <w:rFonts w:hint="eastAsia" w:ascii="仿宋_GB2312" w:hAnsi="仿宋_GB2312" w:eastAsia="仿宋_GB2312" w:cs="仿宋_GB2312"/>
                <w:bCs/>
                <w:sz w:val="28"/>
                <w:szCs w:val="28"/>
              </w:rPr>
            </w:pP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在使用专项资金时，严格执行专项资使用制度和财务制度，同时对各项专项资金的使用流程进行监督，定时查看财务表报检查专项资金使用情况。</w:t>
            </w:r>
          </w:p>
          <w:p>
            <w:pPr>
              <w:numPr>
                <w:ilvl w:val="0"/>
                <w:numId w:val="0"/>
              </w:numPr>
              <w:spacing w:line="560" w:lineRule="exact"/>
              <w:rPr>
                <w:rFonts w:hint="eastAsia" w:ascii="仿宋_GB2312" w:hAnsi="仿宋_GB2312" w:eastAsia="仿宋_GB2312" w:cs="仿宋_GB2312"/>
                <w:bCs/>
                <w:sz w:val="28"/>
                <w:szCs w:val="28"/>
              </w:rPr>
            </w:pP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根据考核评分细则，从整体上看，2020年我局资金运行维护决策正确，资金管理规范，项目管理到位，政策执行有力，有效发挥了财政资金的使用效率。我局各项项目资金其主要用途是优化城市市容市貌，保障城市工作站的正常运转；在人员经费支出、公共支出严格执行区委区政府的各项制度；在项目经费的使用上，在保证各项任务顺利完成的同时，严格落实厉行节约的原则；三公经费的使用严格控制在预算申报的范围内。</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存在的主要问题</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jc w:val="both"/>
            </w:pPr>
            <w:r>
              <w:t>主要存在问题一是使用公务卡方面需要进一步加强。二是对个别项目资金使用方面预算不够细致，出现实际支出数超出了预算申报数和出现项目资金结金数额多的情况。</w:t>
            </w:r>
          </w:p>
          <w:p>
            <w:pPr>
              <w:spacing w:line="560" w:lineRule="exact"/>
              <w:ind w:firstLine="560" w:firstLineChars="200"/>
              <w:rPr>
                <w:rFonts w:ascii="黑体" w:hAnsi="黑体" w:eastAsia="黑体" w:cs="黑体"/>
                <w:bCs/>
                <w:sz w:val="28"/>
                <w:szCs w:val="28"/>
              </w:rPr>
            </w:pP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leftChars="200"/>
              <w:rPr>
                <w:rFonts w:hint="eastAsia" w:ascii="黑体" w:hAnsi="黑体" w:eastAsia="黑体" w:cs="黑体"/>
                <w:bCs/>
                <w:sz w:val="28"/>
                <w:szCs w:val="28"/>
              </w:rPr>
            </w:pPr>
            <w:r>
              <w:t>一是加大对公务卡的使用力度。二是加强做好各项目资金的预算工作，即要确保各项工作顺利地开展，又要做好厉行节约，力争把成本降低。</w:t>
            </w:r>
          </w:p>
          <w:p>
            <w:pPr>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F4E56"/>
    <w:multiLevelType w:val="singleLevel"/>
    <w:tmpl w:val="AF5F4E56"/>
    <w:lvl w:ilvl="0" w:tentative="0">
      <w:start w:val="4"/>
      <w:numFmt w:val="chineseCounting"/>
      <w:suff w:val="nothing"/>
      <w:lvlText w:val="%1、"/>
      <w:lvlJc w:val="left"/>
      <w:rPr>
        <w:rFonts w:hint="eastAsia"/>
      </w:rPr>
    </w:lvl>
  </w:abstractNum>
  <w:abstractNum w:abstractNumId="1">
    <w:nsid w:val="BC6B0DDD"/>
    <w:multiLevelType w:val="singleLevel"/>
    <w:tmpl w:val="BC6B0DDD"/>
    <w:lvl w:ilvl="0" w:tentative="0">
      <w:start w:val="2"/>
      <w:numFmt w:val="chineseCounting"/>
      <w:suff w:val="nothing"/>
      <w:lvlText w:val="（%1）"/>
      <w:lvlJc w:val="left"/>
      <w:rPr>
        <w:rFonts w:hint="eastAsia"/>
      </w:rPr>
    </w:lvl>
  </w:abstractNum>
  <w:abstractNum w:abstractNumId="2">
    <w:nsid w:val="5A127E78"/>
    <w:multiLevelType w:val="singleLevel"/>
    <w:tmpl w:val="5A127E78"/>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3E03708E"/>
    <w:rsid w:val="11E619CD"/>
    <w:rsid w:val="3E03708E"/>
    <w:rsid w:val="5C12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3315</Words>
  <Characters>3565</Characters>
  <Lines>0</Lines>
  <Paragraphs>0</Paragraphs>
  <TotalTime>5</TotalTime>
  <ScaleCrop>false</ScaleCrop>
  <LinksUpToDate>false</LinksUpToDate>
  <CharactersWithSpaces>3819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2022-06-29T01:39:00Z</dcterms:created>
  <dc:creator>Administrator</dc:creator>
  <cp:lastModifiedBy>Administrator</cp:lastModifiedBy>
  <dcterms:modified xsi:type="dcterms:W3CDTF">2022-11-04T01:46:13Z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97C27C220D6E4CF397309689C32275FC</vt:lpwstr>
  </property>
</Properties>
</file>