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附件1：</w:t>
      </w: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  <w:lang w:eastAsia="zh-CN"/>
        </w:rPr>
      </w:pPr>
      <w:r>
        <w:rPr>
          <w:rFonts w:eastAsia="方正小标宋_GBK"/>
          <w:bCs/>
          <w:kern w:val="0"/>
          <w:sz w:val="44"/>
          <w:szCs w:val="44"/>
        </w:rPr>
        <w:t xml:space="preserve"> 2022年</w:t>
      </w:r>
      <w:r>
        <w:rPr>
          <w:rFonts w:hint="eastAsia" w:eastAsia="方正小标宋_GBK"/>
          <w:bCs/>
          <w:kern w:val="0"/>
          <w:sz w:val="44"/>
          <w:szCs w:val="44"/>
        </w:rPr>
        <w:t>岳阳县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44"/>
          <w:szCs w:val="44"/>
          <w:lang w:eastAsia="zh-CN"/>
        </w:rPr>
        <w:t>病残吸毒人员收治中心</w:t>
      </w:r>
      <w:r>
        <w:rPr>
          <w:rFonts w:eastAsia="方正小标宋_GBK"/>
          <w:bCs/>
          <w:kern w:val="0"/>
          <w:sz w:val="44"/>
          <w:szCs w:val="44"/>
        </w:rPr>
        <w:t>部门预算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公开</w:t>
      </w: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目 录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36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 xml:space="preserve">第一部分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022年部门预算说明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部门基本概况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职能职责</w:t>
      </w:r>
    </w:p>
    <w:p>
      <w:pPr>
        <w:widowControl/>
        <w:numPr>
          <w:ilvl w:val="0"/>
          <w:numId w:val="2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机构设置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部门预算单位构成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部门收支总体情况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收入预算</w:t>
      </w:r>
    </w:p>
    <w:p>
      <w:pPr>
        <w:widowControl/>
        <w:numPr>
          <w:ilvl w:val="0"/>
          <w:numId w:val="3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支出预算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一般公共预算拨款支出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基本支出</w:t>
      </w:r>
    </w:p>
    <w:p>
      <w:pPr>
        <w:widowControl/>
        <w:numPr>
          <w:ilvl w:val="0"/>
          <w:numId w:val="4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项目支出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政府性基金预算支出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其他重要事项的情况说明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机关运行经费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“三公”经费预算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一般性支出情况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政府采购情况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国有资产占有使用情况及新增资产配置情况</w:t>
      </w:r>
    </w:p>
    <w:p>
      <w:pPr>
        <w:widowControl/>
        <w:numPr>
          <w:ilvl w:val="0"/>
          <w:numId w:val="5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预算绩效情况说明</w:t>
      </w:r>
    </w:p>
    <w:p>
      <w:pPr>
        <w:widowControl/>
        <w:numPr>
          <w:ilvl w:val="0"/>
          <w:numId w:val="1"/>
        </w:numPr>
        <w:spacing w:line="600" w:lineRule="exact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</w:t>
      </w:r>
      <w:r>
        <w:rPr>
          <w:rFonts w:hint="eastAsia" w:eastAsia="仿宋_GB2312"/>
          <w:sz w:val="32"/>
          <w:szCs w:val="32"/>
          <w:lang w:val="en-US" w:eastAsia="zh-CN"/>
        </w:rPr>
        <w:t>基本</w:t>
      </w:r>
      <w:r>
        <w:rPr>
          <w:rFonts w:eastAsia="仿宋_GB2312"/>
          <w:sz w:val="32"/>
          <w:szCs w:val="32"/>
        </w:rPr>
        <w:t>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9、</w:t>
      </w:r>
      <w:r>
        <w:rPr>
          <w:rFonts w:eastAsia="仿宋_GB2312"/>
          <w:sz w:val="32"/>
          <w:szCs w:val="32"/>
        </w:rPr>
        <w:t>一般公共预算基本支出表-人员经费（工资福利支出）（按政府预算经济分类）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专项资金预算汇总表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其他项目支出绩效目标表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36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2022年部门预算说明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4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eastAsia="楷体_GB2312"/>
          <w:b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1、对患有癌症、尿毒症、艾滋病等传染及严重疾病的吸、贩毒人员进行集中收治。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岳阳县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病残吸收人员收治中心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是岳阳县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司法局的二级机构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，主管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病残吸毒人员的收治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。收治中心现在职人员23人。</w:t>
      </w:r>
    </w:p>
    <w:p>
      <w:pPr>
        <w:widowControl/>
        <w:spacing w:line="600" w:lineRule="exact"/>
        <w:ind w:firstLine="624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为独立二级机构，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没有所属二级机构，因此本年度部门预算仅为本级部门预算。</w:t>
      </w:r>
    </w:p>
    <w:p>
      <w:pPr>
        <w:widowControl/>
        <w:spacing w:line="600" w:lineRule="exact"/>
        <w:ind w:firstLine="624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4" w:firstLineChars="196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年年初预算数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329.7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万元，其中，一般公共预算拨款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329.7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万元,政府性基金预算拨款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万元，国有资本经营预算拨款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万元，纳入专户管理的非税收入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总收入较去年增加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15.15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4.82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%。主要是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人员正常晋级晋档增加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751" w:firstLineChars="236"/>
        <w:textAlignment w:val="auto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2022年本部门支出预算</w:t>
      </w:r>
      <w:r>
        <w:rPr>
          <w:rFonts w:hint="eastAsia" w:eastAsia="仿宋_GB2312"/>
          <w:sz w:val="32"/>
          <w:szCs w:val="32"/>
          <w:lang w:val="en-US" w:eastAsia="zh-CN"/>
        </w:rPr>
        <w:t>329.7</w:t>
      </w:r>
      <w:r>
        <w:rPr>
          <w:rFonts w:eastAsia="仿宋_GB2312"/>
          <w:sz w:val="32"/>
          <w:szCs w:val="32"/>
        </w:rPr>
        <w:t>万元，其中，公共</w:t>
      </w:r>
      <w:r>
        <w:rPr>
          <w:rFonts w:hint="eastAsia" w:eastAsia="仿宋_GB2312"/>
          <w:sz w:val="32"/>
          <w:szCs w:val="32"/>
          <w:lang w:eastAsia="zh-CN"/>
        </w:rPr>
        <w:t>安全支出</w:t>
      </w:r>
      <w:r>
        <w:rPr>
          <w:rFonts w:hint="eastAsia" w:eastAsia="仿宋_GB2312"/>
          <w:sz w:val="32"/>
          <w:szCs w:val="32"/>
          <w:lang w:val="en-US" w:eastAsia="zh-CN"/>
        </w:rPr>
        <w:t>288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18.90</w:t>
      </w:r>
      <w:r>
        <w:rPr>
          <w:rFonts w:hint="eastAsia" w:eastAsia="仿宋_GB2312"/>
          <w:sz w:val="32"/>
          <w:szCs w:val="32"/>
        </w:rPr>
        <w:t>万元，卫生健康支出</w:t>
      </w:r>
      <w:r>
        <w:rPr>
          <w:rFonts w:hint="eastAsia" w:eastAsia="仿宋_GB2312"/>
          <w:sz w:val="32"/>
          <w:szCs w:val="32"/>
          <w:lang w:val="en-US" w:eastAsia="zh-CN"/>
        </w:rPr>
        <w:t>9.45</w:t>
      </w:r>
      <w:r>
        <w:rPr>
          <w:rFonts w:hint="eastAsia" w:eastAsia="仿宋_GB2312"/>
          <w:sz w:val="32"/>
          <w:szCs w:val="32"/>
        </w:rPr>
        <w:t>万元，住房保障</w:t>
      </w:r>
      <w:r>
        <w:rPr>
          <w:rFonts w:hint="eastAsia" w:eastAsia="仿宋_GB2312"/>
          <w:sz w:val="32"/>
          <w:szCs w:val="32"/>
          <w:lang w:val="en-US" w:eastAsia="zh-CN"/>
        </w:rPr>
        <w:t>13.35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支出较去年增加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4.82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%，主要是增加了与收入增加部分相对应的支出。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2022年本部门一般公共预算拨款支出预算</w:t>
      </w:r>
      <w:r>
        <w:rPr>
          <w:rFonts w:hint="eastAsia" w:eastAsia="仿宋_GB2312"/>
          <w:sz w:val="32"/>
          <w:szCs w:val="32"/>
          <w:lang w:val="en-US" w:eastAsia="zh-CN"/>
        </w:rPr>
        <w:t>329.7</w:t>
      </w:r>
      <w:r>
        <w:rPr>
          <w:rFonts w:eastAsia="仿宋_GB2312"/>
          <w:sz w:val="32"/>
          <w:szCs w:val="32"/>
        </w:rPr>
        <w:t>万元，其中，公共</w:t>
      </w:r>
      <w:r>
        <w:rPr>
          <w:rFonts w:hint="eastAsia" w:eastAsia="仿宋_GB2312"/>
          <w:sz w:val="32"/>
          <w:szCs w:val="32"/>
          <w:lang w:eastAsia="zh-CN"/>
        </w:rPr>
        <w:t>安全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  <w:lang w:val="en-US" w:eastAsia="zh-CN"/>
        </w:rPr>
        <w:t>288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87.35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</w:t>
      </w:r>
      <w:r>
        <w:rPr>
          <w:rFonts w:hint="eastAsia" w:eastAsia="仿宋_GB2312"/>
          <w:sz w:val="32"/>
          <w:szCs w:val="32"/>
          <w:lang w:val="en-US" w:eastAsia="zh-CN"/>
        </w:rPr>
        <w:t>18.90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5.73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</w:t>
      </w:r>
      <w:r>
        <w:rPr>
          <w:rFonts w:hint="eastAsia" w:eastAsia="仿宋_GB2312"/>
          <w:sz w:val="32"/>
          <w:szCs w:val="32"/>
          <w:lang w:val="en-US" w:eastAsia="zh-CN"/>
        </w:rPr>
        <w:t>9.45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2.87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</w:t>
      </w:r>
      <w:r>
        <w:rPr>
          <w:rFonts w:hint="eastAsia" w:eastAsia="仿宋_GB2312"/>
          <w:sz w:val="32"/>
          <w:szCs w:val="32"/>
          <w:lang w:val="en-US" w:eastAsia="zh-CN"/>
        </w:rPr>
        <w:t>13.35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4.05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其他支出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2022年本部门基本支出预算数</w:t>
      </w:r>
      <w:r>
        <w:rPr>
          <w:rFonts w:hint="eastAsia" w:eastAsia="仿宋_GB2312"/>
          <w:sz w:val="32"/>
          <w:szCs w:val="32"/>
          <w:lang w:val="en-US" w:eastAsia="zh-CN"/>
        </w:rPr>
        <w:t>255.70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</w:t>
      </w:r>
      <w:r>
        <w:rPr>
          <w:rFonts w:hint="eastAsia" w:eastAsia="仿宋_GB2312"/>
          <w:sz w:val="32"/>
          <w:szCs w:val="32"/>
        </w:rPr>
        <w:t>，其中：工资福利支出</w:t>
      </w:r>
      <w:r>
        <w:rPr>
          <w:rFonts w:hint="eastAsia" w:eastAsia="仿宋_GB2312"/>
          <w:sz w:val="32"/>
          <w:szCs w:val="32"/>
          <w:lang w:val="en-US" w:eastAsia="zh-CN"/>
        </w:rPr>
        <w:t>243.28</w:t>
      </w:r>
      <w:r>
        <w:rPr>
          <w:rFonts w:hint="eastAsia" w:eastAsia="仿宋_GB2312"/>
          <w:sz w:val="32"/>
          <w:szCs w:val="32"/>
        </w:rPr>
        <w:t>万元、一般商品和服务支出</w:t>
      </w:r>
      <w:r>
        <w:rPr>
          <w:rFonts w:hint="eastAsia" w:eastAsia="仿宋_GB2312"/>
          <w:sz w:val="32"/>
          <w:szCs w:val="32"/>
          <w:lang w:val="en-US" w:eastAsia="zh-CN"/>
        </w:rPr>
        <w:t>12.42</w:t>
      </w:r>
      <w:r>
        <w:rPr>
          <w:rFonts w:hint="eastAsia" w:eastAsia="仿宋_GB2312"/>
          <w:sz w:val="32"/>
          <w:szCs w:val="32"/>
        </w:rPr>
        <w:t>万元、对个人和家庭的补助支出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20" w:lineRule="exact"/>
        <w:ind w:firstLine="939" w:firstLineChars="295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年年初预算数为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主要是部门为完成特定行政工作任务或事业发展目标而发生的支出，包括有关事业发展专项、专项业务费、基本建设支出等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其中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收治工作专项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运行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经费74万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,主要用于收治人员收治运行经费及收治人员的伙食费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年度本部门无政府性基金安排的支出。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</w:rPr>
        <w:t>本年度机关运行经费当年一般公共预算拨款</w:t>
      </w:r>
      <w:r>
        <w:rPr>
          <w:rFonts w:hint="eastAsia" w:eastAsia="仿宋_GB2312"/>
          <w:sz w:val="32"/>
          <w:szCs w:val="32"/>
          <w:lang w:val="en-US" w:eastAsia="zh-CN"/>
        </w:rPr>
        <w:t>12.42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与上年持平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36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hint="eastAsia" w:eastAsia="仿宋_GB2312"/>
          <w:sz w:val="32"/>
          <w:szCs w:val="32"/>
        </w:rPr>
        <w:t>年本部门机关本级“三公”经费预算数为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val="en-US" w:eastAsia="zh-CN"/>
        </w:rPr>
        <w:t>与上年持平。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（三）一般性支出情况：</w:t>
      </w:r>
    </w:p>
    <w:p>
      <w:pPr>
        <w:widowControl/>
        <w:spacing w:line="600" w:lineRule="exact"/>
        <w:ind w:firstLine="660"/>
        <w:rPr>
          <w:rFonts w:eastAsia="楷体_GB2312"/>
          <w:b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2022</w:t>
      </w:r>
      <w:r>
        <w:rPr>
          <w:rFonts w:eastAsia="仿宋_GB2312"/>
          <w:kern w:val="0"/>
          <w:sz w:val="32"/>
          <w:szCs w:val="32"/>
          <w:highlight w:val="none"/>
        </w:rPr>
        <w:t>年本部门会议费预算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highlight w:val="none"/>
          <w:u w:val="none"/>
        </w:rPr>
        <w:t>万元，拟召开</w:t>
      </w:r>
      <w:r>
        <w:rPr>
          <w:rFonts w:hint="default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highlight w:val="none"/>
        </w:rPr>
        <w:t>会议，人数</w:t>
      </w:r>
      <w:r>
        <w:rPr>
          <w:rFonts w:eastAsia="仿宋_GB2312"/>
          <w:sz w:val="32"/>
          <w:szCs w:val="32"/>
          <w:highlight w:val="none"/>
          <w:u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highlight w:val="none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highlight w:val="none"/>
        </w:rPr>
        <w:t>人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内容无</w:t>
      </w:r>
      <w:r>
        <w:rPr>
          <w:rFonts w:eastAsia="仿宋_GB2312"/>
          <w:kern w:val="0"/>
          <w:sz w:val="32"/>
          <w:szCs w:val="32"/>
          <w:highlight w:val="none"/>
        </w:rPr>
        <w:t>；培训费预算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highlight w:val="none"/>
        </w:rPr>
        <w:t>万元，拟开展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highlight w:val="none"/>
        </w:rPr>
        <w:t>培训，人数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highlight w:val="none"/>
        </w:rPr>
        <w:t>人</w:t>
      </w:r>
      <w:r>
        <w:rPr>
          <w:rFonts w:hint="eastAsia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highlight w:val="none"/>
          <w:lang w:val="en-US" w:eastAsia="zh-CN"/>
        </w:rPr>
        <w:t>内容无</w:t>
      </w:r>
      <w:r>
        <w:rPr>
          <w:rFonts w:eastAsia="仿宋_GB2312"/>
          <w:kern w:val="0"/>
          <w:sz w:val="32"/>
          <w:szCs w:val="32"/>
          <w:highlight w:val="none"/>
        </w:rPr>
        <w:t>；拟举办</w:t>
      </w:r>
      <w:r>
        <w:rPr>
          <w:rFonts w:hint="eastAsia" w:eastAsia="仿宋_GB2312"/>
          <w:sz w:val="32"/>
          <w:szCs w:val="32"/>
          <w:highlight w:val="none"/>
          <w:u w:val="none"/>
          <w:lang w:val="en-US" w:eastAsia="zh-CN"/>
        </w:rPr>
        <w:t>0个</w:t>
      </w:r>
      <w:r>
        <w:rPr>
          <w:rFonts w:eastAsia="仿宋_GB2312"/>
          <w:kern w:val="0"/>
          <w:sz w:val="32"/>
          <w:szCs w:val="32"/>
          <w:highlight w:val="none"/>
          <w:u w:val="none"/>
        </w:rPr>
        <w:t>等节庆、晚会、论坛、赛事活动，经费预算</w:t>
      </w:r>
      <w:r>
        <w:rPr>
          <w:rFonts w:hint="eastAsia" w:eastAsia="仿宋_GB2312"/>
          <w:kern w:val="0"/>
          <w:sz w:val="32"/>
          <w:szCs w:val="32"/>
          <w:highlight w:val="none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  <w:highlight w:val="none"/>
          <w:u w:val="none"/>
        </w:rPr>
        <w:t>万元。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2022年本部门政府采购预算总额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8万元，其中，货物类采购预算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0万元；工程类采购预算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0万元；服务类采购预算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8万元。</w:t>
      </w:r>
    </w:p>
    <w:p>
      <w:pPr>
        <w:widowControl/>
        <w:spacing w:line="600" w:lineRule="exact"/>
        <w:ind w:firstLine="66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截至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年12月底，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 w:bidi="ar-SA"/>
        </w:rPr>
        <w:t>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2022年拟新增配置公务用车0辆，其中，机要通信用车0辆，应急保障用车0辆，执法执勤用车0辆，特种专业技术用车0辆，其他按照规定配备的公务用车0辆；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本部门所有支出实行绩效目标管理。纳入2022年部门整体支出绩效目标的金额为</w:t>
      </w:r>
      <w:r>
        <w:rPr>
          <w:rFonts w:hint="eastAsia" w:eastAsia="仿宋_GB2312"/>
          <w:sz w:val="32"/>
          <w:szCs w:val="32"/>
          <w:lang w:val="en-US" w:eastAsia="zh-CN"/>
        </w:rPr>
        <w:t>329.7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，其中，基本支出</w:t>
      </w:r>
      <w:r>
        <w:rPr>
          <w:rFonts w:hint="eastAsia" w:eastAsia="仿宋_GB2312"/>
          <w:sz w:val="32"/>
          <w:szCs w:val="32"/>
          <w:lang w:val="en-US" w:eastAsia="zh-CN"/>
        </w:rPr>
        <w:t>255.7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bCs/>
          <w:kern w:val="0"/>
          <w:sz w:val="32"/>
          <w:szCs w:val="32"/>
        </w:rPr>
        <w:t>，项目支出</w:t>
      </w:r>
      <w:r>
        <w:rPr>
          <w:rFonts w:hint="eastAsia" w:eastAsia="仿宋_GB2312"/>
          <w:sz w:val="32"/>
          <w:szCs w:val="32"/>
          <w:lang w:val="en-US" w:eastAsia="zh-CN"/>
        </w:rPr>
        <w:t>74</w:t>
      </w:r>
      <w:r>
        <w:rPr>
          <w:rFonts w:hint="eastAsia" w:eastAsia="仿宋_GB2312"/>
          <w:sz w:val="32"/>
          <w:szCs w:val="32"/>
        </w:rPr>
        <w:t>万</w:t>
      </w:r>
      <w:r>
        <w:rPr>
          <w:rFonts w:eastAsia="仿宋_GB2312"/>
          <w:bCs/>
          <w:kern w:val="0"/>
          <w:sz w:val="32"/>
          <w:szCs w:val="32"/>
        </w:rPr>
        <w:t>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36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第二部分 2022年部门预算表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7" w:h="16840"/>
      <w:pgMar w:top="1134" w:right="1797" w:bottom="1304" w:left="1797" w:header="851" w:footer="992" w:gutter="0"/>
      <w:cols w:space="720" w:num="1"/>
      <w:docGrid w:type="linesAndChars" w:linePitch="495" w:charSpace="-5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14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8B4"/>
    <w:multiLevelType w:val="multilevel"/>
    <w:tmpl w:val="07C378B4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1">
    <w:nsid w:val="1185520E"/>
    <w:multiLevelType w:val="multilevel"/>
    <w:tmpl w:val="1185520E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2">
    <w:nsid w:val="28021EF8"/>
    <w:multiLevelType w:val="multilevel"/>
    <w:tmpl w:val="28021EF8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3">
    <w:nsid w:val="39F23F1A"/>
    <w:multiLevelType w:val="multilevel"/>
    <w:tmpl w:val="39F23F1A"/>
    <w:lvl w:ilvl="0" w:tentative="0">
      <w:start w:val="1"/>
      <w:numFmt w:val="japaneseCounting"/>
      <w:lvlText w:val="%1、"/>
      <w:lvlJc w:val="left"/>
      <w:pPr>
        <w:ind w:left="1354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abstractNum w:abstractNumId="4">
    <w:nsid w:val="41B61A22"/>
    <w:multiLevelType w:val="multilevel"/>
    <w:tmpl w:val="41B61A22"/>
    <w:lvl w:ilvl="0" w:tentative="0">
      <w:start w:val="1"/>
      <w:numFmt w:val="japaneseCounting"/>
      <w:lvlText w:val="（%1）"/>
      <w:lvlJc w:val="left"/>
      <w:pPr>
        <w:ind w:left="1714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4" w:hanging="420"/>
      </w:pPr>
    </w:lvl>
    <w:lvl w:ilvl="2" w:tentative="0">
      <w:start w:val="1"/>
      <w:numFmt w:val="lowerRoman"/>
      <w:lvlText w:val="%3."/>
      <w:lvlJc w:val="right"/>
      <w:pPr>
        <w:ind w:left="1894" w:hanging="420"/>
      </w:pPr>
    </w:lvl>
    <w:lvl w:ilvl="3" w:tentative="0">
      <w:start w:val="1"/>
      <w:numFmt w:val="decimal"/>
      <w:lvlText w:val="%4."/>
      <w:lvlJc w:val="left"/>
      <w:pPr>
        <w:ind w:left="2314" w:hanging="420"/>
      </w:pPr>
    </w:lvl>
    <w:lvl w:ilvl="4" w:tentative="0">
      <w:start w:val="1"/>
      <w:numFmt w:val="lowerLetter"/>
      <w:lvlText w:val="%5)"/>
      <w:lvlJc w:val="left"/>
      <w:pPr>
        <w:ind w:left="2734" w:hanging="420"/>
      </w:pPr>
    </w:lvl>
    <w:lvl w:ilvl="5" w:tentative="0">
      <w:start w:val="1"/>
      <w:numFmt w:val="lowerRoman"/>
      <w:lvlText w:val="%6."/>
      <w:lvlJc w:val="right"/>
      <w:pPr>
        <w:ind w:left="3154" w:hanging="420"/>
      </w:pPr>
    </w:lvl>
    <w:lvl w:ilvl="6" w:tentative="0">
      <w:start w:val="1"/>
      <w:numFmt w:val="decimal"/>
      <w:lvlText w:val="%7."/>
      <w:lvlJc w:val="left"/>
      <w:pPr>
        <w:ind w:left="3574" w:hanging="420"/>
      </w:pPr>
    </w:lvl>
    <w:lvl w:ilvl="7" w:tentative="0">
      <w:start w:val="1"/>
      <w:numFmt w:val="lowerLetter"/>
      <w:lvlText w:val="%8)"/>
      <w:lvlJc w:val="left"/>
      <w:pPr>
        <w:ind w:left="3994" w:hanging="420"/>
      </w:pPr>
    </w:lvl>
    <w:lvl w:ilvl="8" w:tentative="0">
      <w:start w:val="1"/>
      <w:numFmt w:val="lowerRoman"/>
      <w:lvlText w:val="%9."/>
      <w:lvlJc w:val="right"/>
      <w:pPr>
        <w:ind w:left="4414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DQ2YmE4YjQ2ODA4MDViYTI4N2EzZDA0MTFhZjMifQ=="/>
  </w:docVars>
  <w:rsids>
    <w:rsidRoot w:val="00F947F0"/>
    <w:rsid w:val="00001712"/>
    <w:rsid w:val="000153CF"/>
    <w:rsid w:val="000460C6"/>
    <w:rsid w:val="00053CAC"/>
    <w:rsid w:val="0005772A"/>
    <w:rsid w:val="00092386"/>
    <w:rsid w:val="00095420"/>
    <w:rsid w:val="000C169D"/>
    <w:rsid w:val="000C34A8"/>
    <w:rsid w:val="000E4464"/>
    <w:rsid w:val="000E7E83"/>
    <w:rsid w:val="000F122D"/>
    <w:rsid w:val="000F1AE6"/>
    <w:rsid w:val="0011067B"/>
    <w:rsid w:val="00112564"/>
    <w:rsid w:val="0012612A"/>
    <w:rsid w:val="001277DB"/>
    <w:rsid w:val="0014469F"/>
    <w:rsid w:val="00151067"/>
    <w:rsid w:val="00194281"/>
    <w:rsid w:val="001A722D"/>
    <w:rsid w:val="001B1568"/>
    <w:rsid w:val="001B2201"/>
    <w:rsid w:val="001B40A6"/>
    <w:rsid w:val="001D5D9C"/>
    <w:rsid w:val="00202517"/>
    <w:rsid w:val="00204DF7"/>
    <w:rsid w:val="00211A10"/>
    <w:rsid w:val="002375EE"/>
    <w:rsid w:val="002473FE"/>
    <w:rsid w:val="00256ED2"/>
    <w:rsid w:val="00261A74"/>
    <w:rsid w:val="002907B7"/>
    <w:rsid w:val="00291581"/>
    <w:rsid w:val="002A3A1B"/>
    <w:rsid w:val="002C2F37"/>
    <w:rsid w:val="002C31A6"/>
    <w:rsid w:val="002C6EDD"/>
    <w:rsid w:val="002F4545"/>
    <w:rsid w:val="00305B43"/>
    <w:rsid w:val="00321952"/>
    <w:rsid w:val="00334CF4"/>
    <w:rsid w:val="00350B2A"/>
    <w:rsid w:val="00352C7A"/>
    <w:rsid w:val="00360DDA"/>
    <w:rsid w:val="00363566"/>
    <w:rsid w:val="00373263"/>
    <w:rsid w:val="003734B2"/>
    <w:rsid w:val="003750F2"/>
    <w:rsid w:val="00376202"/>
    <w:rsid w:val="00394547"/>
    <w:rsid w:val="003A09E0"/>
    <w:rsid w:val="003D1692"/>
    <w:rsid w:val="003D29EF"/>
    <w:rsid w:val="004133F4"/>
    <w:rsid w:val="00414270"/>
    <w:rsid w:val="00422990"/>
    <w:rsid w:val="00425148"/>
    <w:rsid w:val="00427396"/>
    <w:rsid w:val="00435734"/>
    <w:rsid w:val="0048232E"/>
    <w:rsid w:val="004A4B5F"/>
    <w:rsid w:val="004A7A20"/>
    <w:rsid w:val="004A7DE6"/>
    <w:rsid w:val="004C2937"/>
    <w:rsid w:val="004D0BA6"/>
    <w:rsid w:val="004F2317"/>
    <w:rsid w:val="005264EC"/>
    <w:rsid w:val="005373FA"/>
    <w:rsid w:val="00540119"/>
    <w:rsid w:val="00556D03"/>
    <w:rsid w:val="00557F16"/>
    <w:rsid w:val="00572C36"/>
    <w:rsid w:val="0058338E"/>
    <w:rsid w:val="00584FFD"/>
    <w:rsid w:val="00586F08"/>
    <w:rsid w:val="00594F66"/>
    <w:rsid w:val="00597E81"/>
    <w:rsid w:val="005B4755"/>
    <w:rsid w:val="005C0793"/>
    <w:rsid w:val="005C2DBA"/>
    <w:rsid w:val="005D1447"/>
    <w:rsid w:val="005D6732"/>
    <w:rsid w:val="005E0995"/>
    <w:rsid w:val="005F4481"/>
    <w:rsid w:val="006013D3"/>
    <w:rsid w:val="006024B3"/>
    <w:rsid w:val="0067368B"/>
    <w:rsid w:val="006902FF"/>
    <w:rsid w:val="006920CE"/>
    <w:rsid w:val="00697524"/>
    <w:rsid w:val="006976C0"/>
    <w:rsid w:val="006A42A1"/>
    <w:rsid w:val="006B17B0"/>
    <w:rsid w:val="006B1D11"/>
    <w:rsid w:val="006C051D"/>
    <w:rsid w:val="006D0E53"/>
    <w:rsid w:val="006F10C6"/>
    <w:rsid w:val="006F2CC3"/>
    <w:rsid w:val="006F6CEF"/>
    <w:rsid w:val="00721FB1"/>
    <w:rsid w:val="007258EF"/>
    <w:rsid w:val="00746291"/>
    <w:rsid w:val="007504E7"/>
    <w:rsid w:val="00766703"/>
    <w:rsid w:val="00771697"/>
    <w:rsid w:val="00775E79"/>
    <w:rsid w:val="00781DAB"/>
    <w:rsid w:val="007831DC"/>
    <w:rsid w:val="007868AB"/>
    <w:rsid w:val="00787BDE"/>
    <w:rsid w:val="00790E30"/>
    <w:rsid w:val="007A09E3"/>
    <w:rsid w:val="007B02E6"/>
    <w:rsid w:val="007D2A19"/>
    <w:rsid w:val="007E0B48"/>
    <w:rsid w:val="008442F7"/>
    <w:rsid w:val="00844EE7"/>
    <w:rsid w:val="00853BFE"/>
    <w:rsid w:val="008606C3"/>
    <w:rsid w:val="008A1A21"/>
    <w:rsid w:val="008C150B"/>
    <w:rsid w:val="008D036A"/>
    <w:rsid w:val="008E64EB"/>
    <w:rsid w:val="008F4A7E"/>
    <w:rsid w:val="00915052"/>
    <w:rsid w:val="00915258"/>
    <w:rsid w:val="00915B45"/>
    <w:rsid w:val="00916F4D"/>
    <w:rsid w:val="0094364E"/>
    <w:rsid w:val="0095690B"/>
    <w:rsid w:val="00957690"/>
    <w:rsid w:val="009616BF"/>
    <w:rsid w:val="00965491"/>
    <w:rsid w:val="00986BE9"/>
    <w:rsid w:val="00990355"/>
    <w:rsid w:val="009B55F2"/>
    <w:rsid w:val="009D6CDD"/>
    <w:rsid w:val="009E74EC"/>
    <w:rsid w:val="009F7EFC"/>
    <w:rsid w:val="00A04236"/>
    <w:rsid w:val="00A15EE9"/>
    <w:rsid w:val="00A26331"/>
    <w:rsid w:val="00A26F91"/>
    <w:rsid w:val="00A7228A"/>
    <w:rsid w:val="00AD1617"/>
    <w:rsid w:val="00AD223D"/>
    <w:rsid w:val="00AD3446"/>
    <w:rsid w:val="00AD682D"/>
    <w:rsid w:val="00AD7CAD"/>
    <w:rsid w:val="00AF4EDE"/>
    <w:rsid w:val="00AF57FD"/>
    <w:rsid w:val="00AF66CB"/>
    <w:rsid w:val="00B07380"/>
    <w:rsid w:val="00B15BF1"/>
    <w:rsid w:val="00B23414"/>
    <w:rsid w:val="00B308A3"/>
    <w:rsid w:val="00B340A2"/>
    <w:rsid w:val="00B44F99"/>
    <w:rsid w:val="00B55CF0"/>
    <w:rsid w:val="00B61CE3"/>
    <w:rsid w:val="00B81DAF"/>
    <w:rsid w:val="00B83106"/>
    <w:rsid w:val="00B944D8"/>
    <w:rsid w:val="00B95545"/>
    <w:rsid w:val="00BA23B1"/>
    <w:rsid w:val="00BA7FBD"/>
    <w:rsid w:val="00BC09F3"/>
    <w:rsid w:val="00BC19FC"/>
    <w:rsid w:val="00BC497E"/>
    <w:rsid w:val="00C06F22"/>
    <w:rsid w:val="00C10046"/>
    <w:rsid w:val="00C145C2"/>
    <w:rsid w:val="00C1788F"/>
    <w:rsid w:val="00C22FF2"/>
    <w:rsid w:val="00C2380B"/>
    <w:rsid w:val="00C31834"/>
    <w:rsid w:val="00C4194A"/>
    <w:rsid w:val="00C51028"/>
    <w:rsid w:val="00C56F1B"/>
    <w:rsid w:val="00C6274C"/>
    <w:rsid w:val="00C6306A"/>
    <w:rsid w:val="00C710F0"/>
    <w:rsid w:val="00C7161B"/>
    <w:rsid w:val="00C72B2E"/>
    <w:rsid w:val="00C803CA"/>
    <w:rsid w:val="00C826ED"/>
    <w:rsid w:val="00C91AB3"/>
    <w:rsid w:val="00CB162E"/>
    <w:rsid w:val="00CB596D"/>
    <w:rsid w:val="00CD0B53"/>
    <w:rsid w:val="00CD5B66"/>
    <w:rsid w:val="00CF380C"/>
    <w:rsid w:val="00D0321A"/>
    <w:rsid w:val="00D15A9D"/>
    <w:rsid w:val="00D16F40"/>
    <w:rsid w:val="00D27554"/>
    <w:rsid w:val="00D35C74"/>
    <w:rsid w:val="00D4092B"/>
    <w:rsid w:val="00D521AE"/>
    <w:rsid w:val="00D66585"/>
    <w:rsid w:val="00D86B62"/>
    <w:rsid w:val="00D878A5"/>
    <w:rsid w:val="00DA3F53"/>
    <w:rsid w:val="00DA4B82"/>
    <w:rsid w:val="00DC4C91"/>
    <w:rsid w:val="00DE2296"/>
    <w:rsid w:val="00DE5DA0"/>
    <w:rsid w:val="00E02D16"/>
    <w:rsid w:val="00E21E42"/>
    <w:rsid w:val="00E31169"/>
    <w:rsid w:val="00E3772E"/>
    <w:rsid w:val="00E37F88"/>
    <w:rsid w:val="00E4277D"/>
    <w:rsid w:val="00E43455"/>
    <w:rsid w:val="00E53026"/>
    <w:rsid w:val="00E605C0"/>
    <w:rsid w:val="00E7072E"/>
    <w:rsid w:val="00E97AE6"/>
    <w:rsid w:val="00EA4B43"/>
    <w:rsid w:val="00EC483F"/>
    <w:rsid w:val="00EE0784"/>
    <w:rsid w:val="00EE27BE"/>
    <w:rsid w:val="00EF78CC"/>
    <w:rsid w:val="00F00CF3"/>
    <w:rsid w:val="00F046B7"/>
    <w:rsid w:val="00F07E45"/>
    <w:rsid w:val="00F203EB"/>
    <w:rsid w:val="00F20835"/>
    <w:rsid w:val="00F545D6"/>
    <w:rsid w:val="00F56BB7"/>
    <w:rsid w:val="00F947F0"/>
    <w:rsid w:val="00FA1FCF"/>
    <w:rsid w:val="00FD4B9B"/>
    <w:rsid w:val="00FD5E2E"/>
    <w:rsid w:val="00FD6E33"/>
    <w:rsid w:val="00FF6EED"/>
    <w:rsid w:val="022D33C0"/>
    <w:rsid w:val="04756613"/>
    <w:rsid w:val="09640ED3"/>
    <w:rsid w:val="0A2B07AA"/>
    <w:rsid w:val="0AB02DEE"/>
    <w:rsid w:val="0B1451FA"/>
    <w:rsid w:val="11F10465"/>
    <w:rsid w:val="12B839F5"/>
    <w:rsid w:val="1307310A"/>
    <w:rsid w:val="1DC47989"/>
    <w:rsid w:val="1EC35298"/>
    <w:rsid w:val="206170B5"/>
    <w:rsid w:val="206B05CD"/>
    <w:rsid w:val="27765E26"/>
    <w:rsid w:val="295A6E90"/>
    <w:rsid w:val="2BFD3552"/>
    <w:rsid w:val="2D1D4C15"/>
    <w:rsid w:val="2D860546"/>
    <w:rsid w:val="2E647E0B"/>
    <w:rsid w:val="3BC205AC"/>
    <w:rsid w:val="4055331D"/>
    <w:rsid w:val="41D22F9F"/>
    <w:rsid w:val="43506FF2"/>
    <w:rsid w:val="439E4D78"/>
    <w:rsid w:val="44104666"/>
    <w:rsid w:val="4A3A3E92"/>
    <w:rsid w:val="4D672674"/>
    <w:rsid w:val="4DFB155D"/>
    <w:rsid w:val="4EE22343"/>
    <w:rsid w:val="4F6007D3"/>
    <w:rsid w:val="50182EB1"/>
    <w:rsid w:val="51F5181F"/>
    <w:rsid w:val="5AEE78EA"/>
    <w:rsid w:val="5C5B5A07"/>
    <w:rsid w:val="5CF51E64"/>
    <w:rsid w:val="621D0A63"/>
    <w:rsid w:val="647D7502"/>
    <w:rsid w:val="66425954"/>
    <w:rsid w:val="69F41FBE"/>
    <w:rsid w:val="71AD1D9C"/>
    <w:rsid w:val="79E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firstLine="634"/>
    </w:pPr>
    <w:rPr>
      <w:rFonts w:eastAsia="仿宋_GB231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批注框文本 字符"/>
    <w:link w:val="4"/>
    <w:qFormat/>
    <w:uiPriority w:val="0"/>
    <w:rPr>
      <w:kern w:val="2"/>
      <w:sz w:val="18"/>
      <w:szCs w:val="18"/>
    </w:rPr>
  </w:style>
  <w:style w:type="paragraph" w:customStyle="1" w:styleId="14">
    <w:name w:val="Char Char Char Char Char Char1"/>
    <w:basedOn w:val="1"/>
    <w:qFormat/>
    <w:uiPriority w:val="0"/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2470</Words>
  <Characters>2660</Characters>
  <Lines>23</Lines>
  <Paragraphs>6</Paragraphs>
  <TotalTime>3</TotalTime>
  <ScaleCrop>false</ScaleCrop>
  <LinksUpToDate>false</LinksUpToDate>
  <CharactersWithSpaces>2674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2022-04-11T01:19:00Z</dcterms:created>
  <dc:creator>朱娜</dc:creator>
  <cp:lastModifiedBy>路人甲°</cp:lastModifiedBy>
  <cp:lastPrinted>2022-04-11T00:52:00Z</cp:lastPrinted>
  <dcterms:modified xsi:type="dcterms:W3CDTF">2023-09-14T11:35:48Z</dcterms:modified>
  <dc:title>湖南省财政厅处室便函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36DDCF09D73347FAACC5409B1681EE90</vt:lpwstr>
  </property>
</Properties>
</file>