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eastAsia="仿宋_GB2312"/>
          <w:bCs/>
          <w:kern w:val="0"/>
          <w:sz w:val="32"/>
          <w:szCs w:val="32"/>
        </w:rPr>
      </w:pPr>
      <w:r>
        <w:rPr>
          <w:rFonts w:eastAsia="仿宋_GB2312"/>
          <w:bCs/>
          <w:kern w:val="0"/>
          <w:sz w:val="32"/>
          <w:szCs w:val="32"/>
        </w:rPr>
        <w:t>附件1：</w:t>
      </w:r>
    </w:p>
    <w:p>
      <w:pPr>
        <w:widowControl/>
        <w:spacing w:line="600" w:lineRule="exact"/>
        <w:jc w:val="left"/>
        <w:rPr>
          <w:rFonts w:eastAsia="仿宋_GB2312"/>
          <w:bCs/>
          <w:kern w:val="0"/>
          <w:sz w:val="32"/>
          <w:szCs w:val="32"/>
        </w:rPr>
      </w:pPr>
    </w:p>
    <w:p>
      <w:pPr>
        <w:widowControl/>
        <w:spacing w:line="600" w:lineRule="exact"/>
        <w:jc w:val="center"/>
        <w:rPr>
          <w:rFonts w:eastAsia="方正小标宋_GBK"/>
          <w:bCs/>
          <w:kern w:val="0"/>
          <w:sz w:val="44"/>
          <w:szCs w:val="44"/>
        </w:rPr>
      </w:pPr>
      <w:r>
        <w:rPr>
          <w:rFonts w:eastAsia="方正小标宋_GBK"/>
          <w:bCs/>
          <w:kern w:val="0"/>
          <w:sz w:val="44"/>
          <w:szCs w:val="44"/>
        </w:rPr>
        <w:t xml:space="preserve"> 2022年</w:t>
      </w:r>
      <w:r>
        <w:rPr>
          <w:rFonts w:hint="eastAsia" w:eastAsia="方正小标宋_GBK"/>
          <w:bCs/>
          <w:kern w:val="0"/>
          <w:sz w:val="44"/>
          <w:szCs w:val="44"/>
        </w:rPr>
        <w:t>岳阳县</w:t>
      </w:r>
      <w:r>
        <w:rPr>
          <w:rFonts w:hint="eastAsia" w:eastAsia="方正小标宋_GBK"/>
          <w:bCs/>
          <w:kern w:val="0"/>
          <w:sz w:val="44"/>
          <w:szCs w:val="44"/>
          <w:lang w:eastAsia="zh-CN"/>
        </w:rPr>
        <w:t>第三人民医院</w:t>
      </w:r>
      <w:r>
        <w:rPr>
          <w:rFonts w:hint="eastAsia" w:eastAsia="方正小标宋_GBK"/>
          <w:bCs/>
          <w:kern w:val="0"/>
          <w:sz w:val="44"/>
          <w:szCs w:val="44"/>
        </w:rPr>
        <w:t>单位</w:t>
      </w:r>
      <w:r>
        <w:rPr>
          <w:rFonts w:eastAsia="方正小标宋_GBK"/>
          <w:bCs/>
          <w:kern w:val="0"/>
          <w:sz w:val="44"/>
          <w:szCs w:val="44"/>
        </w:rPr>
        <w:t>部门预算</w:t>
      </w:r>
    </w:p>
    <w:p>
      <w:pPr>
        <w:widowControl/>
        <w:spacing w:line="600" w:lineRule="exact"/>
        <w:jc w:val="center"/>
        <w:rPr>
          <w:rFonts w:eastAsia="楷体_GB2312"/>
          <w:bCs/>
          <w:kern w:val="0"/>
          <w:sz w:val="32"/>
          <w:szCs w:val="32"/>
        </w:rPr>
      </w:pPr>
    </w:p>
    <w:p>
      <w:pPr>
        <w:widowControl/>
        <w:spacing w:line="600" w:lineRule="exact"/>
        <w:jc w:val="center"/>
        <w:rPr>
          <w:rFonts w:eastAsia="楷体_GB2312"/>
          <w:bCs/>
          <w:kern w:val="0"/>
          <w:sz w:val="32"/>
          <w:szCs w:val="32"/>
        </w:rPr>
      </w:pPr>
    </w:p>
    <w:p>
      <w:pPr>
        <w:widowControl/>
        <w:spacing w:line="600" w:lineRule="exact"/>
        <w:jc w:val="center"/>
        <w:rPr>
          <w:rFonts w:eastAsia="黑体"/>
          <w:bCs/>
          <w:kern w:val="0"/>
          <w:sz w:val="32"/>
          <w:szCs w:val="32"/>
        </w:rPr>
      </w:pPr>
      <w:r>
        <w:rPr>
          <w:rFonts w:eastAsia="黑体"/>
          <w:bCs/>
          <w:kern w:val="0"/>
          <w:sz w:val="32"/>
          <w:szCs w:val="32"/>
        </w:rPr>
        <w:t>目 录</w:t>
      </w:r>
    </w:p>
    <w:p>
      <w:pPr>
        <w:widowControl/>
        <w:spacing w:line="600" w:lineRule="exact"/>
        <w:jc w:val="left"/>
        <w:rPr>
          <w:rFonts w:eastAsia="黑体"/>
          <w:bCs/>
          <w:kern w:val="0"/>
          <w:sz w:val="32"/>
          <w:szCs w:val="32"/>
        </w:rPr>
      </w:pPr>
    </w:p>
    <w:p>
      <w:pPr>
        <w:widowControl/>
        <w:spacing w:line="600" w:lineRule="exact"/>
        <w:ind w:firstLine="636" w:firstLineChars="200"/>
        <w:rPr>
          <w:rFonts w:eastAsia="仿宋_GB2312"/>
          <w:b/>
          <w:bCs/>
          <w:kern w:val="0"/>
          <w:sz w:val="32"/>
          <w:szCs w:val="32"/>
        </w:rPr>
      </w:pPr>
      <w:r>
        <w:rPr>
          <w:rFonts w:eastAsia="仿宋_GB2312"/>
          <w:b/>
          <w:bCs/>
          <w:kern w:val="0"/>
          <w:sz w:val="32"/>
          <w:szCs w:val="32"/>
        </w:rPr>
        <w:t xml:space="preserve">第一部分 </w:t>
      </w:r>
      <w:r>
        <w:rPr>
          <w:rFonts w:eastAsia="方正小标宋_GBK"/>
          <w:b/>
          <w:bCs/>
          <w:kern w:val="0"/>
          <w:sz w:val="32"/>
          <w:szCs w:val="32"/>
        </w:rPr>
        <w:t>2</w:t>
      </w:r>
      <w:r>
        <w:rPr>
          <w:rFonts w:eastAsia="仿宋_GB2312"/>
          <w:b/>
          <w:bCs/>
          <w:kern w:val="0"/>
          <w:sz w:val="32"/>
          <w:szCs w:val="32"/>
        </w:rPr>
        <w:t>022年部门预算说明</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部门基本概况</w:t>
      </w:r>
    </w:p>
    <w:p>
      <w:pPr>
        <w:widowControl/>
        <w:numPr>
          <w:ilvl w:val="0"/>
          <w:numId w:val="2"/>
        </w:numPr>
        <w:spacing w:line="600" w:lineRule="exact"/>
        <w:rPr>
          <w:rFonts w:eastAsia="方正小标宋_GBK"/>
          <w:bCs/>
          <w:kern w:val="0"/>
          <w:sz w:val="32"/>
          <w:szCs w:val="32"/>
        </w:rPr>
      </w:pPr>
      <w:r>
        <w:rPr>
          <w:rFonts w:hint="eastAsia" w:eastAsia="方正小标宋_GBK"/>
          <w:bCs/>
          <w:kern w:val="0"/>
          <w:sz w:val="32"/>
          <w:szCs w:val="32"/>
        </w:rPr>
        <w:t>职能职责</w:t>
      </w:r>
    </w:p>
    <w:p>
      <w:pPr>
        <w:widowControl/>
        <w:numPr>
          <w:ilvl w:val="0"/>
          <w:numId w:val="2"/>
        </w:numPr>
        <w:spacing w:line="600" w:lineRule="exact"/>
        <w:rPr>
          <w:rFonts w:eastAsia="方正小标宋_GBK"/>
          <w:bCs/>
          <w:kern w:val="0"/>
          <w:sz w:val="32"/>
          <w:szCs w:val="32"/>
        </w:rPr>
      </w:pPr>
      <w:r>
        <w:rPr>
          <w:rFonts w:hint="eastAsia" w:eastAsia="方正小标宋_GBK"/>
          <w:bCs/>
          <w:kern w:val="0"/>
          <w:sz w:val="32"/>
          <w:szCs w:val="32"/>
        </w:rPr>
        <w:t>机构设置</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部门预算单位构成</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部门收支总体情况</w:t>
      </w:r>
    </w:p>
    <w:p>
      <w:pPr>
        <w:widowControl/>
        <w:numPr>
          <w:ilvl w:val="0"/>
          <w:numId w:val="3"/>
        </w:numPr>
        <w:spacing w:line="600" w:lineRule="exact"/>
        <w:rPr>
          <w:rFonts w:eastAsia="方正小标宋_GBK"/>
          <w:bCs/>
          <w:kern w:val="0"/>
          <w:sz w:val="32"/>
          <w:szCs w:val="32"/>
        </w:rPr>
      </w:pPr>
      <w:r>
        <w:rPr>
          <w:rFonts w:hint="eastAsia" w:eastAsia="方正小标宋_GBK"/>
          <w:bCs/>
          <w:kern w:val="0"/>
          <w:sz w:val="32"/>
          <w:szCs w:val="32"/>
        </w:rPr>
        <w:t>收入预算</w:t>
      </w:r>
    </w:p>
    <w:p>
      <w:pPr>
        <w:widowControl/>
        <w:numPr>
          <w:ilvl w:val="0"/>
          <w:numId w:val="3"/>
        </w:numPr>
        <w:spacing w:line="600" w:lineRule="exact"/>
        <w:rPr>
          <w:rFonts w:eastAsia="方正小标宋_GBK"/>
          <w:bCs/>
          <w:kern w:val="0"/>
          <w:sz w:val="32"/>
          <w:szCs w:val="32"/>
        </w:rPr>
      </w:pPr>
      <w:r>
        <w:rPr>
          <w:rFonts w:hint="eastAsia" w:eastAsia="方正小标宋_GBK"/>
          <w:bCs/>
          <w:kern w:val="0"/>
          <w:sz w:val="32"/>
          <w:szCs w:val="32"/>
        </w:rPr>
        <w:t>支出预算</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一般公共预算拨款支出</w:t>
      </w:r>
    </w:p>
    <w:p>
      <w:pPr>
        <w:widowControl/>
        <w:numPr>
          <w:ilvl w:val="0"/>
          <w:numId w:val="4"/>
        </w:numPr>
        <w:spacing w:line="600" w:lineRule="exact"/>
        <w:rPr>
          <w:rFonts w:eastAsia="方正小标宋_GBK"/>
          <w:bCs/>
          <w:kern w:val="0"/>
          <w:sz w:val="32"/>
          <w:szCs w:val="32"/>
        </w:rPr>
      </w:pPr>
      <w:r>
        <w:rPr>
          <w:rFonts w:hint="eastAsia" w:eastAsia="方正小标宋_GBK"/>
          <w:bCs/>
          <w:kern w:val="0"/>
          <w:sz w:val="32"/>
          <w:szCs w:val="32"/>
        </w:rPr>
        <w:t>基本支出</w:t>
      </w:r>
    </w:p>
    <w:p>
      <w:pPr>
        <w:widowControl/>
        <w:numPr>
          <w:ilvl w:val="0"/>
          <w:numId w:val="4"/>
        </w:numPr>
        <w:spacing w:line="600" w:lineRule="exact"/>
        <w:rPr>
          <w:rFonts w:eastAsia="方正小标宋_GBK"/>
          <w:bCs/>
          <w:kern w:val="0"/>
          <w:sz w:val="32"/>
          <w:szCs w:val="32"/>
        </w:rPr>
      </w:pPr>
      <w:r>
        <w:rPr>
          <w:rFonts w:hint="eastAsia" w:eastAsia="方正小标宋_GBK"/>
          <w:bCs/>
          <w:kern w:val="0"/>
          <w:sz w:val="32"/>
          <w:szCs w:val="32"/>
        </w:rPr>
        <w:t>项目支出</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政府性基金预算支出</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其他重要事项的情况说明</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机关运行经费</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“三公”经费预算</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一般性支出情况</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政府采购情况</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国有资产占有使用情况及新增资产配置情况</w:t>
      </w:r>
    </w:p>
    <w:p>
      <w:pPr>
        <w:widowControl/>
        <w:numPr>
          <w:ilvl w:val="0"/>
          <w:numId w:val="5"/>
        </w:numPr>
        <w:spacing w:line="600" w:lineRule="exact"/>
        <w:rPr>
          <w:rFonts w:eastAsia="方正小标宋_GBK"/>
          <w:bCs/>
          <w:kern w:val="0"/>
          <w:sz w:val="32"/>
          <w:szCs w:val="32"/>
        </w:rPr>
      </w:pPr>
      <w:commentRangeStart w:id="0"/>
      <w:r>
        <w:rPr>
          <w:rFonts w:hint="eastAsia" w:eastAsia="方正小标宋_GBK"/>
          <w:bCs/>
          <w:kern w:val="0"/>
          <w:sz w:val="32"/>
          <w:szCs w:val="32"/>
        </w:rPr>
        <w:t>重点项目预算的绩效目标等预算绩效情况说明</w:t>
      </w:r>
      <w:commentRangeEnd w:id="0"/>
      <w:r>
        <w:commentReference w:id="0"/>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名词解释</w:t>
      </w:r>
    </w:p>
    <w:p>
      <w:pPr>
        <w:widowControl/>
        <w:spacing w:line="600" w:lineRule="exact"/>
        <w:ind w:firstLine="636" w:firstLineChars="200"/>
        <w:jc w:val="left"/>
        <w:rPr>
          <w:rFonts w:eastAsia="仿宋_GB2312"/>
          <w:b/>
          <w:bCs/>
          <w:kern w:val="0"/>
          <w:sz w:val="32"/>
          <w:szCs w:val="32"/>
        </w:rPr>
      </w:pPr>
      <w:r>
        <w:rPr>
          <w:rFonts w:eastAsia="仿宋_GB2312"/>
          <w:b/>
          <w:bCs/>
          <w:kern w:val="0"/>
          <w:sz w:val="32"/>
          <w:szCs w:val="32"/>
        </w:rPr>
        <w:t>第二部分 2022年部门预算表</w:t>
      </w:r>
    </w:p>
    <w:p>
      <w:pPr>
        <w:widowControl/>
        <w:spacing w:line="600" w:lineRule="exact"/>
        <w:ind w:firstLine="636" w:firstLineChars="200"/>
        <w:jc w:val="left"/>
        <w:rPr>
          <w:rFonts w:eastAsia="仿宋_GB2312"/>
          <w:sz w:val="32"/>
          <w:szCs w:val="32"/>
        </w:rPr>
      </w:pPr>
      <w:r>
        <w:rPr>
          <w:rFonts w:eastAsia="仿宋_GB2312"/>
          <w:sz w:val="32"/>
          <w:szCs w:val="32"/>
        </w:rPr>
        <w:t>1、收支总表</w:t>
      </w:r>
    </w:p>
    <w:p>
      <w:pPr>
        <w:widowControl/>
        <w:spacing w:line="600" w:lineRule="exact"/>
        <w:ind w:firstLine="636" w:firstLineChars="200"/>
        <w:jc w:val="left"/>
        <w:rPr>
          <w:rFonts w:eastAsia="仿宋_GB2312"/>
          <w:sz w:val="32"/>
          <w:szCs w:val="32"/>
        </w:rPr>
      </w:pPr>
      <w:r>
        <w:rPr>
          <w:rFonts w:eastAsia="仿宋_GB2312"/>
          <w:sz w:val="32"/>
          <w:szCs w:val="32"/>
        </w:rPr>
        <w:t>2、收入总表</w:t>
      </w:r>
    </w:p>
    <w:p>
      <w:pPr>
        <w:widowControl/>
        <w:spacing w:line="600" w:lineRule="exact"/>
        <w:ind w:firstLine="636" w:firstLineChars="200"/>
        <w:jc w:val="left"/>
        <w:rPr>
          <w:rFonts w:eastAsia="仿宋_GB2312"/>
          <w:sz w:val="32"/>
          <w:szCs w:val="32"/>
        </w:rPr>
      </w:pPr>
      <w:r>
        <w:rPr>
          <w:rFonts w:eastAsia="仿宋_GB2312"/>
          <w:sz w:val="32"/>
          <w:szCs w:val="32"/>
        </w:rPr>
        <w:t>3、支出总表</w:t>
      </w:r>
    </w:p>
    <w:p>
      <w:pPr>
        <w:widowControl/>
        <w:spacing w:line="600" w:lineRule="exact"/>
        <w:ind w:firstLine="636"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36"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36" w:firstLineChars="200"/>
        <w:jc w:val="left"/>
        <w:rPr>
          <w:rFonts w:eastAsia="仿宋_GB2312"/>
          <w:sz w:val="32"/>
          <w:szCs w:val="32"/>
        </w:rPr>
      </w:pPr>
      <w:r>
        <w:rPr>
          <w:rFonts w:eastAsia="仿宋_GB2312"/>
          <w:sz w:val="32"/>
          <w:szCs w:val="32"/>
        </w:rPr>
        <w:t>6、财政拨款收支总表</w:t>
      </w:r>
    </w:p>
    <w:p>
      <w:pPr>
        <w:widowControl/>
        <w:spacing w:line="600" w:lineRule="exact"/>
        <w:ind w:firstLine="636"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36" w:firstLineChars="200"/>
        <w:jc w:val="left"/>
        <w:rPr>
          <w:rFonts w:hint="default" w:ascii="Times New Roman" w:hAnsi="Times New Roman" w:eastAsia="仿宋_GB2312" w:cs="Times New Roman"/>
          <w:color w:val="000000"/>
          <w:sz w:val="32"/>
          <w:szCs w:val="32"/>
          <w:u w:val="none"/>
          <w:lang w:val="en-US" w:eastAsia="zh-Hans"/>
        </w:rPr>
      </w:pPr>
      <w:commentRangeStart w:id="1"/>
      <w:r>
        <w:rPr>
          <w:rFonts w:hint="default" w:ascii="Times New Roman" w:hAnsi="Times New Roman" w:eastAsia="仿宋_GB2312" w:cs="Times New Roman"/>
          <w:color w:val="000000"/>
          <w:sz w:val="32"/>
          <w:szCs w:val="32"/>
          <w:u w:val="none"/>
        </w:rPr>
        <w:t>8、</w:t>
      </w:r>
      <w:r>
        <w:rPr>
          <w:rFonts w:hint="eastAsia" w:ascii="Times New Roman" w:hAnsi="Times New Roman" w:eastAsia="仿宋_GB2312" w:cs="Times New Roman"/>
          <w:color w:val="000000"/>
          <w:sz w:val="32"/>
          <w:szCs w:val="32"/>
          <w:u w:val="none"/>
          <w:lang w:val="en-US" w:eastAsia="zh-Hans"/>
        </w:rPr>
        <w:t>一般公共预算基本支出表</w:t>
      </w:r>
      <w:commentRangeEnd w:id="1"/>
      <w:r>
        <w:commentReference w:id="1"/>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9</w:t>
      </w:r>
      <w:r>
        <w:rPr>
          <w:rFonts w:hint="eastAsia" w:ascii="Times New Roman" w:hAnsi="Times New Roman" w:eastAsia="仿宋_GB2312" w:cs="Times New Roman"/>
          <w:color w:val="000000"/>
          <w:sz w:val="32"/>
          <w:szCs w:val="32"/>
          <w:u w:val="none"/>
        </w:rPr>
        <w:t>、一般公共预算基本支出表-人员经费（工资福利支出）（按政府预算经济分类）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10</w:t>
      </w:r>
      <w:r>
        <w:rPr>
          <w:rFonts w:hint="eastAsia" w:ascii="Times New Roman" w:hAnsi="Times New Roman" w:eastAsia="仿宋_GB2312" w:cs="Times New Roman"/>
          <w:color w:val="000000"/>
          <w:sz w:val="32"/>
          <w:szCs w:val="32"/>
          <w:u w:val="none"/>
        </w:rPr>
        <w:t>、一般公共预算基本支出表-人员经费（工资福利支出）（按部门预算经济分类）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1</w:t>
      </w:r>
      <w:r>
        <w:rPr>
          <w:rFonts w:hint="eastAsia" w:ascii="Times New Roman" w:hAnsi="Times New Roman" w:eastAsia="仿宋_GB2312" w:cs="Times New Roman"/>
          <w:color w:val="000000"/>
          <w:sz w:val="32"/>
          <w:szCs w:val="32"/>
          <w:u w:val="none"/>
        </w:rPr>
        <w:t>、一般公共预算基本支出表-人员经费（对个人和家庭的补助）（按政府预算经济分类）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2</w:t>
      </w:r>
      <w:r>
        <w:rPr>
          <w:rFonts w:hint="eastAsia" w:ascii="Times New Roman" w:hAnsi="Times New Roman" w:eastAsia="仿宋_GB2312" w:cs="Times New Roman"/>
          <w:color w:val="000000"/>
          <w:sz w:val="32"/>
          <w:szCs w:val="32"/>
          <w:u w:val="none"/>
        </w:rPr>
        <w:t>、一般公共预算基本支出表-人员经费（对个人和家庭的补助）（按部门预算经济分类）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3</w:t>
      </w:r>
      <w:r>
        <w:rPr>
          <w:rFonts w:hint="eastAsia" w:ascii="Times New Roman" w:hAnsi="Times New Roman" w:eastAsia="仿宋_GB2312" w:cs="Times New Roman"/>
          <w:color w:val="000000"/>
          <w:sz w:val="32"/>
          <w:szCs w:val="32"/>
          <w:u w:val="none"/>
        </w:rPr>
        <w:t>、一般公共预算基本支出表-人员经费（商品和服务支出）（按政府预算经济分类）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4</w:t>
      </w:r>
      <w:r>
        <w:rPr>
          <w:rFonts w:hint="eastAsia" w:ascii="Times New Roman" w:hAnsi="Times New Roman" w:eastAsia="仿宋_GB2312" w:cs="Times New Roman"/>
          <w:color w:val="000000"/>
          <w:sz w:val="32"/>
          <w:szCs w:val="32"/>
          <w:u w:val="none"/>
        </w:rPr>
        <w:t>、一般公共预算基本支出表-人员经费（商品和服务支出）（按部门预算经济分类）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5</w:t>
      </w:r>
      <w:r>
        <w:rPr>
          <w:rFonts w:hint="eastAsia" w:ascii="Times New Roman" w:hAnsi="Times New Roman" w:eastAsia="仿宋_GB2312" w:cs="Times New Roman"/>
          <w:color w:val="000000"/>
          <w:sz w:val="32"/>
          <w:szCs w:val="32"/>
          <w:u w:val="none"/>
        </w:rPr>
        <w:t>、一般公共预算“三公”经费支出表</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6</w:t>
      </w:r>
      <w:r>
        <w:rPr>
          <w:rFonts w:hint="eastAsia" w:ascii="Times New Roman" w:hAnsi="Times New Roman" w:eastAsia="仿宋_GB2312" w:cs="Times New Roman"/>
          <w:color w:val="000000"/>
          <w:sz w:val="32"/>
          <w:szCs w:val="32"/>
          <w:u w:val="none"/>
        </w:rPr>
        <w:t>、政府性基金预算支出表</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7</w:t>
      </w:r>
      <w:r>
        <w:rPr>
          <w:rFonts w:hint="eastAsia" w:ascii="Times New Roman" w:hAnsi="Times New Roman" w:eastAsia="仿宋_GB2312" w:cs="Times New Roman"/>
          <w:color w:val="000000"/>
          <w:sz w:val="32"/>
          <w:szCs w:val="32"/>
          <w:u w:val="none"/>
        </w:rPr>
        <w:t>、政府性基金预算支出分类汇总表（按政府预算经济分类）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8</w:t>
      </w:r>
      <w:r>
        <w:rPr>
          <w:rFonts w:hint="eastAsia" w:ascii="Times New Roman" w:hAnsi="Times New Roman" w:eastAsia="仿宋_GB2312" w:cs="Times New Roman"/>
          <w:color w:val="000000"/>
          <w:sz w:val="32"/>
          <w:szCs w:val="32"/>
          <w:u w:val="none"/>
        </w:rPr>
        <w:t>、政府性基金预算支出分类汇总表（按部门预算经济分类）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9</w:t>
      </w:r>
      <w:r>
        <w:rPr>
          <w:rFonts w:hint="eastAsia" w:ascii="Times New Roman" w:hAnsi="Times New Roman" w:eastAsia="仿宋_GB2312" w:cs="Times New Roman"/>
          <w:color w:val="000000"/>
          <w:sz w:val="32"/>
          <w:szCs w:val="32"/>
          <w:u w:val="none"/>
        </w:rPr>
        <w:t>、国有资本经营预算支出表</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20</w:t>
      </w:r>
      <w:r>
        <w:rPr>
          <w:rFonts w:hint="eastAsia" w:ascii="Times New Roman" w:hAnsi="Times New Roman" w:eastAsia="仿宋_GB2312" w:cs="Times New Roman"/>
          <w:color w:val="000000"/>
          <w:sz w:val="32"/>
          <w:szCs w:val="32"/>
          <w:u w:val="none"/>
        </w:rPr>
        <w:t>、财政专户管理资金预算支出表</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2</w:t>
      </w:r>
      <w:r>
        <w:rPr>
          <w:rFonts w:hint="default" w:ascii="Times New Roman" w:hAnsi="Times New Roman" w:eastAsia="仿宋_GB2312" w:cs="Times New Roman"/>
          <w:color w:val="000000"/>
          <w:sz w:val="32"/>
          <w:szCs w:val="32"/>
          <w:u w:val="none"/>
        </w:rPr>
        <w:t>1</w:t>
      </w:r>
      <w:r>
        <w:rPr>
          <w:rFonts w:hint="eastAsia" w:ascii="Times New Roman" w:hAnsi="Times New Roman" w:eastAsia="仿宋_GB2312" w:cs="Times New Roman"/>
          <w:color w:val="000000"/>
          <w:sz w:val="32"/>
          <w:szCs w:val="32"/>
          <w:u w:val="none"/>
        </w:rPr>
        <w:t>、省级专项资金预算汇总表</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2</w:t>
      </w:r>
      <w:r>
        <w:rPr>
          <w:rFonts w:hint="default" w:ascii="Times New Roman" w:hAnsi="Times New Roman" w:eastAsia="仿宋_GB2312" w:cs="Times New Roman"/>
          <w:color w:val="000000"/>
          <w:sz w:val="32"/>
          <w:szCs w:val="32"/>
          <w:u w:val="none"/>
        </w:rPr>
        <w:t>2</w:t>
      </w:r>
      <w:r>
        <w:rPr>
          <w:rFonts w:hint="eastAsia" w:ascii="Times New Roman" w:hAnsi="Times New Roman" w:eastAsia="仿宋_GB2312" w:cs="Times New Roman"/>
          <w:color w:val="000000"/>
          <w:sz w:val="32"/>
          <w:szCs w:val="32"/>
          <w:u w:val="none"/>
        </w:rPr>
        <w:t>、项目支出绩效目标表</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2</w:t>
      </w:r>
      <w:r>
        <w:rPr>
          <w:rFonts w:hint="default" w:ascii="Times New Roman" w:hAnsi="Times New Roman" w:eastAsia="仿宋_GB2312" w:cs="Times New Roman"/>
          <w:color w:val="000000"/>
          <w:sz w:val="32"/>
          <w:szCs w:val="32"/>
          <w:u w:val="none"/>
        </w:rPr>
        <w:t>3</w:t>
      </w:r>
      <w:r>
        <w:rPr>
          <w:rFonts w:hint="eastAsia" w:ascii="Times New Roman" w:hAnsi="Times New Roman" w:eastAsia="仿宋_GB2312" w:cs="Times New Roman"/>
          <w:color w:val="000000"/>
          <w:sz w:val="32"/>
          <w:szCs w:val="32"/>
          <w:u w:val="none"/>
        </w:rPr>
        <w:t>、部门整体支出绩效目标表</w:t>
      </w:r>
    </w:p>
    <w:p>
      <w:pPr>
        <w:widowControl/>
        <w:spacing w:line="600" w:lineRule="exact"/>
        <w:ind w:firstLine="636" w:firstLineChars="200"/>
        <w:rPr>
          <w:rFonts w:eastAsia="仿宋_GB2312"/>
          <w:bCs/>
          <w:kern w:val="0"/>
          <w:sz w:val="32"/>
          <w:szCs w:val="32"/>
        </w:rPr>
      </w:pPr>
      <w:r>
        <w:rPr>
          <w:rFonts w:eastAsia="仿宋_GB2312"/>
          <w:bCs/>
          <w:kern w:val="0"/>
          <w:sz w:val="32"/>
          <w:szCs w:val="32"/>
        </w:rPr>
        <w:t>注：以上部门预算报表中，空表表示本部门无相关收支情况。</w:t>
      </w:r>
    </w:p>
    <w:p>
      <w:pPr>
        <w:widowControl/>
        <w:spacing w:line="600" w:lineRule="exact"/>
        <w:ind w:firstLine="636" w:firstLineChars="200"/>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pStyle w:val="2"/>
        <w:rPr>
          <w:rFonts w:eastAsia="仿宋_GB2312"/>
          <w:bCs/>
          <w:kern w:val="0"/>
          <w:sz w:val="32"/>
          <w:szCs w:val="32"/>
        </w:rPr>
      </w:pPr>
    </w:p>
    <w:p>
      <w:pPr>
        <w:rPr>
          <w:rFonts w:eastAsia="仿宋_GB2312"/>
          <w:bCs/>
          <w:kern w:val="0"/>
          <w:sz w:val="32"/>
          <w:szCs w:val="32"/>
        </w:rPr>
      </w:pPr>
    </w:p>
    <w:p>
      <w:pPr>
        <w:pStyle w:val="2"/>
        <w:rPr>
          <w:rFonts w:eastAsia="仿宋_GB2312"/>
          <w:bCs/>
          <w:kern w:val="0"/>
          <w:sz w:val="32"/>
          <w:szCs w:val="32"/>
        </w:rPr>
      </w:pPr>
    </w:p>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jc w:val="center"/>
        <w:rPr>
          <w:rFonts w:eastAsia="方正小标宋_GBK"/>
          <w:bCs/>
          <w:kern w:val="0"/>
          <w:sz w:val="36"/>
          <w:szCs w:val="36"/>
        </w:rPr>
      </w:pPr>
      <w:r>
        <w:rPr>
          <w:rFonts w:eastAsia="方正小标宋_GBK"/>
          <w:bCs/>
          <w:kern w:val="0"/>
          <w:sz w:val="36"/>
          <w:szCs w:val="36"/>
        </w:rPr>
        <w:t>第一部分 2022年部门预算说明</w:t>
      </w:r>
    </w:p>
    <w:p>
      <w:pPr>
        <w:widowControl/>
        <w:spacing w:line="600" w:lineRule="exact"/>
        <w:jc w:val="left"/>
        <w:rPr>
          <w:rFonts w:eastAsia="仿宋_GB2312"/>
          <w:b/>
          <w:bCs/>
          <w:kern w:val="0"/>
          <w:sz w:val="32"/>
          <w:szCs w:val="32"/>
        </w:rPr>
      </w:pPr>
    </w:p>
    <w:p>
      <w:pPr>
        <w:widowControl/>
        <w:spacing w:line="600" w:lineRule="exact"/>
        <w:ind w:firstLine="624" w:firstLineChars="196"/>
        <w:jc w:val="left"/>
        <w:rPr>
          <w:rFonts w:eastAsia="黑体"/>
          <w:bCs/>
          <w:kern w:val="0"/>
          <w:sz w:val="32"/>
          <w:szCs w:val="32"/>
        </w:rPr>
      </w:pPr>
      <w:r>
        <w:rPr>
          <w:rFonts w:eastAsia="黑体"/>
          <w:bCs/>
          <w:kern w:val="0"/>
          <w:sz w:val="32"/>
          <w:szCs w:val="32"/>
        </w:rPr>
        <w:t>一、部门基本概况</w:t>
      </w:r>
    </w:p>
    <w:p>
      <w:pPr>
        <w:widowControl/>
        <w:spacing w:line="600" w:lineRule="exact"/>
        <w:ind w:firstLine="624" w:firstLineChars="196"/>
        <w:jc w:val="left"/>
        <w:rPr>
          <w:rFonts w:eastAsia="楷体_GB2312"/>
          <w:b/>
          <w:sz w:val="32"/>
          <w:szCs w:val="32"/>
        </w:rPr>
      </w:pPr>
      <w:r>
        <w:rPr>
          <w:rFonts w:eastAsia="楷体_GB2312"/>
          <w:b/>
          <w:sz w:val="32"/>
          <w:szCs w:val="32"/>
        </w:rPr>
        <w:t>（一）职能职责。</w:t>
      </w:r>
    </w:p>
    <w:p>
      <w:pPr>
        <w:widowControl/>
        <w:spacing w:line="600" w:lineRule="exact"/>
        <w:ind w:firstLine="624" w:firstLineChars="196"/>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eastAsia="zh-CN"/>
        </w:rPr>
        <w:t>岳阳县第三人民医院（岳阳县血防医院）</w:t>
      </w:r>
      <w:r>
        <w:rPr>
          <w:rFonts w:hint="eastAsia" w:ascii="仿宋" w:hAnsi="仿宋" w:eastAsia="仿宋" w:cs="仿宋"/>
          <w:color w:val="000000"/>
          <w:kern w:val="0"/>
          <w:sz w:val="32"/>
          <w:szCs w:val="32"/>
        </w:rPr>
        <w:t>是一所集医疗、预防、康复为一体的二级综合性医院</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是岳阳县新农合，城镇居民、城镇职工，工伤等基本医疗定点医院</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是全县唯一一所血吸虫病定点救治医院。</w:t>
      </w:r>
    </w:p>
    <w:p>
      <w:pPr>
        <w:widowControl/>
        <w:spacing w:line="600" w:lineRule="exact"/>
        <w:ind w:firstLine="624" w:firstLineChars="196"/>
        <w:jc w:val="left"/>
        <w:rPr>
          <w:rFonts w:eastAsia="楷体_GB2312"/>
          <w:b/>
          <w:sz w:val="32"/>
          <w:szCs w:val="32"/>
        </w:rPr>
      </w:pPr>
    </w:p>
    <w:p>
      <w:pPr>
        <w:widowControl/>
        <w:spacing w:line="600" w:lineRule="exact"/>
        <w:ind w:firstLine="624" w:firstLineChars="196"/>
        <w:jc w:val="left"/>
        <w:rPr>
          <w:rFonts w:eastAsia="楷体_GB2312"/>
          <w:b/>
          <w:sz w:val="32"/>
          <w:szCs w:val="32"/>
        </w:rPr>
      </w:pPr>
      <w:r>
        <w:rPr>
          <w:rFonts w:eastAsia="楷体_GB2312"/>
          <w:b/>
          <w:sz w:val="32"/>
          <w:szCs w:val="32"/>
        </w:rPr>
        <w:t>（二）机构设置。</w:t>
      </w:r>
    </w:p>
    <w:p>
      <w:pPr>
        <w:widowControl/>
        <w:spacing w:line="600" w:lineRule="exact"/>
        <w:ind w:firstLine="624" w:firstLineChars="196"/>
        <w:jc w:val="left"/>
        <w:rPr>
          <w:rFonts w:hint="eastAsia" w:ascii="仿宋" w:hAnsi="仿宋" w:eastAsia="仿宋" w:cs="仿宋"/>
          <w:kern w:val="0"/>
          <w:sz w:val="32"/>
          <w:szCs w:val="32"/>
        </w:rPr>
      </w:pPr>
      <w:r>
        <w:rPr>
          <w:rFonts w:hint="eastAsia" w:ascii="仿宋" w:hAnsi="仿宋" w:eastAsia="仿宋" w:cs="仿宋"/>
          <w:kern w:val="0"/>
          <w:sz w:val="32"/>
          <w:szCs w:val="32"/>
        </w:rPr>
        <w:t>本院有内科、外科、妇产科、口腔科、晚血科、中医理疗科等</w:t>
      </w:r>
      <w:r>
        <w:rPr>
          <w:rFonts w:hint="eastAsia" w:ascii="仿宋" w:hAnsi="仿宋" w:eastAsia="仿宋" w:cs="仿宋"/>
          <w:kern w:val="0"/>
          <w:sz w:val="32"/>
          <w:szCs w:val="32"/>
          <w:lang w:eastAsia="zh-CN"/>
        </w:rPr>
        <w:t>业务</w:t>
      </w:r>
      <w:r>
        <w:rPr>
          <w:rFonts w:hint="eastAsia" w:ascii="仿宋" w:hAnsi="仿宋" w:eastAsia="仿宋" w:cs="仿宋"/>
          <w:kern w:val="0"/>
          <w:sz w:val="32"/>
          <w:szCs w:val="32"/>
        </w:rPr>
        <w:t>科室</w:t>
      </w:r>
      <w:r>
        <w:rPr>
          <w:rFonts w:hint="eastAsia" w:ascii="仿宋" w:hAnsi="仿宋" w:eastAsia="仿宋" w:cs="仿宋"/>
          <w:kern w:val="0"/>
          <w:sz w:val="32"/>
          <w:szCs w:val="32"/>
          <w:lang w:eastAsia="zh-CN"/>
        </w:rPr>
        <w:t>及院长室、办公室、财务室、后勤科等行政办公区域</w:t>
      </w:r>
      <w:r>
        <w:rPr>
          <w:rFonts w:hint="eastAsia" w:ascii="仿宋" w:hAnsi="仿宋" w:eastAsia="仿宋" w:cs="仿宋"/>
          <w:kern w:val="0"/>
          <w:sz w:val="32"/>
          <w:szCs w:val="32"/>
        </w:rPr>
        <w:t>。</w:t>
      </w:r>
    </w:p>
    <w:p>
      <w:pPr>
        <w:widowControl/>
        <w:spacing w:line="600" w:lineRule="exact"/>
        <w:ind w:firstLine="624" w:firstLineChars="196"/>
        <w:jc w:val="left"/>
        <w:rPr>
          <w:rFonts w:eastAsia="黑体"/>
          <w:kern w:val="0"/>
          <w:sz w:val="32"/>
          <w:szCs w:val="32"/>
        </w:rPr>
      </w:pPr>
      <w:r>
        <w:rPr>
          <w:rFonts w:eastAsia="黑体"/>
          <w:kern w:val="0"/>
          <w:sz w:val="32"/>
          <w:szCs w:val="32"/>
        </w:rPr>
        <w:t>二、部门预算单位构成</w:t>
      </w:r>
    </w:p>
    <w:p>
      <w:pPr>
        <w:widowControl/>
        <w:spacing w:line="600" w:lineRule="exact"/>
        <w:ind w:firstLine="636"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2"/>
          <w:szCs w:val="32"/>
        </w:rPr>
        <w:t>本单位没有所属二级机构，因此</w:t>
      </w:r>
      <w:commentRangeStart w:id="2"/>
      <w:r>
        <w:rPr>
          <w:rFonts w:hint="eastAsia" w:ascii="仿宋" w:hAnsi="仿宋" w:eastAsia="仿宋" w:cs="仿宋"/>
          <w:color w:val="000000"/>
          <w:kern w:val="0"/>
          <w:sz w:val="32"/>
          <w:szCs w:val="32"/>
        </w:rPr>
        <w:t>2020年度</w:t>
      </w:r>
      <w:commentRangeEnd w:id="2"/>
      <w:r>
        <w:commentReference w:id="2"/>
      </w:r>
      <w:r>
        <w:rPr>
          <w:rFonts w:hint="eastAsia" w:ascii="仿宋" w:hAnsi="仿宋" w:eastAsia="仿宋" w:cs="仿宋"/>
          <w:color w:val="000000"/>
          <w:kern w:val="0"/>
          <w:sz w:val="32"/>
          <w:szCs w:val="32"/>
        </w:rPr>
        <w:t>部门预算仅为本级部门预算。</w:t>
      </w:r>
    </w:p>
    <w:p>
      <w:pPr>
        <w:widowControl/>
        <w:spacing w:line="600" w:lineRule="exact"/>
        <w:ind w:firstLine="624" w:firstLineChars="196"/>
        <w:jc w:val="left"/>
        <w:rPr>
          <w:rFonts w:eastAsia="黑体"/>
          <w:bCs/>
          <w:kern w:val="0"/>
          <w:sz w:val="32"/>
          <w:szCs w:val="32"/>
        </w:rPr>
      </w:pPr>
      <w:r>
        <w:rPr>
          <w:rFonts w:eastAsia="黑体"/>
          <w:bCs/>
          <w:kern w:val="0"/>
          <w:sz w:val="32"/>
          <w:szCs w:val="32"/>
        </w:rPr>
        <w:t>三、部门收支总体情况</w:t>
      </w:r>
    </w:p>
    <w:p>
      <w:pPr>
        <w:widowControl/>
        <w:spacing w:line="600" w:lineRule="exact"/>
        <w:ind w:firstLine="624" w:firstLineChars="196"/>
        <w:rPr>
          <w:rFonts w:hint="eastAsia" w:eastAsia="楷体_GB2312"/>
          <w:b/>
          <w:sz w:val="32"/>
          <w:szCs w:val="32"/>
        </w:rPr>
      </w:pPr>
      <w:commentRangeStart w:id="3"/>
      <w:r>
        <w:rPr>
          <w:rFonts w:hint="eastAsia" w:ascii="仿宋" w:hAnsi="仿宋" w:eastAsia="仿宋" w:cs="仿宋"/>
          <w:b w:val="0"/>
          <w:bCs/>
          <w:sz w:val="32"/>
          <w:szCs w:val="32"/>
        </w:rPr>
        <w:t>本单位</w:t>
      </w:r>
      <w:r>
        <w:rPr>
          <w:rFonts w:hint="eastAsia" w:ascii="仿宋" w:hAnsi="仿宋" w:eastAsia="仿宋" w:cs="仿宋"/>
          <w:b w:val="0"/>
          <w:bCs/>
          <w:sz w:val="32"/>
          <w:szCs w:val="32"/>
          <w:lang w:eastAsia="zh-CN"/>
        </w:rPr>
        <w:t>本年度</w:t>
      </w:r>
      <w:r>
        <w:rPr>
          <w:rFonts w:hint="eastAsia" w:ascii="仿宋" w:hAnsi="仿宋" w:eastAsia="仿宋" w:cs="仿宋"/>
          <w:b w:val="0"/>
          <w:bCs/>
          <w:sz w:val="32"/>
          <w:szCs w:val="32"/>
        </w:rPr>
        <w:t>没有政府性基金预算拨款和纳入专户管理的非税收入拨款收入，也没有使用政府性基金预算拨款和纳入专户管理的非税收入拨款安排的支出，所以公开的附件</w:t>
      </w:r>
      <w:r>
        <w:rPr>
          <w:rFonts w:hint="eastAsia" w:ascii="仿宋" w:hAnsi="仿宋" w:eastAsia="仿宋" w:cs="仿宋"/>
          <w:b w:val="0"/>
          <w:bCs/>
          <w:sz w:val="32"/>
          <w:szCs w:val="32"/>
          <w:lang w:val="en-US" w:eastAsia="zh-CN"/>
        </w:rPr>
        <w:t>15-18</w:t>
      </w:r>
      <w:r>
        <w:rPr>
          <w:rFonts w:hint="eastAsia" w:ascii="仿宋" w:hAnsi="仿宋" w:eastAsia="仿宋" w:cs="仿宋"/>
          <w:b w:val="0"/>
          <w:bCs/>
          <w:sz w:val="32"/>
          <w:szCs w:val="32"/>
        </w:rPr>
        <w:t>表均为空。收入包括</w:t>
      </w:r>
      <w:r>
        <w:rPr>
          <w:rFonts w:hint="eastAsia" w:ascii="仿宋" w:hAnsi="仿宋" w:eastAsia="仿宋" w:cs="仿宋"/>
          <w:b w:val="0"/>
          <w:bCs/>
          <w:sz w:val="32"/>
          <w:szCs w:val="32"/>
          <w:lang w:eastAsia="zh-CN"/>
        </w:rPr>
        <w:t>财政预算收入、本单位事业收入（含卫健局、血防办等补助收入）</w:t>
      </w:r>
      <w:r>
        <w:rPr>
          <w:rFonts w:hint="eastAsia" w:ascii="仿宋" w:hAnsi="仿宋" w:eastAsia="仿宋" w:cs="仿宋"/>
          <w:b w:val="0"/>
          <w:bCs/>
          <w:sz w:val="32"/>
          <w:szCs w:val="32"/>
        </w:rPr>
        <w:t>，支出包括保障单位基本运行的经费，也包括项目经费。</w:t>
      </w:r>
      <w:commentRangeEnd w:id="3"/>
      <w:r>
        <w:commentReference w:id="3"/>
      </w:r>
    </w:p>
    <w:p>
      <w:pPr>
        <w:widowControl/>
        <w:spacing w:line="600" w:lineRule="exact"/>
        <w:ind w:firstLine="624" w:firstLineChars="196"/>
        <w:rPr>
          <w:rFonts w:hint="default" w:eastAsia="仿宋_GB2312"/>
          <w:sz w:val="32"/>
          <w:szCs w:val="32"/>
          <w:lang w:val="en-US"/>
        </w:rPr>
      </w:pPr>
      <w:r>
        <w:rPr>
          <w:rFonts w:eastAsia="楷体_GB2312"/>
          <w:b/>
          <w:sz w:val="32"/>
          <w:szCs w:val="32"/>
        </w:rPr>
        <w:t>（一）收入预算：</w:t>
      </w:r>
      <w:r>
        <w:rPr>
          <w:rFonts w:hint="eastAsia" w:ascii="仿宋" w:hAnsi="仿宋" w:eastAsia="仿宋" w:cs="仿宋"/>
          <w:color w:val="000000"/>
          <w:kern w:val="0"/>
          <w:sz w:val="32"/>
          <w:szCs w:val="32"/>
          <w:lang w:eastAsia="zh-CN" w:bidi="ar"/>
        </w:rPr>
        <w:t>本年度</w:t>
      </w:r>
      <w:r>
        <w:rPr>
          <w:rFonts w:hint="eastAsia" w:ascii="仿宋" w:hAnsi="仿宋" w:eastAsia="仿宋" w:cs="仿宋"/>
          <w:color w:val="000000"/>
          <w:kern w:val="0"/>
          <w:sz w:val="32"/>
          <w:szCs w:val="32"/>
          <w:lang w:bidi="ar"/>
        </w:rPr>
        <w:t>年初预算数</w:t>
      </w:r>
      <w:r>
        <w:rPr>
          <w:rFonts w:hint="eastAsia" w:ascii="仿宋" w:hAnsi="仿宋" w:eastAsia="仿宋" w:cs="仿宋"/>
          <w:color w:val="000000"/>
          <w:kern w:val="0"/>
          <w:sz w:val="32"/>
          <w:szCs w:val="32"/>
          <w:lang w:val="en-US" w:eastAsia="zh-CN" w:bidi="ar"/>
        </w:rPr>
        <w:t>1865.8</w:t>
      </w:r>
      <w:r>
        <w:rPr>
          <w:rFonts w:hint="eastAsia" w:ascii="仿宋" w:hAnsi="仿宋" w:eastAsia="仿宋" w:cs="仿宋"/>
          <w:color w:val="000000"/>
          <w:kern w:val="0"/>
          <w:sz w:val="32"/>
          <w:szCs w:val="32"/>
          <w:lang w:bidi="ar"/>
        </w:rPr>
        <w:t>万元，其中，一般公共预算拨款</w:t>
      </w:r>
      <w:r>
        <w:rPr>
          <w:rFonts w:hint="eastAsia" w:ascii="仿宋" w:hAnsi="仿宋" w:eastAsia="仿宋" w:cs="仿宋"/>
          <w:color w:val="000000"/>
          <w:kern w:val="0"/>
          <w:sz w:val="32"/>
          <w:szCs w:val="32"/>
          <w:lang w:val="en-US" w:eastAsia="zh-CN" w:bidi="ar"/>
        </w:rPr>
        <w:t>165.8</w:t>
      </w:r>
      <w:r>
        <w:rPr>
          <w:rFonts w:hint="eastAsia" w:ascii="仿宋" w:hAnsi="仿宋" w:eastAsia="仿宋" w:cs="仿宋"/>
          <w:color w:val="000000"/>
          <w:kern w:val="0"/>
          <w:sz w:val="32"/>
          <w:szCs w:val="32"/>
          <w:lang w:bidi="ar"/>
        </w:rPr>
        <w:t>万元(</w:t>
      </w:r>
      <w:r>
        <w:rPr>
          <w:rFonts w:hint="eastAsia" w:ascii="仿宋" w:hAnsi="仿宋" w:eastAsia="仿宋" w:cs="仿宋"/>
          <w:color w:val="000000"/>
          <w:kern w:val="0"/>
          <w:sz w:val="32"/>
          <w:szCs w:val="32"/>
          <w:lang w:eastAsia="zh-CN" w:bidi="ar"/>
        </w:rPr>
        <w:t>不</w:t>
      </w:r>
      <w:r>
        <w:rPr>
          <w:rFonts w:hint="eastAsia" w:ascii="仿宋" w:hAnsi="仿宋" w:eastAsia="仿宋" w:cs="仿宋"/>
          <w:color w:val="000000"/>
          <w:kern w:val="0"/>
          <w:sz w:val="32"/>
          <w:szCs w:val="32"/>
          <w:lang w:bidi="ar"/>
        </w:rPr>
        <w:t>含纳入一般公共预算管理的非税收入)，</w:t>
      </w:r>
      <w:r>
        <w:rPr>
          <w:rFonts w:hint="eastAsia" w:ascii="仿宋" w:hAnsi="仿宋" w:eastAsia="仿宋" w:cs="仿宋"/>
          <w:color w:val="000000"/>
          <w:kern w:val="0"/>
          <w:sz w:val="32"/>
          <w:szCs w:val="32"/>
          <w:lang w:eastAsia="zh-CN" w:bidi="ar"/>
        </w:rPr>
        <w:t>不含</w:t>
      </w:r>
      <w:r>
        <w:rPr>
          <w:rFonts w:hint="eastAsia" w:ascii="仿宋" w:hAnsi="仿宋" w:eastAsia="仿宋" w:cs="仿宋"/>
          <w:color w:val="000000"/>
          <w:kern w:val="0"/>
          <w:sz w:val="32"/>
          <w:szCs w:val="32"/>
          <w:lang w:bidi="ar"/>
        </w:rPr>
        <w:t>纳入专户管理的非税收入拨款。</w:t>
      </w:r>
      <w:r>
        <w:rPr>
          <w:rFonts w:hint="eastAsia" w:ascii="仿宋" w:hAnsi="仿宋" w:eastAsia="仿宋" w:cs="仿宋"/>
          <w:color w:val="000000"/>
          <w:kern w:val="0"/>
          <w:sz w:val="32"/>
          <w:szCs w:val="32"/>
          <w:lang w:val="en-US" w:eastAsia="zh-CN" w:bidi="ar"/>
        </w:rPr>
        <w:t>2022年预算事业收入为1700，</w:t>
      </w:r>
      <w:r>
        <w:rPr>
          <w:rFonts w:hint="eastAsia" w:ascii="仿宋" w:hAnsi="仿宋" w:eastAsia="仿宋" w:cs="仿宋"/>
          <w:color w:val="000000"/>
          <w:kern w:val="0"/>
          <w:sz w:val="32"/>
          <w:szCs w:val="32"/>
          <w:lang w:bidi="ar"/>
        </w:rPr>
        <w:t>收入较</w:t>
      </w:r>
      <w:r>
        <w:rPr>
          <w:rFonts w:hint="eastAsia" w:ascii="仿宋" w:hAnsi="仿宋" w:eastAsia="仿宋" w:cs="仿宋"/>
          <w:color w:val="000000"/>
          <w:kern w:val="0"/>
          <w:sz w:val="32"/>
          <w:szCs w:val="32"/>
          <w:lang w:eastAsia="zh-CN" w:bidi="ar"/>
        </w:rPr>
        <w:t>上年减少</w:t>
      </w:r>
      <w:r>
        <w:rPr>
          <w:rFonts w:hint="eastAsia" w:ascii="仿宋" w:hAnsi="仿宋" w:eastAsia="仿宋" w:cs="仿宋"/>
          <w:color w:val="000000"/>
          <w:kern w:val="0"/>
          <w:sz w:val="32"/>
          <w:szCs w:val="32"/>
          <w:lang w:val="en-US" w:eastAsia="zh-CN" w:bidi="ar"/>
        </w:rPr>
        <w:t>242万元</w:t>
      </w:r>
      <w:r>
        <w:rPr>
          <w:rFonts w:hint="eastAsia" w:ascii="仿宋" w:hAnsi="仿宋" w:eastAsia="仿宋" w:cs="仿宋"/>
          <w:color w:val="000000"/>
          <w:kern w:val="0"/>
          <w:sz w:val="32"/>
          <w:szCs w:val="32"/>
          <w:lang w:bidi="ar"/>
        </w:rPr>
        <w:t>，主要原因是</w:t>
      </w:r>
      <w:r>
        <w:rPr>
          <w:rFonts w:hint="eastAsia" w:ascii="仿宋" w:hAnsi="仿宋" w:eastAsia="仿宋" w:cs="仿宋"/>
          <w:color w:val="000000"/>
          <w:kern w:val="0"/>
          <w:sz w:val="32"/>
          <w:szCs w:val="32"/>
          <w:lang w:val="en-US" w:eastAsia="zh-CN"/>
        </w:rPr>
        <w:t>2021年收入含核酸检测室、核酸检测等拨款，2022年此类收入将大幅减少。</w:t>
      </w:r>
    </w:p>
    <w:p>
      <w:pPr>
        <w:widowControl/>
        <w:spacing w:line="600" w:lineRule="exact"/>
        <w:ind w:firstLine="660"/>
        <w:jc w:val="left"/>
        <w:rPr>
          <w:rFonts w:hint="eastAsia" w:ascii="仿宋" w:hAnsi="仿宋" w:eastAsia="仿宋" w:cs="仿宋"/>
          <w:b w:val="0"/>
          <w:bCs/>
          <w:sz w:val="32"/>
          <w:szCs w:val="32"/>
          <w:lang w:val="en-US" w:eastAsia="zh-CN"/>
        </w:rPr>
      </w:pPr>
      <w:r>
        <w:rPr>
          <w:rFonts w:eastAsia="楷体_GB2312"/>
          <w:b/>
          <w:sz w:val="32"/>
          <w:szCs w:val="32"/>
        </w:rPr>
        <w:t>（二）支出预算：</w:t>
      </w:r>
      <w:r>
        <w:rPr>
          <w:rFonts w:hint="eastAsia" w:ascii="仿宋" w:hAnsi="仿宋" w:eastAsia="仿宋" w:cs="仿宋"/>
          <w:b w:val="0"/>
          <w:bCs/>
          <w:sz w:val="32"/>
          <w:szCs w:val="32"/>
        </w:rPr>
        <w:t>202</w:t>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年年初预算数</w:t>
      </w:r>
      <w:r>
        <w:rPr>
          <w:rFonts w:hint="eastAsia" w:ascii="仿宋" w:hAnsi="仿宋" w:eastAsia="仿宋" w:cs="仿宋"/>
          <w:b w:val="0"/>
          <w:bCs/>
          <w:sz w:val="32"/>
          <w:szCs w:val="32"/>
          <w:lang w:val="en-US" w:eastAsia="zh-CN"/>
        </w:rPr>
        <w:t>1865.8</w:t>
      </w:r>
      <w:r>
        <w:rPr>
          <w:rFonts w:hint="eastAsia" w:ascii="仿宋" w:hAnsi="仿宋" w:eastAsia="仿宋" w:cs="仿宋"/>
          <w:b w:val="0"/>
          <w:bCs/>
          <w:sz w:val="32"/>
          <w:szCs w:val="32"/>
        </w:rPr>
        <w:t>万元。支出预算总计</w:t>
      </w:r>
      <w:r>
        <w:rPr>
          <w:rFonts w:hint="eastAsia" w:ascii="仿宋" w:hAnsi="仿宋" w:eastAsia="仿宋" w:cs="仿宋"/>
          <w:b w:val="0"/>
          <w:bCs/>
          <w:sz w:val="32"/>
          <w:szCs w:val="32"/>
          <w:lang w:val="en-US" w:eastAsia="zh-CN"/>
        </w:rPr>
        <w:t>1865.8</w:t>
      </w:r>
      <w:r>
        <w:rPr>
          <w:rFonts w:hint="eastAsia" w:ascii="仿宋" w:hAnsi="仿宋" w:eastAsia="仿宋" w:cs="仿宋"/>
          <w:b w:val="0"/>
          <w:bCs/>
          <w:sz w:val="32"/>
          <w:szCs w:val="32"/>
        </w:rPr>
        <w:t>万元，一般支出总计</w:t>
      </w:r>
      <w:r>
        <w:rPr>
          <w:rFonts w:hint="eastAsia" w:ascii="仿宋" w:hAnsi="仿宋" w:eastAsia="仿宋" w:cs="仿宋"/>
          <w:b w:val="0"/>
          <w:bCs/>
          <w:sz w:val="32"/>
          <w:szCs w:val="32"/>
          <w:lang w:val="en-US" w:eastAsia="zh-CN"/>
        </w:rPr>
        <w:t>1700</w:t>
      </w:r>
      <w:r>
        <w:rPr>
          <w:rFonts w:hint="eastAsia" w:ascii="仿宋" w:hAnsi="仿宋" w:eastAsia="仿宋" w:cs="仿宋"/>
          <w:b w:val="0"/>
          <w:bCs/>
          <w:sz w:val="32"/>
          <w:szCs w:val="32"/>
        </w:rPr>
        <w:t>万元，其中工资及福利支出</w:t>
      </w:r>
      <w:r>
        <w:rPr>
          <w:rFonts w:hint="eastAsia" w:ascii="仿宋" w:hAnsi="仿宋" w:eastAsia="仿宋" w:cs="仿宋"/>
          <w:b w:val="0"/>
          <w:bCs/>
          <w:sz w:val="32"/>
          <w:szCs w:val="32"/>
          <w:lang w:val="en-US" w:eastAsia="zh-CN"/>
        </w:rPr>
        <w:t>855</w:t>
      </w:r>
      <w:r>
        <w:rPr>
          <w:rFonts w:hint="eastAsia" w:ascii="仿宋" w:hAnsi="仿宋" w:eastAsia="仿宋" w:cs="仿宋"/>
          <w:b w:val="0"/>
          <w:bCs/>
          <w:sz w:val="32"/>
          <w:szCs w:val="32"/>
        </w:rPr>
        <w:t>万元，一般商品和服务支出</w:t>
      </w:r>
      <w:r>
        <w:rPr>
          <w:rFonts w:hint="eastAsia" w:ascii="仿宋" w:hAnsi="仿宋" w:eastAsia="仿宋" w:cs="仿宋"/>
          <w:b w:val="0"/>
          <w:bCs/>
          <w:sz w:val="32"/>
          <w:szCs w:val="32"/>
          <w:lang w:val="en-US" w:eastAsia="zh-CN"/>
        </w:rPr>
        <w:t>820</w:t>
      </w:r>
      <w:r>
        <w:rPr>
          <w:rFonts w:hint="eastAsia" w:ascii="仿宋" w:hAnsi="仿宋" w:eastAsia="仿宋" w:cs="仿宋"/>
          <w:b w:val="0"/>
          <w:bCs/>
          <w:sz w:val="32"/>
          <w:szCs w:val="32"/>
        </w:rPr>
        <w:t>万元，对个人和家庭补助</w:t>
      </w:r>
      <w:r>
        <w:rPr>
          <w:rFonts w:hint="eastAsia" w:ascii="仿宋" w:hAnsi="仿宋" w:eastAsia="仿宋" w:cs="仿宋"/>
          <w:b w:val="0"/>
          <w:bCs/>
          <w:sz w:val="32"/>
          <w:szCs w:val="32"/>
          <w:lang w:val="en-US" w:eastAsia="zh-CN"/>
        </w:rPr>
        <w:t>25</w:t>
      </w:r>
      <w:r>
        <w:rPr>
          <w:rFonts w:hint="eastAsia" w:ascii="仿宋" w:hAnsi="仿宋" w:eastAsia="仿宋" w:cs="仿宋"/>
          <w:b w:val="0"/>
          <w:bCs/>
          <w:sz w:val="32"/>
          <w:szCs w:val="32"/>
        </w:rPr>
        <w:t>万元。财政拨款支出总计</w:t>
      </w:r>
      <w:r>
        <w:rPr>
          <w:rFonts w:hint="eastAsia" w:ascii="仿宋" w:hAnsi="仿宋" w:eastAsia="仿宋" w:cs="仿宋"/>
          <w:b w:val="0"/>
          <w:bCs/>
          <w:sz w:val="32"/>
          <w:szCs w:val="32"/>
          <w:lang w:val="en-US" w:eastAsia="zh-CN"/>
        </w:rPr>
        <w:t>165.8</w:t>
      </w:r>
      <w:r>
        <w:rPr>
          <w:rFonts w:hint="eastAsia" w:ascii="仿宋" w:hAnsi="仿宋" w:eastAsia="仿宋" w:cs="仿宋"/>
          <w:b w:val="0"/>
          <w:bCs/>
          <w:sz w:val="32"/>
          <w:szCs w:val="32"/>
        </w:rPr>
        <w:t>万元，工资福利支出</w:t>
      </w:r>
      <w:r>
        <w:rPr>
          <w:rFonts w:hint="eastAsia" w:ascii="仿宋" w:hAnsi="仿宋" w:eastAsia="仿宋" w:cs="仿宋"/>
          <w:b w:val="0"/>
          <w:bCs/>
          <w:sz w:val="32"/>
          <w:szCs w:val="32"/>
          <w:lang w:val="en-US" w:eastAsia="zh-CN"/>
        </w:rPr>
        <w:t>145.8</w:t>
      </w:r>
      <w:r>
        <w:rPr>
          <w:rFonts w:hint="eastAsia" w:ascii="仿宋" w:hAnsi="仿宋" w:eastAsia="仿宋" w:cs="仿宋"/>
          <w:b w:val="0"/>
          <w:bCs/>
          <w:sz w:val="32"/>
          <w:szCs w:val="32"/>
        </w:rPr>
        <w:t>万元，商品和服务支出20万元</w:t>
      </w:r>
      <w:r>
        <w:rPr>
          <w:rFonts w:hint="eastAsia" w:ascii="仿宋" w:hAnsi="仿宋" w:eastAsia="仿宋" w:cs="仿宋"/>
          <w:b w:val="0"/>
          <w:bCs/>
          <w:sz w:val="32"/>
          <w:szCs w:val="32"/>
          <w:lang w:eastAsia="zh-CN"/>
        </w:rPr>
        <w:t>。另有基本建设支出（资本性支出）</w:t>
      </w:r>
      <w:r>
        <w:rPr>
          <w:rFonts w:hint="eastAsia" w:ascii="仿宋" w:hAnsi="仿宋" w:eastAsia="仿宋" w:cs="仿宋"/>
          <w:b w:val="0"/>
          <w:bCs/>
          <w:sz w:val="32"/>
          <w:szCs w:val="32"/>
          <w:lang w:val="en-US" w:eastAsia="zh-CN"/>
        </w:rPr>
        <w:t>17万元。</w:t>
      </w:r>
    </w:p>
    <w:p>
      <w:pPr>
        <w:widowControl/>
        <w:spacing w:line="600" w:lineRule="exact"/>
        <w:ind w:firstLine="660"/>
        <w:jc w:val="left"/>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eastAsia="zh-CN"/>
        </w:rPr>
        <w:t>支出较上年增加</w:t>
      </w:r>
      <w:r>
        <w:rPr>
          <w:rFonts w:hint="eastAsia" w:ascii="仿宋" w:hAnsi="仿宋" w:eastAsia="仿宋" w:cs="仿宋"/>
          <w:b w:val="0"/>
          <w:bCs/>
          <w:sz w:val="32"/>
          <w:szCs w:val="32"/>
          <w:lang w:val="en-US" w:eastAsia="zh-CN"/>
        </w:rPr>
        <w:t>73.8万元，主要原因是</w:t>
      </w:r>
      <w:r>
        <w:rPr>
          <w:rFonts w:hint="eastAsia" w:ascii="仿宋" w:hAnsi="仿宋" w:eastAsia="仿宋" w:cs="仿宋"/>
          <w:b w:val="0"/>
          <w:bCs/>
          <w:sz w:val="32"/>
          <w:szCs w:val="32"/>
          <w:lang w:eastAsia="zh-CN"/>
        </w:rPr>
        <w:t>医院在职人员工资提标及社会保险缴费较上年增加</w:t>
      </w:r>
      <w:r>
        <w:rPr>
          <w:rFonts w:hint="eastAsia" w:ascii="仿宋" w:hAnsi="仿宋" w:eastAsia="仿宋" w:cs="仿宋"/>
          <w:b w:val="0"/>
          <w:bCs/>
          <w:sz w:val="32"/>
          <w:szCs w:val="32"/>
          <w:lang w:val="en-US" w:eastAsia="zh-CN"/>
        </w:rPr>
        <w:t>，业务成本，尤其是药品耗材的成本增加，另外因为医院基建、设备老旧，更新维护开支、资产购买开支也会继续增加……</w:t>
      </w:r>
    </w:p>
    <w:p>
      <w:pPr>
        <w:widowControl/>
        <w:spacing w:line="600" w:lineRule="exact"/>
        <w:ind w:firstLine="660"/>
        <w:jc w:val="left"/>
        <w:rPr>
          <w:rFonts w:eastAsia="黑体"/>
          <w:sz w:val="32"/>
          <w:szCs w:val="32"/>
        </w:rPr>
      </w:pPr>
      <w:r>
        <w:rPr>
          <w:rFonts w:eastAsia="黑体"/>
          <w:sz w:val="32"/>
          <w:szCs w:val="32"/>
        </w:rPr>
        <w:t>四、一般公共预算拨款支出</w:t>
      </w:r>
    </w:p>
    <w:p>
      <w:pPr>
        <w:widowControl/>
        <w:spacing w:line="600" w:lineRule="exact"/>
        <w:ind w:firstLine="636"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2022年岳阳县第三人民医院（岳阳县血防医院）</w:t>
      </w:r>
      <w:r>
        <w:rPr>
          <w:rFonts w:hint="eastAsia" w:ascii="仿宋" w:hAnsi="仿宋" w:eastAsia="仿宋" w:cs="仿宋"/>
          <w:color w:val="000000"/>
          <w:kern w:val="0"/>
          <w:sz w:val="32"/>
          <w:szCs w:val="32"/>
        </w:rPr>
        <w:t>一般公共预算拨款</w:t>
      </w:r>
      <w:r>
        <w:rPr>
          <w:rFonts w:hint="eastAsia" w:ascii="仿宋" w:hAnsi="仿宋" w:eastAsia="仿宋" w:cs="仿宋"/>
          <w:color w:val="000000"/>
          <w:kern w:val="0"/>
          <w:sz w:val="32"/>
          <w:szCs w:val="32"/>
          <w:lang w:val="en-US" w:eastAsia="zh-Hans"/>
        </w:rPr>
        <w:t>支出</w:t>
      </w:r>
      <w:r>
        <w:rPr>
          <w:rFonts w:hint="eastAsia" w:ascii="仿宋" w:hAnsi="仿宋" w:eastAsia="仿宋" w:cs="仿宋"/>
          <w:color w:val="000000"/>
          <w:kern w:val="0"/>
          <w:sz w:val="32"/>
          <w:szCs w:val="32"/>
          <w:lang w:val="en-US" w:eastAsia="zh-CN"/>
        </w:rPr>
        <w:t>165.8</w:t>
      </w:r>
      <w:r>
        <w:rPr>
          <w:rFonts w:hint="eastAsia" w:ascii="仿宋" w:hAnsi="仿宋" w:eastAsia="仿宋" w:cs="仿宋"/>
          <w:color w:val="000000"/>
          <w:kern w:val="0"/>
          <w:sz w:val="32"/>
          <w:szCs w:val="32"/>
        </w:rPr>
        <w:t>万元，具体安排情况如下：</w:t>
      </w:r>
    </w:p>
    <w:p>
      <w:pPr>
        <w:widowControl/>
        <w:numPr>
          <w:ilvl w:val="0"/>
          <w:numId w:val="6"/>
        </w:numPr>
        <w:spacing w:line="600" w:lineRule="exact"/>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基本支出</w:t>
      </w:r>
    </w:p>
    <w:p>
      <w:pPr>
        <w:widowControl/>
        <w:spacing w:line="600" w:lineRule="exact"/>
        <w:ind w:firstLine="636" w:firstLineChars="200"/>
        <w:rPr>
          <w:rFonts w:hint="eastAsia" w:ascii="仿宋" w:hAnsi="仿宋" w:eastAsia="仿宋" w:cs="仿宋"/>
          <w:color w:val="000000"/>
          <w:kern w:val="0"/>
          <w:sz w:val="32"/>
          <w:szCs w:val="32"/>
          <w:highlight w:val="none"/>
          <w:lang w:eastAsia="zh-CN"/>
        </w:rPr>
      </w:pPr>
      <w:r>
        <w:rPr>
          <w:rFonts w:hint="eastAsia" w:ascii="仿宋" w:hAnsi="仿宋" w:eastAsia="仿宋" w:cs="仿宋"/>
          <w:color w:val="000000"/>
          <w:kern w:val="0"/>
          <w:sz w:val="32"/>
          <w:szCs w:val="32"/>
          <w:highlight w:val="none"/>
          <w:lang w:eastAsia="zh-CN" w:bidi="ar"/>
        </w:rPr>
        <w:t>本年度</w:t>
      </w:r>
      <w:r>
        <w:rPr>
          <w:rFonts w:hint="eastAsia" w:ascii="仿宋" w:hAnsi="仿宋" w:eastAsia="仿宋" w:cs="仿宋"/>
          <w:color w:val="000000"/>
          <w:kern w:val="0"/>
          <w:sz w:val="32"/>
          <w:szCs w:val="32"/>
          <w:highlight w:val="none"/>
        </w:rPr>
        <w:t>年初预算数为</w:t>
      </w:r>
      <w:r>
        <w:rPr>
          <w:rFonts w:hint="eastAsia" w:ascii="仿宋" w:hAnsi="仿宋" w:eastAsia="仿宋" w:cs="仿宋"/>
          <w:color w:val="000000"/>
          <w:kern w:val="0"/>
          <w:sz w:val="32"/>
          <w:szCs w:val="32"/>
          <w:highlight w:val="none"/>
          <w:lang w:val="en-US" w:eastAsia="zh-CN"/>
        </w:rPr>
        <w:t>0</w:t>
      </w:r>
      <w:r>
        <w:rPr>
          <w:rFonts w:hint="eastAsia" w:ascii="仿宋" w:hAnsi="仿宋" w:eastAsia="仿宋" w:cs="仿宋"/>
          <w:color w:val="000000"/>
          <w:kern w:val="0"/>
          <w:sz w:val="32"/>
          <w:szCs w:val="32"/>
          <w:highlight w:val="none"/>
        </w:rPr>
        <w:t>万元，是指为保障单位机构正常运转、完成日常工作任务而发生的各项支出，包括用于基本工资、津贴补贴等人员经费以及办公费、印刷费、水电费、办公设备购置等日常公用经费</w:t>
      </w:r>
      <w:r>
        <w:rPr>
          <w:rFonts w:hint="eastAsia" w:ascii="仿宋" w:hAnsi="仿宋" w:eastAsia="仿宋" w:cs="仿宋"/>
          <w:color w:val="000000"/>
          <w:kern w:val="0"/>
          <w:sz w:val="32"/>
          <w:szCs w:val="32"/>
          <w:highlight w:val="none"/>
          <w:lang w:eastAsia="zh-CN"/>
        </w:rPr>
        <w:t>。</w:t>
      </w:r>
    </w:p>
    <w:p>
      <w:pPr>
        <w:widowControl/>
        <w:numPr>
          <w:ilvl w:val="0"/>
          <w:numId w:val="6"/>
        </w:numPr>
        <w:spacing w:line="600" w:lineRule="exact"/>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项目支出</w:t>
      </w:r>
    </w:p>
    <w:p>
      <w:pPr>
        <w:widowControl/>
        <w:spacing w:line="600" w:lineRule="exact"/>
        <w:ind w:firstLine="636" w:firstLineChars="200"/>
        <w:rPr>
          <w:rFonts w:hint="eastAsia" w:ascii="仿宋" w:hAnsi="仿宋" w:eastAsia="仿宋" w:cs="仿宋"/>
          <w:color w:val="000000"/>
          <w:kern w:val="0"/>
          <w:sz w:val="32"/>
          <w:szCs w:val="32"/>
          <w:highlight w:val="none"/>
          <w:lang w:eastAsia="zh-CN"/>
        </w:rPr>
      </w:pPr>
      <w:r>
        <w:rPr>
          <w:rFonts w:hint="eastAsia" w:ascii="仿宋" w:hAnsi="仿宋" w:eastAsia="仿宋" w:cs="仿宋"/>
          <w:color w:val="000000"/>
          <w:kern w:val="0"/>
          <w:sz w:val="32"/>
          <w:szCs w:val="32"/>
          <w:highlight w:val="none"/>
          <w:lang w:eastAsia="zh-CN" w:bidi="ar"/>
        </w:rPr>
        <w:t>本年度</w:t>
      </w:r>
      <w:r>
        <w:rPr>
          <w:rFonts w:hint="eastAsia" w:ascii="仿宋" w:hAnsi="仿宋" w:eastAsia="仿宋" w:cs="仿宋"/>
          <w:color w:val="000000"/>
          <w:kern w:val="0"/>
          <w:sz w:val="32"/>
          <w:szCs w:val="32"/>
          <w:highlight w:val="none"/>
        </w:rPr>
        <w:t>年初预算数为</w:t>
      </w:r>
      <w:r>
        <w:rPr>
          <w:rFonts w:hint="eastAsia" w:ascii="仿宋" w:hAnsi="仿宋" w:eastAsia="仿宋" w:cs="仿宋"/>
          <w:color w:val="000000"/>
          <w:kern w:val="0"/>
          <w:sz w:val="32"/>
          <w:szCs w:val="32"/>
          <w:highlight w:val="none"/>
          <w:lang w:val="en-US" w:eastAsia="zh-CN"/>
        </w:rPr>
        <w:t>165.8</w:t>
      </w:r>
      <w:r>
        <w:rPr>
          <w:rFonts w:hint="eastAsia" w:ascii="仿宋" w:hAnsi="仿宋" w:eastAsia="仿宋" w:cs="仿宋"/>
          <w:color w:val="000000"/>
          <w:kern w:val="0"/>
          <w:sz w:val="32"/>
          <w:szCs w:val="32"/>
          <w:highlight w:val="none"/>
        </w:rPr>
        <w:t>万元，是指单位为完成特定行政工作任务或事业发展目标而发生的支出</w:t>
      </w:r>
      <w:r>
        <w:rPr>
          <w:rFonts w:hint="eastAsia" w:ascii="仿宋" w:hAnsi="仿宋" w:eastAsia="仿宋" w:cs="仿宋"/>
          <w:color w:val="000000"/>
          <w:kern w:val="0"/>
          <w:sz w:val="32"/>
          <w:szCs w:val="32"/>
          <w:highlight w:val="none"/>
          <w:lang w:eastAsia="zh-CN"/>
        </w:rPr>
        <w:t>，本医院主要用于</w:t>
      </w:r>
      <w:r>
        <w:rPr>
          <w:rFonts w:hint="eastAsia" w:ascii="仿宋" w:hAnsi="仿宋" w:eastAsia="仿宋" w:cs="仿宋"/>
          <w:color w:val="000000"/>
          <w:kern w:val="0"/>
          <w:sz w:val="32"/>
          <w:szCs w:val="32"/>
          <w:highlight w:val="none"/>
          <w:lang w:val="en-US" w:eastAsia="zh-CN"/>
        </w:rPr>
        <w:t>定额补助110.5万元，社会保障缴费35.26万元以及</w:t>
      </w:r>
      <w:r>
        <w:rPr>
          <w:rFonts w:hint="eastAsia" w:ascii="仿宋" w:hAnsi="仿宋" w:eastAsia="仿宋" w:cs="仿宋"/>
          <w:color w:val="000000"/>
          <w:kern w:val="0"/>
          <w:sz w:val="32"/>
          <w:szCs w:val="32"/>
          <w:highlight w:val="none"/>
          <w:lang w:eastAsia="zh-CN"/>
        </w:rPr>
        <w:t>驻看守所医疗点的人员经费及公用经费支出</w:t>
      </w:r>
      <w:r>
        <w:rPr>
          <w:rFonts w:hint="eastAsia" w:ascii="仿宋" w:hAnsi="仿宋" w:eastAsia="仿宋" w:cs="仿宋"/>
          <w:color w:val="000000"/>
          <w:kern w:val="0"/>
          <w:sz w:val="32"/>
          <w:szCs w:val="32"/>
          <w:highlight w:val="none"/>
          <w:lang w:val="en-US" w:eastAsia="zh-CN"/>
        </w:rPr>
        <w:t>20万元</w:t>
      </w:r>
      <w:r>
        <w:rPr>
          <w:rFonts w:hint="eastAsia" w:ascii="仿宋" w:hAnsi="仿宋" w:eastAsia="仿宋" w:cs="仿宋"/>
          <w:color w:val="000000"/>
          <w:kern w:val="0"/>
          <w:sz w:val="32"/>
          <w:szCs w:val="32"/>
          <w:highlight w:val="none"/>
          <w:lang w:eastAsia="zh-CN"/>
        </w:rPr>
        <w:t>。</w:t>
      </w:r>
    </w:p>
    <w:p>
      <w:pPr>
        <w:widowControl/>
        <w:spacing w:line="600" w:lineRule="exact"/>
        <w:ind w:firstLine="660"/>
        <w:jc w:val="left"/>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政府性基金预算支出</w:t>
      </w:r>
    </w:p>
    <w:p>
      <w:pPr>
        <w:widowControl/>
        <w:spacing w:line="600" w:lineRule="exact"/>
        <w:ind w:firstLine="660"/>
        <w:jc w:val="left"/>
        <w:rPr>
          <w:rFonts w:eastAsia="仿宋_GB2312"/>
          <w:sz w:val="32"/>
          <w:szCs w:val="32"/>
        </w:rPr>
      </w:pPr>
      <w:commentRangeStart w:id="4"/>
      <w:r>
        <w:rPr>
          <w:rFonts w:hint="eastAsia" w:eastAsia="仿宋_GB2312"/>
          <w:sz w:val="32"/>
          <w:szCs w:val="32"/>
        </w:rPr>
        <w:t>本年度本部门无政府性基金安排的支出。</w:t>
      </w:r>
      <w:commentRangeEnd w:id="4"/>
      <w:r>
        <w:commentReference w:id="4"/>
      </w:r>
    </w:p>
    <w:p>
      <w:pPr>
        <w:widowControl/>
        <w:spacing w:line="600" w:lineRule="exact"/>
        <w:ind w:firstLine="660"/>
        <w:jc w:val="left"/>
        <w:rPr>
          <w:rFonts w:eastAsia="黑体"/>
          <w:sz w:val="32"/>
          <w:szCs w:val="32"/>
        </w:rPr>
      </w:pPr>
      <w:r>
        <w:rPr>
          <w:rFonts w:eastAsia="黑体"/>
          <w:sz w:val="32"/>
          <w:szCs w:val="32"/>
        </w:rPr>
        <w:t>六、其他重要事项的情况说明</w:t>
      </w:r>
    </w:p>
    <w:p>
      <w:pPr>
        <w:widowControl/>
        <w:spacing w:line="600" w:lineRule="exact"/>
        <w:ind w:firstLine="660"/>
        <w:jc w:val="left"/>
        <w:rPr>
          <w:rFonts w:hint="default" w:eastAsia="仿宋_GB2312"/>
          <w:sz w:val="32"/>
          <w:szCs w:val="32"/>
          <w:highlight w:val="none"/>
          <w:lang w:eastAsia="zh-CN"/>
        </w:rPr>
      </w:pPr>
      <w:r>
        <w:rPr>
          <w:rFonts w:eastAsia="楷体_GB2312"/>
          <w:b/>
          <w:sz w:val="32"/>
          <w:szCs w:val="32"/>
        </w:rPr>
        <w:t>（一）</w:t>
      </w:r>
      <w:r>
        <w:rPr>
          <w:rFonts w:eastAsia="楷体_GB2312"/>
          <w:b/>
          <w:sz w:val="32"/>
          <w:szCs w:val="32"/>
          <w:highlight w:val="none"/>
        </w:rPr>
        <w:t>机关运行经费：</w:t>
      </w:r>
      <w:r>
        <w:rPr>
          <w:rFonts w:hint="default" w:eastAsia="仿宋_GB2312"/>
          <w:sz w:val="32"/>
          <w:szCs w:val="32"/>
          <w:highlight w:val="none"/>
          <w:lang w:eastAsia="zh-Hans"/>
        </w:rPr>
        <w:t>2022年本部门</w:t>
      </w:r>
      <w:r>
        <w:rPr>
          <w:rFonts w:hint="eastAsia" w:eastAsia="仿宋_GB2312"/>
          <w:sz w:val="32"/>
          <w:szCs w:val="32"/>
          <w:highlight w:val="none"/>
          <w:lang w:val="en-US" w:eastAsia="zh-Hans"/>
        </w:rPr>
        <w:t>无</w:t>
      </w:r>
      <w:r>
        <w:rPr>
          <w:rFonts w:hint="default" w:eastAsia="仿宋_GB2312"/>
          <w:sz w:val="32"/>
          <w:szCs w:val="32"/>
          <w:highlight w:val="none"/>
          <w:lang w:eastAsia="zh-Hans"/>
        </w:rPr>
        <w:t>机关运行经费。</w:t>
      </w:r>
    </w:p>
    <w:p>
      <w:pPr>
        <w:widowControl/>
        <w:spacing w:line="600" w:lineRule="exact"/>
        <w:ind w:firstLine="660"/>
        <w:jc w:val="left"/>
        <w:rPr>
          <w:rFonts w:eastAsia="楷体_GB2312"/>
          <w:b/>
          <w:sz w:val="32"/>
          <w:szCs w:val="32"/>
          <w:highlight w:val="none"/>
        </w:rPr>
      </w:pPr>
      <w:r>
        <w:rPr>
          <w:rFonts w:eastAsia="楷体_GB2312"/>
          <w:b/>
          <w:sz w:val="32"/>
          <w:szCs w:val="32"/>
          <w:highlight w:val="none"/>
        </w:rPr>
        <w:t>（二）“三公”经费预算：</w:t>
      </w:r>
    </w:p>
    <w:p>
      <w:pPr>
        <w:widowControl/>
        <w:spacing w:line="600" w:lineRule="exact"/>
        <w:ind w:firstLine="660"/>
        <w:jc w:val="left"/>
        <w:rPr>
          <w:rFonts w:hint="eastAsia" w:eastAsia="仿宋_GB2312"/>
          <w:sz w:val="32"/>
          <w:szCs w:val="32"/>
          <w:highlight w:val="none"/>
          <w:lang w:eastAsia="zh-CN"/>
        </w:rPr>
      </w:pPr>
      <w:commentRangeStart w:id="5"/>
      <w:r>
        <w:rPr>
          <w:rFonts w:hint="eastAsia" w:eastAsia="仿宋_GB2312"/>
          <w:sz w:val="32"/>
          <w:szCs w:val="32"/>
          <w:highlight w:val="none"/>
          <w:lang w:eastAsia="zh-CN"/>
        </w:rPr>
        <w:t>无，本年度一般公共预算支出主要用于人员定额补助及看守所项目定额支出，“</w:t>
      </w:r>
      <w:bookmarkStart w:id="0" w:name="_GoBack"/>
      <w:bookmarkEnd w:id="0"/>
      <w:r>
        <w:rPr>
          <w:rFonts w:hint="eastAsia" w:eastAsia="仿宋_GB2312"/>
          <w:sz w:val="32"/>
          <w:szCs w:val="32"/>
          <w:highlight w:val="none"/>
          <w:lang w:eastAsia="zh-CN"/>
        </w:rPr>
        <w:t>三公”经费无一般公共预算支出。</w:t>
      </w:r>
      <w:commentRangeEnd w:id="5"/>
      <w:r>
        <w:commentReference w:id="5"/>
      </w:r>
    </w:p>
    <w:p>
      <w:pPr>
        <w:widowControl/>
        <w:spacing w:line="600" w:lineRule="exact"/>
        <w:ind w:firstLine="660"/>
        <w:jc w:val="left"/>
        <w:rPr>
          <w:rFonts w:eastAsia="仿宋_GB2312"/>
          <w:kern w:val="0"/>
          <w:sz w:val="32"/>
          <w:szCs w:val="32"/>
          <w:highlight w:val="none"/>
        </w:rPr>
      </w:pPr>
      <w:r>
        <w:rPr>
          <w:rFonts w:eastAsia="楷体_GB2312"/>
          <w:b/>
          <w:sz w:val="32"/>
          <w:szCs w:val="32"/>
          <w:highlight w:val="none"/>
        </w:rPr>
        <w:t>（三）一般性支出情况：</w:t>
      </w:r>
      <w:r>
        <w:rPr>
          <w:rFonts w:hint="default" w:eastAsia="仿宋_GB2312"/>
          <w:kern w:val="0"/>
          <w:sz w:val="32"/>
          <w:szCs w:val="32"/>
          <w:highlight w:val="none"/>
          <w:lang w:eastAsia="zh-CN"/>
        </w:rPr>
        <w:t>2022</w:t>
      </w:r>
      <w:r>
        <w:rPr>
          <w:rFonts w:hint="eastAsia" w:eastAsia="仿宋_GB2312"/>
          <w:kern w:val="0"/>
          <w:sz w:val="32"/>
          <w:szCs w:val="32"/>
          <w:highlight w:val="none"/>
        </w:rPr>
        <w:t>年本部门会议费预算</w:t>
      </w:r>
      <w:r>
        <w:rPr>
          <w:rFonts w:hint="default" w:eastAsia="仿宋_GB2312"/>
          <w:kern w:val="0"/>
          <w:sz w:val="32"/>
          <w:szCs w:val="32"/>
          <w:highlight w:val="none"/>
        </w:rPr>
        <w:t>0</w:t>
      </w:r>
      <w:r>
        <w:rPr>
          <w:rFonts w:hint="eastAsia" w:eastAsia="仿宋_GB2312"/>
          <w:kern w:val="0"/>
          <w:sz w:val="32"/>
          <w:szCs w:val="32"/>
          <w:highlight w:val="none"/>
        </w:rPr>
        <w:t>万元，拟召开</w:t>
      </w:r>
      <w:r>
        <w:rPr>
          <w:rFonts w:hint="eastAsia" w:eastAsia="仿宋_GB2312"/>
          <w:kern w:val="0"/>
          <w:sz w:val="32"/>
          <w:szCs w:val="32"/>
          <w:highlight w:val="none"/>
          <w:lang w:val="en-US" w:eastAsia="zh-CN"/>
        </w:rPr>
        <w:t>0次及以上</w:t>
      </w:r>
      <w:r>
        <w:rPr>
          <w:rFonts w:hint="eastAsia" w:eastAsia="仿宋_GB2312"/>
          <w:kern w:val="0"/>
          <w:sz w:val="32"/>
          <w:szCs w:val="32"/>
          <w:highlight w:val="none"/>
        </w:rPr>
        <w:t>会议，人数</w:t>
      </w:r>
      <w:r>
        <w:rPr>
          <w:rFonts w:hint="default" w:eastAsia="仿宋_GB2312"/>
          <w:kern w:val="0"/>
          <w:sz w:val="32"/>
          <w:szCs w:val="32"/>
          <w:highlight w:val="none"/>
          <w:lang w:eastAsia="zh-CN"/>
        </w:rPr>
        <w:t>0</w:t>
      </w:r>
      <w:r>
        <w:rPr>
          <w:rFonts w:hint="eastAsia" w:eastAsia="仿宋_GB2312"/>
          <w:kern w:val="0"/>
          <w:sz w:val="32"/>
          <w:szCs w:val="32"/>
          <w:highlight w:val="none"/>
        </w:rPr>
        <w:t>人；培训费预算</w:t>
      </w:r>
      <w:r>
        <w:rPr>
          <w:rFonts w:hint="default" w:eastAsia="仿宋_GB2312"/>
          <w:kern w:val="0"/>
          <w:sz w:val="32"/>
          <w:szCs w:val="32"/>
          <w:highlight w:val="none"/>
        </w:rPr>
        <w:t>0</w:t>
      </w:r>
      <w:r>
        <w:rPr>
          <w:rFonts w:hint="eastAsia" w:eastAsia="仿宋_GB2312"/>
          <w:kern w:val="0"/>
          <w:sz w:val="32"/>
          <w:szCs w:val="32"/>
          <w:highlight w:val="none"/>
        </w:rPr>
        <w:t>万元，</w:t>
      </w:r>
      <w:r>
        <w:rPr>
          <w:rFonts w:hint="eastAsia" w:eastAsia="仿宋_GB2312"/>
          <w:kern w:val="0"/>
          <w:sz w:val="32"/>
          <w:szCs w:val="32"/>
          <w:highlight w:val="none"/>
          <w:lang w:eastAsia="zh-CN"/>
        </w:rPr>
        <w:t>拟开展</w:t>
      </w:r>
      <w:r>
        <w:rPr>
          <w:rFonts w:hint="default" w:eastAsia="仿宋_GB2312"/>
          <w:kern w:val="0"/>
          <w:sz w:val="32"/>
          <w:szCs w:val="32"/>
          <w:highlight w:val="none"/>
          <w:lang w:eastAsia="zh-CN"/>
        </w:rPr>
        <w:t>0</w:t>
      </w:r>
      <w:r>
        <w:rPr>
          <w:rFonts w:hint="eastAsia" w:eastAsia="仿宋_GB2312"/>
          <w:kern w:val="0"/>
          <w:sz w:val="32"/>
          <w:szCs w:val="32"/>
          <w:highlight w:val="none"/>
          <w:lang w:val="en-US" w:eastAsia="zh-CN"/>
        </w:rPr>
        <w:t>次及以上</w:t>
      </w:r>
      <w:r>
        <w:rPr>
          <w:rFonts w:hint="eastAsia" w:eastAsia="仿宋_GB2312"/>
          <w:kern w:val="0"/>
          <w:sz w:val="32"/>
          <w:szCs w:val="32"/>
          <w:highlight w:val="none"/>
          <w:lang w:eastAsia="zh-CN"/>
        </w:rPr>
        <w:t>培训，人数</w:t>
      </w:r>
      <w:r>
        <w:rPr>
          <w:rFonts w:hint="eastAsia" w:eastAsia="仿宋_GB2312"/>
          <w:kern w:val="0"/>
          <w:sz w:val="32"/>
          <w:szCs w:val="32"/>
          <w:highlight w:val="none"/>
          <w:lang w:val="en-US" w:eastAsia="zh-CN"/>
        </w:rPr>
        <w:t>0</w:t>
      </w:r>
      <w:r>
        <w:rPr>
          <w:rFonts w:hint="eastAsia" w:eastAsia="仿宋_GB2312"/>
          <w:kern w:val="0"/>
          <w:sz w:val="32"/>
          <w:szCs w:val="32"/>
          <w:highlight w:val="none"/>
          <w:lang w:eastAsia="zh-CN"/>
        </w:rPr>
        <w:t>人</w:t>
      </w:r>
      <w:r>
        <w:rPr>
          <w:rFonts w:hint="eastAsia" w:eastAsia="仿宋_GB2312"/>
          <w:kern w:val="0"/>
          <w:sz w:val="32"/>
          <w:szCs w:val="32"/>
          <w:highlight w:val="none"/>
          <w:lang w:val="en-US" w:eastAsia="zh-CN"/>
        </w:rPr>
        <w:t>及以上；</w:t>
      </w:r>
      <w:r>
        <w:rPr>
          <w:rFonts w:hint="eastAsia" w:eastAsia="仿宋_GB2312"/>
          <w:kern w:val="0"/>
          <w:sz w:val="32"/>
          <w:szCs w:val="32"/>
          <w:highlight w:val="none"/>
          <w:lang w:val="en-US" w:eastAsia="zh-Hans"/>
        </w:rPr>
        <w:t>无</w:t>
      </w:r>
      <w:r>
        <w:rPr>
          <w:rFonts w:hint="eastAsia" w:eastAsia="仿宋_GB2312"/>
          <w:kern w:val="0"/>
          <w:sz w:val="32"/>
          <w:szCs w:val="32"/>
          <w:highlight w:val="none"/>
        </w:rPr>
        <w:t>节庆、晚会、论坛、赛事活动。</w:t>
      </w:r>
    </w:p>
    <w:p>
      <w:pPr>
        <w:widowControl/>
        <w:spacing w:line="600" w:lineRule="exact"/>
        <w:ind w:firstLine="660"/>
        <w:jc w:val="left"/>
        <w:rPr>
          <w:rFonts w:eastAsia="仿宋_GB2312"/>
          <w:sz w:val="32"/>
          <w:szCs w:val="32"/>
        </w:rPr>
      </w:pPr>
      <w:r>
        <w:rPr>
          <w:rFonts w:eastAsia="楷体_GB2312"/>
          <w:b/>
          <w:sz w:val="32"/>
          <w:szCs w:val="32"/>
          <w:highlight w:val="none"/>
        </w:rPr>
        <w:t>（四）政府采购情况：</w:t>
      </w:r>
      <w:r>
        <w:rPr>
          <w:rFonts w:hint="eastAsia" w:eastAsia="仿宋_GB2312"/>
          <w:sz w:val="32"/>
          <w:szCs w:val="32"/>
          <w:highlight w:val="none"/>
        </w:rPr>
        <w:t>本年度政府采购预算总额</w:t>
      </w:r>
      <w:r>
        <w:rPr>
          <w:rFonts w:hint="eastAsia" w:eastAsia="仿宋_GB2312"/>
          <w:sz w:val="32"/>
          <w:szCs w:val="32"/>
          <w:highlight w:val="none"/>
          <w:lang w:val="en-US" w:eastAsia="zh-CN"/>
        </w:rPr>
        <w:t>100</w:t>
      </w:r>
      <w:r>
        <w:rPr>
          <w:rFonts w:hint="eastAsia" w:eastAsia="仿宋_GB2312"/>
          <w:sz w:val="32"/>
          <w:szCs w:val="32"/>
          <w:highlight w:val="none"/>
        </w:rPr>
        <w:t>万元，其中货物类</w:t>
      </w:r>
      <w:r>
        <w:rPr>
          <w:rFonts w:hint="eastAsia" w:eastAsia="仿宋_GB2312"/>
          <w:sz w:val="32"/>
          <w:szCs w:val="32"/>
          <w:highlight w:val="none"/>
          <w:lang w:val="en-US" w:eastAsia="zh-CN"/>
        </w:rPr>
        <w:t>80</w:t>
      </w:r>
      <w:r>
        <w:rPr>
          <w:rFonts w:hint="eastAsia" w:eastAsia="仿宋_GB2312"/>
          <w:sz w:val="32"/>
          <w:szCs w:val="32"/>
          <w:highlight w:val="none"/>
        </w:rPr>
        <w:t xml:space="preserve"> 万元，服务类</w:t>
      </w:r>
      <w:r>
        <w:rPr>
          <w:rFonts w:hint="eastAsia" w:eastAsia="仿宋_GB2312"/>
          <w:sz w:val="32"/>
          <w:szCs w:val="32"/>
          <w:highlight w:val="none"/>
          <w:lang w:val="en-US" w:eastAsia="zh-CN"/>
        </w:rPr>
        <w:t>20</w:t>
      </w:r>
      <w:r>
        <w:rPr>
          <w:rFonts w:hint="eastAsia" w:eastAsia="仿宋_GB2312"/>
          <w:sz w:val="32"/>
          <w:szCs w:val="32"/>
          <w:highlight w:val="none"/>
        </w:rPr>
        <w:t xml:space="preserve"> 万元。</w:t>
      </w:r>
    </w:p>
    <w:p>
      <w:pPr>
        <w:widowControl/>
        <w:spacing w:line="600" w:lineRule="exact"/>
        <w:ind w:firstLine="636" w:firstLineChars="200"/>
        <w:rPr>
          <w:rFonts w:hint="eastAsia" w:ascii="仿宋" w:hAnsi="仿宋" w:eastAsia="仿宋" w:cs="仿宋"/>
          <w:color w:val="000000"/>
          <w:kern w:val="0"/>
          <w:sz w:val="32"/>
          <w:szCs w:val="32"/>
        </w:rPr>
      </w:pPr>
      <w:r>
        <w:rPr>
          <w:rFonts w:eastAsia="楷体_GB2312"/>
          <w:b/>
          <w:sz w:val="32"/>
          <w:szCs w:val="32"/>
        </w:rPr>
        <w:t>（五）国有资产占用使用及新增资产配置情况：</w:t>
      </w:r>
      <w:r>
        <w:rPr>
          <w:rFonts w:hint="eastAsia" w:ascii="仿宋" w:hAnsi="仿宋" w:eastAsia="仿宋" w:cs="仿宋"/>
          <w:color w:val="000000"/>
          <w:kern w:val="0"/>
          <w:sz w:val="32"/>
          <w:szCs w:val="32"/>
        </w:rPr>
        <w:t>截至上一年12月底，本部门共有车辆</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辆，</w:t>
      </w:r>
      <w:r>
        <w:rPr>
          <w:rFonts w:hint="eastAsia" w:ascii="仿宋" w:hAnsi="仿宋" w:eastAsia="仿宋" w:cs="仿宋"/>
          <w:color w:val="000000"/>
          <w:kern w:val="0"/>
          <w:sz w:val="32"/>
          <w:szCs w:val="32"/>
          <w:lang w:eastAsia="zh-CN"/>
        </w:rPr>
        <w:t>为救护车，用于公务出行、医疗下乡等</w:t>
      </w:r>
      <w:r>
        <w:rPr>
          <w:rFonts w:hint="eastAsia" w:ascii="仿宋" w:hAnsi="仿宋" w:eastAsia="仿宋" w:cs="仿宋"/>
          <w:color w:val="000000"/>
          <w:kern w:val="0"/>
          <w:sz w:val="32"/>
          <w:szCs w:val="32"/>
        </w:rPr>
        <w:t>。单位价值50万元以上通用设备</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台，单位价值100万元以上专用设备</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台。</w:t>
      </w:r>
      <w:r>
        <w:rPr>
          <w:rFonts w:hint="eastAsia" w:ascii="仿宋" w:hAnsi="仿宋" w:eastAsia="仿宋" w:cs="仿宋"/>
          <w:color w:val="000000"/>
          <w:kern w:val="0"/>
          <w:sz w:val="32"/>
          <w:szCs w:val="32"/>
          <w:lang w:eastAsia="zh-CN"/>
        </w:rPr>
        <w:t>无</w:t>
      </w:r>
      <w:r>
        <w:rPr>
          <w:rFonts w:hint="eastAsia" w:ascii="仿宋" w:hAnsi="仿宋" w:eastAsia="仿宋" w:cs="仿宋"/>
          <w:color w:val="000000"/>
          <w:kern w:val="0"/>
          <w:sz w:val="32"/>
          <w:szCs w:val="32"/>
        </w:rPr>
        <w:t>新增配备单位价值50万元以上通用设备</w:t>
      </w:r>
      <w:r>
        <w:rPr>
          <w:rFonts w:hint="eastAsia" w:ascii="仿宋" w:hAnsi="仿宋" w:eastAsia="仿宋" w:cs="仿宋"/>
          <w:color w:val="000000"/>
          <w:kern w:val="0"/>
          <w:sz w:val="32"/>
          <w:szCs w:val="32"/>
          <w:lang w:eastAsia="zh-CN"/>
        </w:rPr>
        <w:t>及</w:t>
      </w:r>
      <w:r>
        <w:rPr>
          <w:rFonts w:hint="eastAsia" w:ascii="仿宋" w:hAnsi="仿宋" w:eastAsia="仿宋" w:cs="仿宋"/>
          <w:color w:val="000000"/>
          <w:kern w:val="0"/>
          <w:sz w:val="32"/>
          <w:szCs w:val="32"/>
        </w:rPr>
        <w:t>单位价值100万元以上专用设备。</w:t>
      </w:r>
    </w:p>
    <w:p>
      <w:pPr>
        <w:widowControl/>
        <w:spacing w:line="600" w:lineRule="exact"/>
        <w:ind w:firstLine="660"/>
        <w:rPr>
          <w:rFonts w:hint="eastAsia" w:ascii="仿宋" w:hAnsi="仿宋" w:eastAsia="仿宋" w:cs="仿宋"/>
          <w:bCs/>
          <w:kern w:val="0"/>
          <w:sz w:val="32"/>
          <w:szCs w:val="32"/>
        </w:rPr>
      </w:pPr>
      <w:r>
        <w:rPr>
          <w:rFonts w:eastAsia="楷体_GB2312"/>
          <w:b/>
          <w:bCs/>
          <w:kern w:val="0"/>
          <w:sz w:val="32"/>
          <w:szCs w:val="32"/>
        </w:rPr>
        <w:t>（六）预算绩效目标说明：</w:t>
      </w:r>
      <w:r>
        <w:rPr>
          <w:rFonts w:hint="eastAsia" w:ascii="仿宋" w:hAnsi="仿宋" w:eastAsia="仿宋" w:cs="仿宋"/>
          <w:bCs/>
          <w:kern w:val="0"/>
          <w:sz w:val="32"/>
          <w:szCs w:val="32"/>
        </w:rPr>
        <w:t>本部门</w:t>
      </w:r>
      <w:r>
        <w:rPr>
          <w:rFonts w:hint="eastAsia" w:ascii="仿宋" w:hAnsi="仿宋" w:eastAsia="仿宋" w:cs="仿宋"/>
          <w:bCs/>
          <w:kern w:val="0"/>
          <w:sz w:val="32"/>
          <w:szCs w:val="32"/>
          <w:lang w:eastAsia="zh-CN"/>
        </w:rPr>
        <w:t>一般公用预算</w:t>
      </w:r>
      <w:r>
        <w:rPr>
          <w:rFonts w:hint="eastAsia" w:ascii="仿宋" w:hAnsi="仿宋" w:eastAsia="仿宋" w:cs="仿宋"/>
          <w:bCs/>
          <w:kern w:val="0"/>
          <w:sz w:val="32"/>
          <w:szCs w:val="32"/>
        </w:rPr>
        <w:t>支出实行绩效目标管理。纳入2022年部门整体支出绩效目标的金额为</w:t>
      </w:r>
      <w:r>
        <w:rPr>
          <w:rFonts w:hint="eastAsia" w:ascii="仿宋" w:hAnsi="仿宋" w:eastAsia="仿宋" w:cs="仿宋"/>
          <w:sz w:val="32"/>
          <w:szCs w:val="32"/>
          <w:lang w:val="en-US" w:eastAsia="zh-CN"/>
        </w:rPr>
        <w:t>165.8</w:t>
      </w:r>
      <w:r>
        <w:rPr>
          <w:rFonts w:hint="eastAsia" w:ascii="仿宋" w:hAnsi="仿宋" w:eastAsia="仿宋" w:cs="仿宋"/>
          <w:sz w:val="32"/>
          <w:szCs w:val="32"/>
        </w:rPr>
        <w:t>万元</w:t>
      </w:r>
      <w:r>
        <w:rPr>
          <w:rFonts w:hint="eastAsia" w:ascii="仿宋" w:hAnsi="仿宋" w:eastAsia="仿宋" w:cs="仿宋"/>
          <w:bCs/>
          <w:kern w:val="0"/>
          <w:sz w:val="32"/>
          <w:szCs w:val="32"/>
        </w:rPr>
        <w:t>，其中，基本支出</w:t>
      </w:r>
      <w:r>
        <w:rPr>
          <w:rFonts w:hint="eastAsia" w:ascii="仿宋" w:hAnsi="仿宋" w:eastAsia="仿宋" w:cs="仿宋"/>
          <w:sz w:val="32"/>
          <w:szCs w:val="32"/>
          <w:lang w:val="en-US" w:eastAsia="zh-CN"/>
        </w:rPr>
        <w:t>145.8</w:t>
      </w:r>
      <w:r>
        <w:rPr>
          <w:rFonts w:hint="eastAsia" w:ascii="仿宋" w:hAnsi="仿宋" w:eastAsia="仿宋" w:cs="仿宋"/>
          <w:sz w:val="32"/>
          <w:szCs w:val="32"/>
        </w:rPr>
        <w:t>万元</w:t>
      </w:r>
      <w:r>
        <w:rPr>
          <w:rFonts w:hint="eastAsia" w:ascii="仿宋" w:hAnsi="仿宋" w:eastAsia="仿宋" w:cs="仿宋"/>
          <w:bCs/>
          <w:kern w:val="0"/>
          <w:sz w:val="32"/>
          <w:szCs w:val="32"/>
        </w:rPr>
        <w:t>，项目支出</w:t>
      </w:r>
      <w:r>
        <w:rPr>
          <w:rFonts w:hint="eastAsia" w:ascii="仿宋" w:hAnsi="仿宋" w:eastAsia="仿宋" w:cs="仿宋"/>
          <w:sz w:val="32"/>
          <w:szCs w:val="32"/>
          <w:lang w:val="en-US" w:eastAsia="zh-CN"/>
        </w:rPr>
        <w:t>20</w:t>
      </w:r>
      <w:r>
        <w:rPr>
          <w:rFonts w:hint="eastAsia" w:ascii="仿宋" w:hAnsi="仿宋" w:eastAsia="仿宋" w:cs="仿宋"/>
          <w:sz w:val="32"/>
          <w:szCs w:val="32"/>
        </w:rPr>
        <w:t>万</w:t>
      </w:r>
      <w:r>
        <w:rPr>
          <w:rFonts w:hint="eastAsia" w:ascii="仿宋" w:hAnsi="仿宋" w:eastAsia="仿宋" w:cs="仿宋"/>
          <w:bCs/>
          <w:kern w:val="0"/>
          <w:sz w:val="32"/>
          <w:szCs w:val="32"/>
        </w:rPr>
        <w:t>元，具体绩效目标详见报表。</w:t>
      </w:r>
    </w:p>
    <w:p>
      <w:pPr>
        <w:widowControl/>
        <w:spacing w:line="600" w:lineRule="exact"/>
        <w:ind w:firstLine="660"/>
        <w:rPr>
          <w:rFonts w:eastAsia="黑体"/>
          <w:sz w:val="32"/>
          <w:szCs w:val="32"/>
        </w:rPr>
      </w:pPr>
      <w:r>
        <w:rPr>
          <w:rFonts w:eastAsia="黑体"/>
          <w:sz w:val="32"/>
          <w:szCs w:val="32"/>
        </w:rPr>
        <w:t>七、名词解释</w:t>
      </w: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eastAsia="仿宋_GB2312"/>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exact"/>
        <w:ind w:firstLine="636" w:firstLineChars="200"/>
        <w:jc w:val="left"/>
        <w:rPr>
          <w:rFonts w:eastAsia="仿宋_GB2312"/>
          <w:b/>
          <w:bCs/>
          <w:kern w:val="0"/>
          <w:sz w:val="32"/>
          <w:szCs w:val="32"/>
        </w:rPr>
      </w:pPr>
    </w:p>
    <w:p>
      <w:pPr>
        <w:widowControl/>
        <w:spacing w:line="600" w:lineRule="exact"/>
        <w:ind w:firstLine="636" w:firstLineChars="200"/>
        <w:jc w:val="left"/>
        <w:rPr>
          <w:rFonts w:eastAsia="仿宋_GB2312"/>
          <w:b/>
          <w:bCs/>
          <w:kern w:val="0"/>
          <w:sz w:val="32"/>
          <w:szCs w:val="32"/>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r>
        <w:rPr>
          <w:rFonts w:eastAsia="方正小标宋_GBK"/>
          <w:bCs/>
          <w:kern w:val="0"/>
          <w:sz w:val="36"/>
          <w:szCs w:val="36"/>
        </w:rPr>
        <w:t>第二部分 2022年部门预算表</w:t>
      </w:r>
    </w:p>
    <w:p>
      <w:pPr>
        <w:widowControl/>
        <w:spacing w:line="600" w:lineRule="exact"/>
        <w:ind w:firstLine="636" w:firstLineChars="200"/>
        <w:jc w:val="left"/>
        <w:rPr>
          <w:rFonts w:eastAsia="仿宋_GB2312"/>
          <w:sz w:val="32"/>
          <w:szCs w:val="32"/>
        </w:rPr>
      </w:pPr>
      <w:r>
        <w:rPr>
          <w:rFonts w:hint="eastAsia" w:eastAsia="仿宋_GB2312"/>
          <w:sz w:val="32"/>
          <w:szCs w:val="32"/>
        </w:rPr>
        <w:t xml:space="preserve">    附表： 岳阳县</w:t>
      </w:r>
      <w:r>
        <w:rPr>
          <w:rFonts w:hint="eastAsia" w:eastAsia="仿宋_GB2312"/>
          <w:sz w:val="32"/>
          <w:szCs w:val="32"/>
          <w:lang w:eastAsia="zh-CN"/>
        </w:rPr>
        <w:t>第三人民医院（岳阳县血防医院）</w:t>
      </w:r>
      <w:r>
        <w:rPr>
          <w:rFonts w:hint="eastAsia" w:eastAsia="仿宋_GB2312"/>
          <w:sz w:val="32"/>
          <w:szCs w:val="32"/>
        </w:rPr>
        <w:t>单位部门预算公开表（请在此处以附件形式上传）</w:t>
      </w:r>
    </w:p>
    <w:sectPr>
      <w:footerReference r:id="rId5" w:type="default"/>
      <w:footerReference r:id="rId6" w:type="even"/>
      <w:pgSz w:w="11907" w:h="16840"/>
      <w:pgMar w:top="1134" w:right="1797" w:bottom="1304" w:left="1797" w:header="851" w:footer="992" w:gutter="0"/>
      <w:cols w:space="720" w:num="1"/>
      <w:docGrid w:type="linesAndChars" w:linePitch="495" w:charSpace="-594"/>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lau" w:date="2023-09-13T23:11:56Z" w:initials="">
    <w:p w14:paraId="FB586685">
      <w:pPr>
        <w:pStyle w:val="3"/>
      </w:pPr>
      <w:r>
        <w:rPr>
          <w:rFonts w:hint="eastAsia"/>
          <w:lang w:val="en-US" w:eastAsia="zh-Hans"/>
        </w:rPr>
        <w:t>修改为</w:t>
      </w:r>
      <w:r>
        <w:rPr>
          <w:rFonts w:hint="default"/>
          <w:lang w:eastAsia="zh-Hans"/>
        </w:rPr>
        <w:t>：（六）预算绩效目标说明</w:t>
      </w:r>
    </w:p>
  </w:comment>
  <w:comment w:id="1" w:author="Blau" w:date="2023-09-13T17:31:00Z" w:initials="">
    <w:p w14:paraId="5BFB55DD">
      <w:pPr>
        <w:pStyle w:val="3"/>
        <w:rPr>
          <w:rFonts w:hint="default" w:eastAsia="宋体"/>
          <w:lang w:val="en-US" w:eastAsia="zh-Hans"/>
        </w:rPr>
      </w:pPr>
      <w:r>
        <w:rPr>
          <w:rFonts w:hint="eastAsia"/>
          <w:lang w:val="en-US" w:eastAsia="zh-Hans"/>
        </w:rPr>
        <w:t>增加</w:t>
      </w:r>
      <w:r>
        <w:rPr>
          <w:rFonts w:hint="default"/>
          <w:lang w:eastAsia="zh-Hans"/>
        </w:rPr>
        <w:t>8、</w:t>
      </w:r>
      <w:r>
        <w:rPr>
          <w:rFonts w:hint="eastAsia"/>
          <w:lang w:val="en-US" w:eastAsia="zh-Hans"/>
        </w:rPr>
        <w:t>一般公共预算基本支出表</w:t>
      </w:r>
    </w:p>
  </w:comment>
  <w:comment w:id="2" w:author="Blau" w:date="2023-09-13T21:24:31Z" w:initials="">
    <w:p w14:paraId="B173B332">
      <w:pPr>
        <w:pStyle w:val="3"/>
        <w:rPr>
          <w:rFonts w:hint="default" w:eastAsia="宋体"/>
          <w:lang w:val="en-US" w:eastAsia="zh-Hans"/>
        </w:rPr>
      </w:pPr>
      <w:r>
        <w:rPr>
          <w:rFonts w:hint="eastAsia"/>
          <w:lang w:val="en-US" w:eastAsia="zh-Hans"/>
        </w:rPr>
        <w:t>修改为</w:t>
      </w:r>
      <w:r>
        <w:rPr>
          <w:rFonts w:hint="default"/>
          <w:lang w:eastAsia="zh-Hans"/>
        </w:rPr>
        <w:t>2022</w:t>
      </w:r>
      <w:r>
        <w:rPr>
          <w:rFonts w:hint="eastAsia"/>
          <w:lang w:val="en-US" w:eastAsia="zh-Hans"/>
        </w:rPr>
        <w:t>年度</w:t>
      </w:r>
    </w:p>
  </w:comment>
  <w:comment w:id="3" w:author="Blau" w:date="2023-09-13T21:24:52Z" w:initials="">
    <w:p w14:paraId="F6FC46D3">
      <w:pPr>
        <w:pStyle w:val="3"/>
        <w:rPr>
          <w:rFonts w:hint="default" w:eastAsia="宋体"/>
          <w:lang w:val="en-US" w:eastAsia="zh-Hans"/>
        </w:rPr>
      </w:pPr>
      <w:r>
        <w:rPr>
          <w:rFonts w:hint="eastAsia"/>
          <w:lang w:val="en-US" w:eastAsia="zh-Hans"/>
        </w:rPr>
        <w:t>删除本段</w:t>
      </w:r>
    </w:p>
  </w:comment>
  <w:comment w:id="4" w:author="Blau" w:date="2023-09-13T23:12:13Z" w:initials="">
    <w:p w14:paraId="EF1F8024">
      <w:pPr>
        <w:pStyle w:val="3"/>
        <w:rPr>
          <w:rFonts w:hint="default"/>
          <w:lang w:eastAsia="zh-Hans"/>
        </w:rPr>
      </w:pPr>
      <w:r>
        <w:rPr>
          <w:rFonts w:hint="eastAsia"/>
          <w:lang w:val="en-US" w:eastAsia="zh-Hans"/>
        </w:rPr>
        <w:t>修改为</w:t>
      </w:r>
      <w:r>
        <w:rPr>
          <w:rFonts w:hint="default"/>
          <w:lang w:eastAsia="zh-Hans"/>
        </w:rPr>
        <w:t>：</w:t>
      </w:r>
    </w:p>
    <w:p w14:paraId="3DEDCE16">
      <w:pPr>
        <w:pStyle w:val="3"/>
      </w:pPr>
      <w:r>
        <w:rPr>
          <w:rFonts w:hint="default"/>
          <w:lang w:eastAsia="zh-Hans"/>
        </w:rPr>
        <w:t>2022</w:t>
      </w:r>
      <w:r>
        <w:rPr>
          <w:rFonts w:hint="eastAsia"/>
          <w:lang w:val="en-US" w:eastAsia="zh-Hans"/>
        </w:rPr>
        <w:t>年本部门政府性基金支出预算</w:t>
      </w:r>
      <w:r>
        <w:rPr>
          <w:rFonts w:hint="default"/>
          <w:lang w:eastAsia="zh-Hans"/>
        </w:rPr>
        <w:t>0</w:t>
      </w:r>
      <w:r>
        <w:rPr>
          <w:rFonts w:hint="eastAsia"/>
          <w:lang w:val="en-US" w:eastAsia="zh-Hans"/>
        </w:rPr>
        <w:t>万元，其中，科学技术支出</w:t>
      </w:r>
      <w:r>
        <w:rPr>
          <w:rFonts w:hint="default"/>
          <w:lang w:eastAsia="zh-Hans"/>
        </w:rPr>
        <w:t>0</w:t>
      </w:r>
      <w:r>
        <w:rPr>
          <w:rFonts w:hint="eastAsia"/>
          <w:lang w:val="en-US" w:eastAsia="zh-Hans"/>
        </w:rPr>
        <w:t>万元，占</w:t>
      </w:r>
      <w:r>
        <w:rPr>
          <w:rFonts w:hint="default"/>
          <w:lang w:eastAsia="zh-Hans"/>
        </w:rPr>
        <w:t>0</w:t>
      </w:r>
      <w:r>
        <w:rPr>
          <w:rFonts w:hint="eastAsia"/>
          <w:lang w:val="en-US" w:eastAsia="zh-Hans"/>
        </w:rPr>
        <w:t>%；文化旅游体育与传媒支出</w:t>
      </w:r>
      <w:r>
        <w:rPr>
          <w:rFonts w:hint="default"/>
          <w:lang w:eastAsia="zh-Hans"/>
        </w:rPr>
        <w:t>0</w:t>
      </w:r>
      <w:r>
        <w:rPr>
          <w:rFonts w:hint="eastAsia"/>
          <w:lang w:val="en-US" w:eastAsia="zh-Hans"/>
        </w:rPr>
        <w:t>万元，占</w:t>
      </w:r>
      <w:r>
        <w:rPr>
          <w:rFonts w:hint="default"/>
          <w:lang w:eastAsia="zh-Hans"/>
        </w:rPr>
        <w:t>0</w:t>
      </w:r>
      <w:r>
        <w:rPr>
          <w:rFonts w:hint="eastAsia"/>
          <w:lang w:val="en-US" w:eastAsia="zh-Hans"/>
        </w:rPr>
        <w:t>%</w:t>
      </w:r>
    </w:p>
  </w:comment>
  <w:comment w:id="5" w:author="Blau" w:date="2023-09-13T21:26:17Z" w:initials="">
    <w:p w14:paraId="7EFB11D8">
      <w:pPr>
        <w:pStyle w:val="3"/>
        <w:rPr>
          <w:rFonts w:hint="default"/>
          <w:lang w:eastAsia="zh-Hans"/>
        </w:rPr>
      </w:pPr>
      <w:r>
        <w:rPr>
          <w:rFonts w:hint="eastAsia"/>
          <w:lang w:val="en-US" w:eastAsia="zh-Hans"/>
        </w:rPr>
        <w:t>增加</w:t>
      </w:r>
      <w:r>
        <w:rPr>
          <w:rFonts w:hint="default"/>
          <w:lang w:eastAsia="zh-Hans"/>
        </w:rPr>
        <w:t>：</w:t>
      </w:r>
    </w:p>
    <w:p w14:paraId="FDFDC974">
      <w:pPr>
        <w:pStyle w:val="3"/>
        <w:rPr>
          <w:rFonts w:hint="default"/>
          <w:lang w:val="en-US" w:eastAsia="zh-Hans"/>
        </w:rPr>
      </w:pPr>
      <w:r>
        <w:rPr>
          <w:rFonts w:hint="default"/>
          <w:lang w:eastAsia="zh-Hans"/>
        </w:rPr>
        <w:t>2022</w:t>
      </w:r>
      <w:r>
        <w:rPr>
          <w:rFonts w:hint="eastAsia"/>
          <w:lang w:val="en-US" w:eastAsia="zh-Hans"/>
        </w:rPr>
        <w:t>年三公经费预算较</w:t>
      </w:r>
      <w:r>
        <w:rPr>
          <w:rFonts w:hint="default"/>
          <w:lang w:eastAsia="zh-Hans"/>
        </w:rPr>
        <w:t>2021</w:t>
      </w:r>
      <w:r>
        <w:rPr>
          <w:rFonts w:hint="eastAsia"/>
          <w:lang w:val="en-US" w:eastAsia="zh-Hans"/>
        </w:rPr>
        <w:t>年减少</w:t>
      </w:r>
      <w:r>
        <w:rPr>
          <w:rFonts w:hint="default"/>
          <w:lang w:eastAsia="zh-Hans"/>
        </w:rPr>
        <w:t>（</w:t>
      </w:r>
      <w:r>
        <w:rPr>
          <w:rFonts w:hint="eastAsia"/>
          <w:lang w:val="en-US" w:eastAsia="zh-Hans"/>
        </w:rPr>
        <w:t>增加或持平</w:t>
      </w:r>
      <w:r>
        <w:rPr>
          <w:rFonts w:hint="default"/>
          <w:lang w:eastAsia="zh-Hans"/>
        </w:rPr>
        <w:t>）</w:t>
      </w:r>
      <w:r>
        <w:rPr>
          <w:rFonts w:hint="eastAsia"/>
          <w:lang w:val="en-US" w:eastAsia="zh-Hans"/>
        </w:rPr>
        <w:t>xxx万元</w:t>
      </w:r>
      <w:r>
        <w:rPr>
          <w:rFonts w:hint="default"/>
          <w:lang w:eastAsia="zh-Hans"/>
        </w:rPr>
        <w:t>，</w:t>
      </w:r>
      <w:r>
        <w:rPr>
          <w:rFonts w:hint="eastAsia"/>
          <w:lang w:val="en-US" w:eastAsia="zh-Hans"/>
        </w:rPr>
        <w:t>主要是xxxx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B586685" w15:done="0"/>
  <w15:commentEx w15:paraId="5BFB55DD" w15:done="0"/>
  <w15:commentEx w15:paraId="B173B332" w15:done="0"/>
  <w15:commentEx w15:paraId="F6FC46D3" w15:done="0"/>
  <w15:commentEx w15:paraId="3DEDCE16" w15:done="0"/>
  <w15:commentEx w15:paraId="FDFDC97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0000" w:usb1="00000000" w:usb2="00000000" w:usb3="00000000" w:csb0="00000000" w:csb1="00000000"/>
  </w:font>
  <w:font w:name="宋体">
    <w:altName w:val="汉仪书宋二KW"/>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Tahoma">
    <w:panose1 w:val="020B0604030504040204"/>
    <w:charset w:val="00"/>
    <w:family w:val="swiss"/>
    <w:pitch w:val="default"/>
    <w:sig w:usb0="00000000" w:usb1="00000000" w:usb2="00000000" w:usb3="00000000" w:csb0="00000000" w:csb1="00000000"/>
  </w:font>
  <w:font w:name="方正小标宋_GBK">
    <w:altName w:val="汉仪书宋二KW"/>
    <w:panose1 w:val="00000000000000000000"/>
    <w:charset w:val="86"/>
    <w:family w:val="script"/>
    <w:pitch w:val="default"/>
    <w:sig w:usb0="00000000" w:usb1="00000000" w:usb2="00000010" w:usb3="00000000" w:csb0="00040000" w:csb1="00000000"/>
  </w:font>
  <w:font w:name="楷体_GB2312">
    <w:altName w:val="汉仪楷体简"/>
    <w:panose1 w:val="00000000000000000000"/>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PingFang SC">
    <w:panose1 w:val="020B04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14</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378B4"/>
    <w:multiLevelType w:val="multilevel"/>
    <w:tmpl w:val="07C378B4"/>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1">
    <w:nsid w:val="1185520E"/>
    <w:multiLevelType w:val="multilevel"/>
    <w:tmpl w:val="1185520E"/>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2">
    <w:nsid w:val="28021EF8"/>
    <w:multiLevelType w:val="multilevel"/>
    <w:tmpl w:val="28021EF8"/>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3">
    <w:nsid w:val="39F23F1A"/>
    <w:multiLevelType w:val="multilevel"/>
    <w:tmpl w:val="39F23F1A"/>
    <w:lvl w:ilvl="0" w:tentative="0">
      <w:start w:val="1"/>
      <w:numFmt w:val="japaneseCounting"/>
      <w:lvlText w:val="%1、"/>
      <w:lvlJc w:val="left"/>
      <w:pPr>
        <w:ind w:left="1354" w:hanging="72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4">
    <w:nsid w:val="3EEA64BD"/>
    <w:multiLevelType w:val="multilevel"/>
    <w:tmpl w:val="3EEA64BD"/>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1B61A22"/>
    <w:multiLevelType w:val="multilevel"/>
    <w:tmpl w:val="41B61A22"/>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lau">
    <w15:presenceInfo w15:providerId="WPS Office" w15:userId="42347755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mMWFmNjVlNDBkOGQzMzVkN2I4M2MyZTJhN2E5NGIifQ=="/>
  </w:docVars>
  <w:rsids>
    <w:rsidRoot w:val="00F947F0"/>
    <w:rsid w:val="00001712"/>
    <w:rsid w:val="000153CF"/>
    <w:rsid w:val="000460C6"/>
    <w:rsid w:val="00053CAC"/>
    <w:rsid w:val="0005772A"/>
    <w:rsid w:val="00092386"/>
    <w:rsid w:val="00095420"/>
    <w:rsid w:val="000C169D"/>
    <w:rsid w:val="000C34A8"/>
    <w:rsid w:val="000E4464"/>
    <w:rsid w:val="000E7E83"/>
    <w:rsid w:val="000F122D"/>
    <w:rsid w:val="000F1AE6"/>
    <w:rsid w:val="0011067B"/>
    <w:rsid w:val="00112564"/>
    <w:rsid w:val="0012612A"/>
    <w:rsid w:val="001277DB"/>
    <w:rsid w:val="0014469F"/>
    <w:rsid w:val="00151067"/>
    <w:rsid w:val="00194281"/>
    <w:rsid w:val="001A722D"/>
    <w:rsid w:val="001B1568"/>
    <w:rsid w:val="001B2201"/>
    <w:rsid w:val="001B40A6"/>
    <w:rsid w:val="001D5D9C"/>
    <w:rsid w:val="00202517"/>
    <w:rsid w:val="00204DF7"/>
    <w:rsid w:val="00211A10"/>
    <w:rsid w:val="002375EE"/>
    <w:rsid w:val="002473FE"/>
    <w:rsid w:val="00256ED2"/>
    <w:rsid w:val="00261A74"/>
    <w:rsid w:val="002907B7"/>
    <w:rsid w:val="00291581"/>
    <w:rsid w:val="002A3A1B"/>
    <w:rsid w:val="002C2F37"/>
    <w:rsid w:val="002C31A6"/>
    <w:rsid w:val="002C6EDD"/>
    <w:rsid w:val="002F4545"/>
    <w:rsid w:val="00305B43"/>
    <w:rsid w:val="00321952"/>
    <w:rsid w:val="00334CF4"/>
    <w:rsid w:val="00350B2A"/>
    <w:rsid w:val="00352C7A"/>
    <w:rsid w:val="00360DDA"/>
    <w:rsid w:val="00363566"/>
    <w:rsid w:val="00373263"/>
    <w:rsid w:val="003734B2"/>
    <w:rsid w:val="003750F2"/>
    <w:rsid w:val="00376202"/>
    <w:rsid w:val="00394547"/>
    <w:rsid w:val="003A09E0"/>
    <w:rsid w:val="003D1692"/>
    <w:rsid w:val="003D29EF"/>
    <w:rsid w:val="004133F4"/>
    <w:rsid w:val="00414270"/>
    <w:rsid w:val="00422990"/>
    <w:rsid w:val="00425148"/>
    <w:rsid w:val="00427396"/>
    <w:rsid w:val="00435734"/>
    <w:rsid w:val="0048232E"/>
    <w:rsid w:val="004A4B5F"/>
    <w:rsid w:val="004A7A20"/>
    <w:rsid w:val="004A7DE6"/>
    <w:rsid w:val="004C2937"/>
    <w:rsid w:val="004D0BA6"/>
    <w:rsid w:val="004F2317"/>
    <w:rsid w:val="005264EC"/>
    <w:rsid w:val="005373FA"/>
    <w:rsid w:val="00540119"/>
    <w:rsid w:val="00556D03"/>
    <w:rsid w:val="00557F16"/>
    <w:rsid w:val="00572C36"/>
    <w:rsid w:val="0058338E"/>
    <w:rsid w:val="00584FFD"/>
    <w:rsid w:val="00586F08"/>
    <w:rsid w:val="00594F66"/>
    <w:rsid w:val="00597E81"/>
    <w:rsid w:val="005B4755"/>
    <w:rsid w:val="005C0793"/>
    <w:rsid w:val="005C2DBA"/>
    <w:rsid w:val="005D1447"/>
    <w:rsid w:val="005D6732"/>
    <w:rsid w:val="005E0995"/>
    <w:rsid w:val="005F4481"/>
    <w:rsid w:val="006013D3"/>
    <w:rsid w:val="006024B3"/>
    <w:rsid w:val="0067368B"/>
    <w:rsid w:val="006902FF"/>
    <w:rsid w:val="006920CE"/>
    <w:rsid w:val="00697524"/>
    <w:rsid w:val="006976C0"/>
    <w:rsid w:val="006A42A1"/>
    <w:rsid w:val="006B17B0"/>
    <w:rsid w:val="006B1D11"/>
    <w:rsid w:val="006C051D"/>
    <w:rsid w:val="006D0E53"/>
    <w:rsid w:val="006F10C6"/>
    <w:rsid w:val="006F2CC3"/>
    <w:rsid w:val="006F6CEF"/>
    <w:rsid w:val="00721FB1"/>
    <w:rsid w:val="007258EF"/>
    <w:rsid w:val="00746291"/>
    <w:rsid w:val="007504E7"/>
    <w:rsid w:val="00766703"/>
    <w:rsid w:val="00771697"/>
    <w:rsid w:val="00775E79"/>
    <w:rsid w:val="00781DAB"/>
    <w:rsid w:val="007831DC"/>
    <w:rsid w:val="007868AB"/>
    <w:rsid w:val="00787BDE"/>
    <w:rsid w:val="00790E30"/>
    <w:rsid w:val="007A09E3"/>
    <w:rsid w:val="007B02E6"/>
    <w:rsid w:val="007D2A19"/>
    <w:rsid w:val="007E0B48"/>
    <w:rsid w:val="008442F7"/>
    <w:rsid w:val="00844EE7"/>
    <w:rsid w:val="00853BFE"/>
    <w:rsid w:val="008606C3"/>
    <w:rsid w:val="008A1A21"/>
    <w:rsid w:val="008C150B"/>
    <w:rsid w:val="008D036A"/>
    <w:rsid w:val="008E64EB"/>
    <w:rsid w:val="008F4A7E"/>
    <w:rsid w:val="00915052"/>
    <w:rsid w:val="00915258"/>
    <w:rsid w:val="00915B45"/>
    <w:rsid w:val="00916F4D"/>
    <w:rsid w:val="0094364E"/>
    <w:rsid w:val="0095690B"/>
    <w:rsid w:val="00957690"/>
    <w:rsid w:val="009616BF"/>
    <w:rsid w:val="00965491"/>
    <w:rsid w:val="00986BE9"/>
    <w:rsid w:val="00990355"/>
    <w:rsid w:val="009B55F2"/>
    <w:rsid w:val="009D6CDD"/>
    <w:rsid w:val="009E74EC"/>
    <w:rsid w:val="009F7EFC"/>
    <w:rsid w:val="00A04236"/>
    <w:rsid w:val="00A15EE9"/>
    <w:rsid w:val="00A26331"/>
    <w:rsid w:val="00A26F91"/>
    <w:rsid w:val="00A7228A"/>
    <w:rsid w:val="00AD1617"/>
    <w:rsid w:val="00AD223D"/>
    <w:rsid w:val="00AD3446"/>
    <w:rsid w:val="00AD682D"/>
    <w:rsid w:val="00AD7CAD"/>
    <w:rsid w:val="00AF4EDE"/>
    <w:rsid w:val="00AF57FD"/>
    <w:rsid w:val="00AF66CB"/>
    <w:rsid w:val="00B07380"/>
    <w:rsid w:val="00B15BF1"/>
    <w:rsid w:val="00B23414"/>
    <w:rsid w:val="00B308A3"/>
    <w:rsid w:val="00B340A2"/>
    <w:rsid w:val="00B44F99"/>
    <w:rsid w:val="00B55CF0"/>
    <w:rsid w:val="00B61CE3"/>
    <w:rsid w:val="00B81DAF"/>
    <w:rsid w:val="00B83106"/>
    <w:rsid w:val="00B944D8"/>
    <w:rsid w:val="00B95545"/>
    <w:rsid w:val="00BA23B1"/>
    <w:rsid w:val="00BA7FBD"/>
    <w:rsid w:val="00BC09F3"/>
    <w:rsid w:val="00BC19FC"/>
    <w:rsid w:val="00BC497E"/>
    <w:rsid w:val="00C06F22"/>
    <w:rsid w:val="00C10046"/>
    <w:rsid w:val="00C145C2"/>
    <w:rsid w:val="00C1788F"/>
    <w:rsid w:val="00C22FF2"/>
    <w:rsid w:val="00C2380B"/>
    <w:rsid w:val="00C31834"/>
    <w:rsid w:val="00C4194A"/>
    <w:rsid w:val="00C51028"/>
    <w:rsid w:val="00C56F1B"/>
    <w:rsid w:val="00C6274C"/>
    <w:rsid w:val="00C6306A"/>
    <w:rsid w:val="00C710F0"/>
    <w:rsid w:val="00C7161B"/>
    <w:rsid w:val="00C72B2E"/>
    <w:rsid w:val="00C803CA"/>
    <w:rsid w:val="00C826ED"/>
    <w:rsid w:val="00C91AB3"/>
    <w:rsid w:val="00CB162E"/>
    <w:rsid w:val="00CB596D"/>
    <w:rsid w:val="00CD0B53"/>
    <w:rsid w:val="00CD5B66"/>
    <w:rsid w:val="00CF380C"/>
    <w:rsid w:val="00D0321A"/>
    <w:rsid w:val="00D15A9D"/>
    <w:rsid w:val="00D16F40"/>
    <w:rsid w:val="00D27554"/>
    <w:rsid w:val="00D35C74"/>
    <w:rsid w:val="00D4092B"/>
    <w:rsid w:val="00D521AE"/>
    <w:rsid w:val="00D66585"/>
    <w:rsid w:val="00D86B62"/>
    <w:rsid w:val="00D878A5"/>
    <w:rsid w:val="00DA3F53"/>
    <w:rsid w:val="00DA4B82"/>
    <w:rsid w:val="00DC4C91"/>
    <w:rsid w:val="00DE2296"/>
    <w:rsid w:val="00DE5DA0"/>
    <w:rsid w:val="00E02D16"/>
    <w:rsid w:val="00E21E42"/>
    <w:rsid w:val="00E31169"/>
    <w:rsid w:val="00E3772E"/>
    <w:rsid w:val="00E37F88"/>
    <w:rsid w:val="00E4277D"/>
    <w:rsid w:val="00E43455"/>
    <w:rsid w:val="00E53026"/>
    <w:rsid w:val="00E605C0"/>
    <w:rsid w:val="00E7072E"/>
    <w:rsid w:val="00E97AE6"/>
    <w:rsid w:val="00EA4B43"/>
    <w:rsid w:val="00EC483F"/>
    <w:rsid w:val="00EE0784"/>
    <w:rsid w:val="00EE27BE"/>
    <w:rsid w:val="00EF78CC"/>
    <w:rsid w:val="00F00CF3"/>
    <w:rsid w:val="00F046B7"/>
    <w:rsid w:val="00F07E45"/>
    <w:rsid w:val="00F203EB"/>
    <w:rsid w:val="00F20835"/>
    <w:rsid w:val="00F545D6"/>
    <w:rsid w:val="00F56BB7"/>
    <w:rsid w:val="00F947F0"/>
    <w:rsid w:val="00FA1FCF"/>
    <w:rsid w:val="00FD4B9B"/>
    <w:rsid w:val="00FD5E2E"/>
    <w:rsid w:val="00FD6E33"/>
    <w:rsid w:val="00FF6EED"/>
    <w:rsid w:val="07E502A9"/>
    <w:rsid w:val="0AB02DEE"/>
    <w:rsid w:val="1307310A"/>
    <w:rsid w:val="1D4217A8"/>
    <w:rsid w:val="1D9B32D6"/>
    <w:rsid w:val="206170B5"/>
    <w:rsid w:val="295A6E90"/>
    <w:rsid w:val="2D860546"/>
    <w:rsid w:val="2F8D349D"/>
    <w:rsid w:val="3E4C6A0D"/>
    <w:rsid w:val="3FBF29B5"/>
    <w:rsid w:val="4055331D"/>
    <w:rsid w:val="43506FF2"/>
    <w:rsid w:val="4EE22343"/>
    <w:rsid w:val="51F5181F"/>
    <w:rsid w:val="5581162D"/>
    <w:rsid w:val="576811E2"/>
    <w:rsid w:val="577C44E3"/>
    <w:rsid w:val="5C5B5A07"/>
    <w:rsid w:val="5D830E25"/>
    <w:rsid w:val="5E893198"/>
    <w:rsid w:val="647D7502"/>
    <w:rsid w:val="71756315"/>
    <w:rsid w:val="71DE4B55"/>
    <w:rsid w:val="73A255B3"/>
    <w:rsid w:val="768E345C"/>
    <w:rsid w:val="79BADB15"/>
    <w:rsid w:val="79EA058F"/>
    <w:rsid w:val="DEB7D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annotation text"/>
    <w:basedOn w:val="1"/>
    <w:qFormat/>
    <w:uiPriority w:val="0"/>
    <w:pPr>
      <w:jc w:val="left"/>
    </w:pPr>
  </w:style>
  <w:style w:type="paragraph" w:styleId="4">
    <w:name w:val="Body Text Indent"/>
    <w:basedOn w:val="1"/>
    <w:qFormat/>
    <w:uiPriority w:val="0"/>
    <w:pPr>
      <w:ind w:firstLine="634"/>
    </w:pPr>
    <w:rPr>
      <w:rFonts w:eastAsia="仿宋_GB2312"/>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页眉 字符"/>
    <w:link w:val="7"/>
    <w:qFormat/>
    <w:uiPriority w:val="0"/>
    <w:rPr>
      <w:kern w:val="2"/>
      <w:sz w:val="18"/>
      <w:szCs w:val="18"/>
    </w:rPr>
  </w:style>
  <w:style w:type="character" w:customStyle="1" w:styleId="14">
    <w:name w:val="批注框文本 字符"/>
    <w:link w:val="5"/>
    <w:qFormat/>
    <w:uiPriority w:val="0"/>
    <w:rPr>
      <w:kern w:val="2"/>
      <w:sz w:val="18"/>
      <w:szCs w:val="18"/>
    </w:rPr>
  </w:style>
  <w:style w:type="paragraph" w:customStyle="1" w:styleId="15">
    <w:name w:val="Char Char Char Char Char Char1"/>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2556</Words>
  <Characters>2706</Characters>
  <Lines>23</Lines>
  <Paragraphs>6</Paragraphs>
  <TotalTime>0</TotalTime>
  <ScaleCrop>false</ScaleCrop>
  <LinksUpToDate>false</LinksUpToDate>
  <CharactersWithSpaces>2720</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2022-04-12T09:19:00Z</dcterms:created>
  <dc:creator>朱娜</dc:creator>
  <cp:lastModifiedBy>Blau</cp:lastModifiedBy>
  <cp:lastPrinted>2022-04-12T08:52:00Z</cp:lastPrinted>
  <dcterms:modified xsi:type="dcterms:W3CDTF">2023-09-13T23:12:23Z</dcterms:modified>
  <dc:title>湖南省财政厅处室便函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094C71B3C4BF9CCDC5B80165A40C26CB_43</vt:lpwstr>
  </property>
</Properties>
</file>