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r>
        <w:rPr>
          <w:rFonts w:eastAsia="仿宋_GB2312"/>
          <w:bCs/>
          <w:kern w:val="0"/>
          <w:sz w:val="32"/>
          <w:szCs w:val="32"/>
        </w:rPr>
        <w:t>附件1：</w:t>
      </w:r>
    </w:p>
    <w:p>
      <w:pPr>
        <w:widowControl/>
        <w:spacing w:line="600" w:lineRule="exact"/>
        <w:jc w:val="left"/>
        <w:rPr>
          <w:rFonts w:eastAsia="仿宋_GB2312"/>
          <w:bCs/>
          <w:kern w:val="0"/>
          <w:sz w:val="32"/>
          <w:szCs w:val="32"/>
        </w:rPr>
      </w:pPr>
    </w:p>
    <w:p>
      <w:pPr>
        <w:widowControl/>
        <w:spacing w:line="600" w:lineRule="exact"/>
        <w:jc w:val="center"/>
        <w:rPr>
          <w:rFonts w:eastAsia="方正小标宋_GBK"/>
          <w:bCs/>
          <w:kern w:val="0"/>
          <w:sz w:val="44"/>
          <w:szCs w:val="44"/>
        </w:rPr>
      </w:pPr>
      <w:r>
        <w:rPr>
          <w:rFonts w:eastAsia="方正小标宋_GBK"/>
          <w:bCs/>
          <w:kern w:val="0"/>
          <w:sz w:val="44"/>
          <w:szCs w:val="44"/>
        </w:rPr>
        <w:t xml:space="preserve"> 2022年</w:t>
      </w:r>
      <w:r>
        <w:rPr>
          <w:rFonts w:hint="eastAsia" w:eastAsia="方正小标宋_GBK"/>
          <w:bCs/>
          <w:kern w:val="0"/>
          <w:sz w:val="44"/>
          <w:szCs w:val="44"/>
        </w:rPr>
        <w:t>岳阳县</w:t>
      </w:r>
      <w:r>
        <w:rPr>
          <w:rFonts w:hint="eastAsia" w:eastAsia="方正小标宋_GBK"/>
          <w:bCs/>
          <w:kern w:val="0"/>
          <w:sz w:val="44"/>
          <w:szCs w:val="44"/>
          <w:lang w:eastAsia="zh-CN"/>
        </w:rPr>
        <w:t>妇幼保健计划生育服务中心</w:t>
      </w:r>
      <w:r>
        <w:rPr>
          <w:rFonts w:eastAsia="方正小标宋_GBK"/>
          <w:bCs/>
          <w:kern w:val="0"/>
          <w:sz w:val="44"/>
          <w:szCs w:val="44"/>
        </w:rPr>
        <w:t>部</w:t>
      </w:r>
      <w:r>
        <w:rPr>
          <w:rFonts w:hint="eastAsia" w:eastAsia="方正小标宋_GBK"/>
          <w:bCs/>
          <w:kern w:val="0"/>
          <w:sz w:val="44"/>
          <w:szCs w:val="44"/>
          <w:lang w:val="en-US" w:eastAsia="zh-CN"/>
        </w:rPr>
        <w:t xml:space="preserve">  </w:t>
      </w:r>
      <w:r>
        <w:rPr>
          <w:rFonts w:eastAsia="方正小标宋_GBK"/>
          <w:bCs/>
          <w:kern w:val="0"/>
          <w:sz w:val="44"/>
          <w:szCs w:val="44"/>
        </w:rPr>
        <w:t>门</w:t>
      </w:r>
      <w:r>
        <w:rPr>
          <w:rFonts w:hint="eastAsia" w:eastAsia="方正小标宋_GBK"/>
          <w:bCs/>
          <w:kern w:val="0"/>
          <w:sz w:val="44"/>
          <w:szCs w:val="44"/>
          <w:lang w:val="en-US" w:eastAsia="zh-CN"/>
        </w:rPr>
        <w:t xml:space="preserve">  </w:t>
      </w:r>
      <w:r>
        <w:rPr>
          <w:rFonts w:eastAsia="方正小标宋_GBK"/>
          <w:bCs/>
          <w:kern w:val="0"/>
          <w:sz w:val="44"/>
          <w:szCs w:val="44"/>
        </w:rPr>
        <w:t>预</w:t>
      </w:r>
      <w:r>
        <w:rPr>
          <w:rFonts w:hint="eastAsia" w:eastAsia="方正小标宋_GBK"/>
          <w:bCs/>
          <w:kern w:val="0"/>
          <w:sz w:val="44"/>
          <w:szCs w:val="44"/>
          <w:lang w:val="en-US" w:eastAsia="zh-CN"/>
        </w:rPr>
        <w:t xml:space="preserve">  </w:t>
      </w:r>
      <w:r>
        <w:rPr>
          <w:rFonts w:eastAsia="方正小标宋_GBK"/>
          <w:bCs/>
          <w:kern w:val="0"/>
          <w:sz w:val="44"/>
          <w:szCs w:val="44"/>
        </w:rPr>
        <w:t>算</w:t>
      </w:r>
    </w:p>
    <w:p>
      <w:pPr>
        <w:widowControl/>
        <w:spacing w:line="600" w:lineRule="exact"/>
        <w:jc w:val="center"/>
        <w:rPr>
          <w:rFonts w:eastAsia="楷体_GB2312"/>
          <w:bCs/>
          <w:kern w:val="0"/>
          <w:sz w:val="32"/>
          <w:szCs w:val="32"/>
        </w:r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仿宋_GB2312"/>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022年部门预算说明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部门基本概况</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职能职责</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机构设置</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部门预算单位构成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部门收支总体情况</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收入预算</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支出预算</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一般公共预算拨款支出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基本支出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项目支出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政府性基金预算支出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其他重要事项的情况说明</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机关运行经费</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“三公”经费预算</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一般性支出情况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政府采购情况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国有资产占有使用情况及新增资产配置情况</w:t>
      </w:r>
    </w:p>
    <w:p>
      <w:pPr>
        <w:widowControl/>
        <w:numPr>
          <w:ilvl w:val="0"/>
          <w:numId w:val="5"/>
        </w:numPr>
        <w:spacing w:line="600" w:lineRule="exact"/>
        <w:rPr>
          <w:rFonts w:eastAsia="方正小标宋_GBK"/>
          <w:bCs/>
          <w:kern w:val="0"/>
          <w:sz w:val="32"/>
          <w:szCs w:val="32"/>
        </w:rPr>
      </w:pPr>
      <w:commentRangeStart w:id="0"/>
      <w:r>
        <w:rPr>
          <w:rFonts w:hint="eastAsia" w:eastAsia="方正小标宋_GBK"/>
          <w:bCs/>
          <w:kern w:val="0"/>
          <w:sz w:val="32"/>
          <w:szCs w:val="32"/>
        </w:rPr>
        <w:t>重点项目预算的绩效目标等预算绩效情况说明</w:t>
      </w:r>
      <w:commentRangeEnd w:id="0"/>
      <w:r>
        <w:commentReference w:id="0"/>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名词解释</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2022年部门预算表</w:t>
      </w:r>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hint="default" w:eastAsia="仿宋_GB2312"/>
          <w:sz w:val="32"/>
          <w:szCs w:val="32"/>
          <w:lang w:val="en-US" w:eastAsia="zh-Hans"/>
        </w:rPr>
      </w:pPr>
      <w:commentRangeStart w:id="1"/>
      <w:r>
        <w:rPr>
          <w:rFonts w:hint="default" w:eastAsia="仿宋_GB2312"/>
          <w:sz w:val="32"/>
          <w:szCs w:val="32"/>
        </w:rPr>
        <w:t>8、</w:t>
      </w:r>
      <w:r>
        <w:rPr>
          <w:rFonts w:hint="eastAsia" w:eastAsia="仿宋_GB2312"/>
          <w:sz w:val="32"/>
          <w:szCs w:val="32"/>
          <w:lang w:val="en-US" w:eastAsia="zh-Hans"/>
        </w:rPr>
        <w:t>一般公共预算基本支出表</w:t>
      </w:r>
      <w:commentRangeEnd w:id="1"/>
      <w:r>
        <w:commentReference w:id="1"/>
      </w:r>
    </w:p>
    <w:p>
      <w:pPr>
        <w:widowControl/>
        <w:spacing w:line="600" w:lineRule="exact"/>
        <w:ind w:firstLine="636" w:firstLineChars="200"/>
        <w:jc w:val="left"/>
        <w:rPr>
          <w:rFonts w:eastAsia="仿宋_GB2312"/>
          <w:sz w:val="32"/>
          <w:szCs w:val="32"/>
        </w:rPr>
      </w:pPr>
      <w:r>
        <w:rPr>
          <w:rFonts w:hint="default" w:eastAsia="仿宋_GB2312"/>
          <w:sz w:val="32"/>
          <w:szCs w:val="32"/>
        </w:rPr>
        <w:t>9</w:t>
      </w:r>
      <w:r>
        <w:rPr>
          <w:rFonts w:eastAsia="仿宋_GB2312"/>
          <w:sz w:val="32"/>
          <w:szCs w:val="32"/>
        </w:rPr>
        <w:t>、一般公共预算基本支出表-人员经费（工资福利支出）（按政府预算经济分类）</w:t>
      </w:r>
    </w:p>
    <w:p>
      <w:pPr>
        <w:widowControl/>
        <w:spacing w:line="600" w:lineRule="exact"/>
        <w:ind w:firstLine="636" w:firstLineChars="200"/>
        <w:jc w:val="left"/>
        <w:rPr>
          <w:rFonts w:eastAsia="仿宋_GB2312"/>
          <w:sz w:val="32"/>
          <w:szCs w:val="32"/>
        </w:rPr>
      </w:pPr>
      <w:r>
        <w:rPr>
          <w:rFonts w:hint="default" w:eastAsia="仿宋_GB2312"/>
          <w:sz w:val="32"/>
          <w:szCs w:val="32"/>
        </w:rPr>
        <w:t>10</w:t>
      </w:r>
      <w:r>
        <w:rPr>
          <w:rFonts w:eastAsia="仿宋_GB2312"/>
          <w:sz w:val="32"/>
          <w:szCs w:val="32"/>
        </w:rPr>
        <w:t>、一般公共预算基本支出表-人员经费（工资福利支出）（按部门预算经济分类）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1</w:t>
      </w:r>
      <w:r>
        <w:rPr>
          <w:rFonts w:hint="default" w:eastAsia="仿宋_GB2312"/>
          <w:sz w:val="32"/>
          <w:szCs w:val="32"/>
        </w:rPr>
        <w:t>1</w:t>
      </w:r>
      <w:r>
        <w:rPr>
          <w:rFonts w:eastAsia="仿宋_GB2312"/>
          <w:sz w:val="32"/>
          <w:szCs w:val="32"/>
        </w:rPr>
        <w:t>、一般公共预算基本支出表-人员经费（对个人和家庭的补助）（按政府预算经济分类）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、一般公共预算基本支出表-人员经费（对个人和家庭的补助）（按部门预算经济分类）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、一般公共预算基本支出表-人员经费（商品和服务支出）（按政府预算经济分类）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4</w:t>
      </w:r>
      <w:r>
        <w:rPr>
          <w:rFonts w:hint="eastAsia" w:ascii="Times New Roman" w:hAnsi="Times New Roman" w:eastAsia="仿宋_GB2312" w:cs="Times New Roman"/>
          <w:color w:val="000000"/>
          <w:sz w:val="32"/>
          <w:szCs w:val="32"/>
          <w:u w:val="none"/>
        </w:rPr>
        <w:t>、一般公共预算基本支出表-人员经费（商品和服务支出）（按部门预算经济分类）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5</w:t>
      </w:r>
      <w:r>
        <w:rPr>
          <w:rFonts w:hint="eastAsia" w:ascii="Times New Roman" w:hAnsi="Times New Roman" w:eastAsia="仿宋_GB2312" w:cs="Times New Roman"/>
          <w:color w:val="000000"/>
          <w:sz w:val="32"/>
          <w:szCs w:val="32"/>
          <w:u w:val="none"/>
        </w:rPr>
        <w:t>、一般公共预算“三公”经费支出表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6</w:t>
      </w:r>
      <w:r>
        <w:rPr>
          <w:rFonts w:hint="eastAsia" w:ascii="Times New Roman" w:hAnsi="Times New Roman" w:eastAsia="仿宋_GB2312" w:cs="Times New Roman"/>
          <w:color w:val="000000"/>
          <w:sz w:val="32"/>
          <w:szCs w:val="32"/>
          <w:u w:val="none"/>
        </w:rPr>
        <w:t>、政府性基金预算支出表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7</w:t>
      </w:r>
      <w:r>
        <w:rPr>
          <w:rFonts w:hint="eastAsia" w:ascii="Times New Roman" w:hAnsi="Times New Roman" w:eastAsia="仿宋_GB2312" w:cs="Times New Roman"/>
          <w:color w:val="000000"/>
          <w:sz w:val="32"/>
          <w:szCs w:val="32"/>
          <w:u w:val="none"/>
        </w:rPr>
        <w:t>、政府性基金预算支出分类汇总表（按政府预算经济分类）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8</w:t>
      </w:r>
      <w:r>
        <w:rPr>
          <w:rFonts w:hint="eastAsia" w:ascii="Times New Roman" w:hAnsi="Times New Roman" w:eastAsia="仿宋_GB2312" w:cs="Times New Roman"/>
          <w:color w:val="000000"/>
          <w:sz w:val="32"/>
          <w:szCs w:val="32"/>
          <w:u w:val="none"/>
        </w:rPr>
        <w:t>、政府性基金预算支出分类汇总表（按部门预算经济分类）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、国有资本经营预算支出表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20</w:t>
      </w:r>
      <w:r>
        <w:rPr>
          <w:rFonts w:hint="eastAsia" w:ascii="Times New Roman" w:hAnsi="Times New Roman" w:eastAsia="仿宋_GB2312" w:cs="Times New Roman"/>
          <w:color w:val="000000"/>
          <w:sz w:val="32"/>
          <w:szCs w:val="32"/>
          <w:u w:val="none"/>
        </w:rPr>
        <w:t>、财政专户管理资金预算支出表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、省级专项资金预算汇总表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、项目支出绩效目标表</w:t>
      </w:r>
    </w:p>
    <w:p>
      <w:pPr>
        <w:widowControl/>
        <w:spacing w:line="600" w:lineRule="exact"/>
        <w:ind w:firstLine="636" w:firstLineChars="200"/>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2022年部门预算说明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eastAsia="楷体_GB2312"/>
          <w:b/>
          <w:sz w:val="32"/>
          <w:szCs w:val="32"/>
        </w:rPr>
      </w:pPr>
      <w:r>
        <w:rPr>
          <w:rFonts w:eastAsia="楷体_GB2312"/>
          <w:b/>
          <w:sz w:val="32"/>
          <w:szCs w:val="32"/>
        </w:rPr>
        <w:t>（一）职能职责。</w:t>
      </w:r>
    </w:p>
    <w:p>
      <w:pPr>
        <w:widowControl/>
        <w:spacing w:line="600" w:lineRule="exact"/>
        <w:ind w:firstLine="624" w:firstLineChars="196"/>
        <w:jc w:val="left"/>
        <w:rPr>
          <w:rFonts w:hint="eastAsia" w:ascii="仿宋" w:hAnsi="仿宋" w:eastAsia="仿宋" w:cs="仿宋"/>
          <w:sz w:val="32"/>
          <w:szCs w:val="32"/>
        </w:rPr>
      </w:pPr>
      <w:r>
        <w:rPr>
          <w:rFonts w:hint="eastAsia" w:ascii="仿宋_GB2312" w:eastAsia="仿宋_GB2312"/>
          <w:sz w:val="32"/>
          <w:szCs w:val="32"/>
        </w:rPr>
        <w:t>岳阳县妇幼保健计划生育服务中心是由原县妇保院与原县计生服务站合并而来。2015年12月正式挂牌成立。</w:t>
      </w:r>
      <w:r>
        <w:rPr>
          <w:rFonts w:hint="eastAsia" w:ascii="仿宋_GB2312" w:eastAsia="仿宋_GB2312"/>
          <w:sz w:val="32"/>
          <w:szCs w:val="32"/>
          <w:lang w:val="en-US" w:eastAsia="zh-CN"/>
        </w:rPr>
        <w:t>2021年12月，综合服务大楼项目竣工并顺利完成了整体搬迁工作。</w:t>
      </w:r>
      <w:r>
        <w:rPr>
          <w:rFonts w:hint="eastAsia" w:ascii="仿宋_GB2312" w:eastAsia="仿宋_GB2312"/>
          <w:sz w:val="32"/>
          <w:szCs w:val="32"/>
        </w:rPr>
        <w:t>主要职责是承担辖区内妇幼保健、母婴保健、计生服务、健康宣传教育、技术指导及全县妇幼卫生保健工作评估、监督和考核等基本公共卫生工作；提供妇</w:t>
      </w:r>
      <w:r>
        <w:rPr>
          <w:rFonts w:hint="eastAsia" w:ascii="仿宋" w:hAnsi="仿宋" w:eastAsia="仿宋" w:cs="仿宋"/>
          <w:sz w:val="32"/>
          <w:szCs w:val="32"/>
        </w:rPr>
        <w:t>女儿童常见病和多发病的诊治、孕产妇分娩的助产技术等基本医疗保健服务；核心工作是控制孕产妇及5岁以下儿童死亡率。</w:t>
      </w:r>
    </w:p>
    <w:p>
      <w:pPr>
        <w:widowControl/>
        <w:spacing w:line="600" w:lineRule="exact"/>
        <w:ind w:firstLine="624" w:firstLineChars="196"/>
        <w:jc w:val="left"/>
        <w:rPr>
          <w:rFonts w:eastAsia="楷体_GB2312"/>
          <w:b/>
          <w:sz w:val="32"/>
          <w:szCs w:val="32"/>
        </w:rPr>
      </w:pPr>
      <w:r>
        <w:rPr>
          <w:rFonts w:eastAsia="楷体_GB2312"/>
          <w:b/>
          <w:sz w:val="32"/>
          <w:szCs w:val="32"/>
        </w:rPr>
        <w:t>（二）机构设置。</w:t>
      </w:r>
    </w:p>
    <w:p>
      <w:pPr>
        <w:widowControl/>
        <w:spacing w:line="480" w:lineRule="auto"/>
        <w:ind w:firstLine="480"/>
        <w:rPr>
          <w:rFonts w:hint="eastAsia" w:ascii="仿宋" w:hAnsi="仿宋" w:eastAsia="仿宋" w:cs="仿宋"/>
          <w:color w:val="333333"/>
          <w:kern w:val="0"/>
          <w:sz w:val="32"/>
          <w:szCs w:val="32"/>
        </w:rPr>
      </w:pPr>
      <w:commentRangeStart w:id="2"/>
      <w:r>
        <w:rPr>
          <w:rFonts w:hint="eastAsia" w:ascii="仿宋" w:hAnsi="仿宋" w:eastAsia="仿宋" w:cs="仿宋"/>
          <w:color w:val="333333"/>
          <w:kern w:val="0"/>
          <w:sz w:val="32"/>
          <w:szCs w:val="32"/>
        </w:rPr>
        <w:t>本单位所属二级机构预算</w:t>
      </w:r>
      <w:r>
        <w:rPr>
          <w:rFonts w:hint="eastAsia" w:ascii="仿宋" w:hAnsi="仿宋" w:eastAsia="仿宋" w:cs="仿宋"/>
          <w:color w:val="333333"/>
          <w:kern w:val="0"/>
          <w:sz w:val="32"/>
          <w:szCs w:val="32"/>
          <w:lang w:eastAsia="zh-CN"/>
        </w:rPr>
        <w:t>单位</w:t>
      </w:r>
      <w:r>
        <w:rPr>
          <w:rFonts w:hint="eastAsia" w:ascii="仿宋" w:hAnsi="仿宋" w:eastAsia="仿宋" w:cs="仿宋"/>
          <w:color w:val="333333"/>
          <w:kern w:val="0"/>
          <w:sz w:val="32"/>
          <w:szCs w:val="32"/>
        </w:rPr>
        <w:t>。</w:t>
      </w:r>
      <w:commentRangeEnd w:id="2"/>
      <w:r>
        <w:commentReference w:id="2"/>
      </w: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24" w:firstLineChars="196"/>
        <w:jc w:val="left"/>
        <w:rPr>
          <w:rFonts w:eastAsia="黑体"/>
          <w:bCs/>
          <w:kern w:val="0"/>
          <w:sz w:val="32"/>
          <w:szCs w:val="32"/>
        </w:rPr>
      </w:pPr>
      <w:commentRangeStart w:id="3"/>
      <w:r>
        <w:rPr>
          <w:rFonts w:hint="eastAsia" w:ascii="仿宋" w:hAnsi="仿宋" w:eastAsia="仿宋" w:cs="仿宋"/>
          <w:color w:val="333333"/>
          <w:kern w:val="0"/>
          <w:sz w:val="32"/>
          <w:szCs w:val="32"/>
        </w:rPr>
        <w:t>本单位是一家集医疗、保健、预防、健教、培训为一体的非营利性二级妇幼专科医院。全中心现有职工187人，专业技术人员167人，其中：高级职称16人、中级职称51人、初级职称90人。设有产科、妇科、新生儿科、儿科、麻醉科、盆底康复科、儿童保健康复科、妇女保健科、乳腺保健科、计划生育科、检验科、影像科等临床科室及各类医技科室。</w:t>
      </w:r>
      <w:commentRangeEnd w:id="3"/>
      <w:r>
        <w:commentReference w:id="3"/>
      </w:r>
      <w:r>
        <w:rPr>
          <w:rFonts w:eastAsia="黑体"/>
          <w:bCs/>
          <w:kern w:val="0"/>
          <w:sz w:val="32"/>
          <w:szCs w:val="32"/>
        </w:rPr>
        <w:t>三、部门收支总体情况</w:t>
      </w:r>
    </w:p>
    <w:p>
      <w:pPr>
        <w:widowControl/>
        <w:spacing w:line="600" w:lineRule="exact"/>
        <w:ind w:firstLine="624" w:firstLineChars="196"/>
        <w:rPr>
          <w:rFonts w:hint="eastAsia" w:eastAsia="仿宋_GB2312"/>
          <w:sz w:val="32"/>
          <w:szCs w:val="32"/>
          <w:highlight w:val="none"/>
          <w:lang w:val="en-US" w:eastAsia="zh-CN"/>
        </w:rPr>
      </w:pPr>
      <w:r>
        <w:rPr>
          <w:rFonts w:eastAsia="楷体_GB2312"/>
          <w:b/>
          <w:sz w:val="32"/>
          <w:szCs w:val="32"/>
          <w:highlight w:val="none"/>
        </w:rPr>
        <w:t>（一）收入预算：</w:t>
      </w:r>
      <w:r>
        <w:rPr>
          <w:rFonts w:hint="eastAsia" w:eastAsia="楷体_GB2312"/>
          <w:b/>
          <w:sz w:val="32"/>
          <w:szCs w:val="32"/>
          <w:highlight w:val="none"/>
          <w:lang w:val="en-US" w:eastAsia="zh-CN"/>
        </w:rPr>
        <w:t>2</w:t>
      </w:r>
      <w:r>
        <w:rPr>
          <w:rFonts w:eastAsia="仿宋_GB2312"/>
          <w:sz w:val="32"/>
          <w:szCs w:val="32"/>
          <w:highlight w:val="none"/>
        </w:rPr>
        <w:t>022年本部门收入预算</w:t>
      </w:r>
      <w:r>
        <w:rPr>
          <w:rFonts w:hint="eastAsia" w:eastAsia="仿宋_GB2312"/>
          <w:sz w:val="32"/>
          <w:szCs w:val="32"/>
          <w:highlight w:val="none"/>
          <w:lang w:val="en-US" w:eastAsia="zh-CN"/>
        </w:rPr>
        <w:t>695.52</w:t>
      </w:r>
      <w:r>
        <w:rPr>
          <w:rFonts w:eastAsia="仿宋_GB2312"/>
          <w:sz w:val="32"/>
          <w:szCs w:val="32"/>
          <w:highlight w:val="none"/>
        </w:rPr>
        <w:t>万元，其中，</w:t>
      </w:r>
      <w:r>
        <w:rPr>
          <w:rFonts w:hint="eastAsia" w:eastAsia="仿宋_GB2312"/>
          <w:sz w:val="32"/>
          <w:szCs w:val="32"/>
          <w:highlight w:val="none"/>
        </w:rPr>
        <w:t>一般公共预算拨款</w:t>
      </w:r>
      <w:r>
        <w:rPr>
          <w:rFonts w:hint="eastAsia" w:eastAsia="仿宋_GB2312"/>
          <w:sz w:val="32"/>
          <w:szCs w:val="32"/>
          <w:highlight w:val="none"/>
          <w:lang w:val="en-US" w:eastAsia="zh-CN"/>
        </w:rPr>
        <w:t>695.52</w:t>
      </w:r>
      <w:r>
        <w:rPr>
          <w:rFonts w:hint="eastAsia" w:eastAsia="仿宋_GB2312"/>
          <w:sz w:val="32"/>
          <w:szCs w:val="32"/>
          <w:highlight w:val="none"/>
        </w:rPr>
        <w:t>万元，政府性基金预算拨款</w:t>
      </w:r>
      <w:r>
        <w:rPr>
          <w:rFonts w:hint="eastAsia" w:eastAsia="仿宋_GB2312"/>
          <w:sz w:val="32"/>
          <w:szCs w:val="32"/>
          <w:highlight w:val="none"/>
          <w:lang w:val="en-US" w:eastAsia="zh-CN"/>
        </w:rPr>
        <w:t>0</w:t>
      </w:r>
      <w:r>
        <w:rPr>
          <w:rFonts w:hint="eastAsia" w:eastAsia="仿宋_GB2312"/>
          <w:sz w:val="32"/>
          <w:szCs w:val="32"/>
          <w:highlight w:val="none"/>
        </w:rPr>
        <w:t xml:space="preserve">万元，国有资本经营预算拨款 </w:t>
      </w:r>
      <w:r>
        <w:rPr>
          <w:rFonts w:hint="eastAsia" w:eastAsia="仿宋_GB2312"/>
          <w:sz w:val="32"/>
          <w:szCs w:val="32"/>
          <w:highlight w:val="none"/>
          <w:lang w:val="en-US" w:eastAsia="zh-CN"/>
        </w:rPr>
        <w:t>0</w:t>
      </w:r>
      <w:r>
        <w:rPr>
          <w:rFonts w:hint="eastAsia" w:eastAsia="仿宋_GB2312"/>
          <w:sz w:val="32"/>
          <w:szCs w:val="32"/>
          <w:highlight w:val="none"/>
        </w:rPr>
        <w:t>万元，纳入专户管理的非税收入</w:t>
      </w:r>
      <w:r>
        <w:rPr>
          <w:rFonts w:hint="eastAsia" w:eastAsia="仿宋_GB2312"/>
          <w:sz w:val="32"/>
          <w:szCs w:val="32"/>
          <w:highlight w:val="none"/>
          <w:lang w:val="en-US" w:eastAsia="zh-CN"/>
        </w:rPr>
        <w:t>0万元。收入较去年增加67.58万元，主要是2022年增加了4个人的人员预算。</w:t>
      </w:r>
      <w:r>
        <w:rPr>
          <w:rFonts w:hint="eastAsia" w:eastAsia="仿宋_GB2312"/>
          <w:sz w:val="32"/>
          <w:szCs w:val="32"/>
          <w:highlight w:val="none"/>
        </w:rPr>
        <w:t xml:space="preserve">  </w:t>
      </w:r>
    </w:p>
    <w:p>
      <w:pPr>
        <w:widowControl/>
        <w:spacing w:line="600" w:lineRule="exact"/>
        <w:ind w:firstLine="624" w:firstLineChars="196"/>
        <w:jc w:val="left"/>
        <w:rPr>
          <w:rFonts w:hint="eastAsia" w:eastAsia="仿宋_GB2312"/>
          <w:sz w:val="32"/>
          <w:szCs w:val="32"/>
          <w:highlight w:val="none"/>
        </w:rPr>
      </w:pPr>
      <w:r>
        <w:rPr>
          <w:rFonts w:eastAsia="楷体_GB2312"/>
          <w:b/>
          <w:sz w:val="32"/>
          <w:szCs w:val="32"/>
        </w:rPr>
        <w:t>（二）支出预算：</w:t>
      </w:r>
      <w:r>
        <w:rPr>
          <w:rFonts w:eastAsia="仿宋_GB2312"/>
          <w:sz w:val="32"/>
          <w:szCs w:val="32"/>
        </w:rPr>
        <w:t>2022年本部门支出预算</w:t>
      </w:r>
      <w:r>
        <w:rPr>
          <w:rFonts w:hint="eastAsia" w:eastAsia="仿宋_GB2312"/>
          <w:sz w:val="32"/>
          <w:szCs w:val="32"/>
          <w:lang w:val="en-US" w:eastAsia="zh-CN"/>
        </w:rPr>
        <w:t>695.52</w:t>
      </w:r>
      <w:r>
        <w:rPr>
          <w:rFonts w:eastAsia="仿宋_GB2312"/>
          <w:sz w:val="32"/>
          <w:szCs w:val="32"/>
        </w:rPr>
        <w:t>万元，其中，</w:t>
      </w:r>
      <w:r>
        <w:rPr>
          <w:rFonts w:hint="eastAsia" w:eastAsia="仿宋_GB2312"/>
          <w:sz w:val="32"/>
          <w:szCs w:val="32"/>
        </w:rPr>
        <w:t>社会保障和就业</w:t>
      </w:r>
      <w:r>
        <w:rPr>
          <w:rFonts w:hint="eastAsia" w:eastAsia="仿宋_GB2312"/>
          <w:sz w:val="32"/>
          <w:szCs w:val="32"/>
          <w:lang w:val="en-US" w:eastAsia="zh-CN"/>
        </w:rPr>
        <w:t>69.13</w:t>
      </w:r>
      <w:r>
        <w:rPr>
          <w:rFonts w:hint="eastAsia" w:eastAsia="仿宋_GB2312"/>
          <w:sz w:val="32"/>
          <w:szCs w:val="32"/>
        </w:rPr>
        <w:t>万元，卫生健康支出</w:t>
      </w:r>
      <w:r>
        <w:rPr>
          <w:rFonts w:hint="eastAsia" w:eastAsia="仿宋_GB2312"/>
          <w:sz w:val="32"/>
          <w:szCs w:val="32"/>
          <w:lang w:val="en-US" w:eastAsia="zh-CN"/>
        </w:rPr>
        <w:t>577.60</w:t>
      </w:r>
      <w:r>
        <w:rPr>
          <w:rFonts w:hint="eastAsia" w:eastAsia="仿宋_GB2312"/>
          <w:sz w:val="32"/>
          <w:szCs w:val="32"/>
        </w:rPr>
        <w:t>万元，住房保障</w:t>
      </w:r>
      <w:r>
        <w:rPr>
          <w:rFonts w:hint="eastAsia" w:eastAsia="仿宋_GB2312"/>
          <w:sz w:val="32"/>
          <w:szCs w:val="32"/>
          <w:lang w:val="en-US" w:eastAsia="zh-CN"/>
        </w:rPr>
        <w:t>48.79</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highlight w:val="none"/>
        </w:rPr>
        <w:t>支出较去年增加</w:t>
      </w:r>
      <w:r>
        <w:rPr>
          <w:rFonts w:hint="eastAsia" w:eastAsia="仿宋_GB2312"/>
          <w:sz w:val="32"/>
          <w:szCs w:val="32"/>
          <w:highlight w:val="none"/>
          <w:lang w:val="en-US" w:eastAsia="zh-CN"/>
        </w:rPr>
        <w:t>67.58</w:t>
      </w:r>
      <w:r>
        <w:rPr>
          <w:rFonts w:hint="eastAsia" w:eastAsia="仿宋_GB2312"/>
          <w:sz w:val="32"/>
          <w:szCs w:val="32"/>
          <w:highlight w:val="none"/>
        </w:rPr>
        <w:t>万元，主要是</w:t>
      </w:r>
      <w:r>
        <w:rPr>
          <w:rFonts w:hint="eastAsia" w:eastAsia="仿宋_GB2312"/>
          <w:sz w:val="32"/>
          <w:szCs w:val="32"/>
          <w:highlight w:val="none"/>
          <w:lang w:val="en-US" w:eastAsia="zh-CN"/>
        </w:rPr>
        <w:t>增加了4个人的人员预算。</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60"/>
        <w:jc w:val="left"/>
        <w:rPr>
          <w:rFonts w:eastAsia="黑体"/>
          <w:sz w:val="32"/>
          <w:szCs w:val="32"/>
        </w:rPr>
      </w:pPr>
      <w:r>
        <w:rPr>
          <w:rFonts w:eastAsia="仿宋_GB2312"/>
          <w:sz w:val="32"/>
          <w:szCs w:val="32"/>
        </w:rPr>
        <w:t>2022年本部门一般公共预算拨款支出预算</w:t>
      </w:r>
      <w:r>
        <w:rPr>
          <w:rFonts w:hint="eastAsia" w:eastAsia="仿宋_GB2312"/>
          <w:sz w:val="32"/>
          <w:szCs w:val="32"/>
          <w:lang w:val="en-US" w:eastAsia="zh-CN"/>
        </w:rPr>
        <w:t>695.52</w:t>
      </w:r>
      <w:r>
        <w:rPr>
          <w:rFonts w:eastAsia="仿宋_GB2312"/>
          <w:sz w:val="32"/>
          <w:szCs w:val="32"/>
        </w:rPr>
        <w:t>万元，其中，</w:t>
      </w:r>
      <w:r>
        <w:rPr>
          <w:rFonts w:hint="eastAsia" w:eastAsia="仿宋_GB2312"/>
          <w:sz w:val="32"/>
          <w:szCs w:val="32"/>
        </w:rPr>
        <w:t>社会保障和就业</w:t>
      </w:r>
      <w:r>
        <w:rPr>
          <w:rFonts w:hint="eastAsia" w:eastAsia="仿宋_GB2312"/>
          <w:sz w:val="32"/>
          <w:szCs w:val="32"/>
          <w:lang w:val="en-US" w:eastAsia="zh-CN"/>
        </w:rPr>
        <w:t>69.13</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9.94</w:t>
      </w:r>
      <w:r>
        <w:rPr>
          <w:rFonts w:hint="eastAsia" w:eastAsia="仿宋_GB2312"/>
          <w:sz w:val="32"/>
          <w:szCs w:val="32"/>
        </w:rPr>
        <w:t>%</w:t>
      </w:r>
      <w:r>
        <w:rPr>
          <w:rFonts w:eastAsia="仿宋_GB2312"/>
          <w:sz w:val="32"/>
          <w:szCs w:val="32"/>
        </w:rPr>
        <w:t>；</w:t>
      </w:r>
      <w:r>
        <w:rPr>
          <w:rFonts w:hint="eastAsia" w:eastAsia="仿宋_GB2312"/>
          <w:sz w:val="32"/>
          <w:szCs w:val="32"/>
        </w:rPr>
        <w:t>卫生健康支出</w:t>
      </w:r>
      <w:r>
        <w:rPr>
          <w:rFonts w:hint="eastAsia" w:eastAsia="仿宋_GB2312"/>
          <w:sz w:val="32"/>
          <w:szCs w:val="32"/>
          <w:lang w:val="en-US" w:eastAsia="zh-CN"/>
        </w:rPr>
        <w:t>577.60</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83.05</w:t>
      </w:r>
      <w:r>
        <w:rPr>
          <w:rFonts w:hint="eastAsia" w:eastAsia="仿宋_GB2312"/>
          <w:sz w:val="32"/>
          <w:szCs w:val="32"/>
        </w:rPr>
        <w:t>%</w:t>
      </w:r>
      <w:r>
        <w:rPr>
          <w:rFonts w:eastAsia="仿宋_GB2312"/>
          <w:sz w:val="32"/>
          <w:szCs w:val="32"/>
        </w:rPr>
        <w:t>；</w:t>
      </w:r>
      <w:r>
        <w:rPr>
          <w:rFonts w:hint="eastAsia" w:eastAsia="仿宋_GB2312"/>
          <w:sz w:val="32"/>
          <w:szCs w:val="32"/>
        </w:rPr>
        <w:t>住房保障</w:t>
      </w:r>
      <w:r>
        <w:rPr>
          <w:rFonts w:hint="eastAsia" w:eastAsia="仿宋_GB2312"/>
          <w:sz w:val="32"/>
          <w:szCs w:val="32"/>
          <w:lang w:val="en-US" w:eastAsia="zh-CN"/>
        </w:rPr>
        <w:t>48.79</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7.01%</w:t>
      </w:r>
      <w:r>
        <w:rPr>
          <w:rFonts w:eastAsia="仿宋_GB2312"/>
          <w:sz w:val="32"/>
          <w:szCs w:val="32"/>
        </w:rPr>
        <w:t>；具体安排情况如下：</w:t>
      </w:r>
    </w:p>
    <w:p>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2022年本部门基本支出预算数</w:t>
      </w:r>
      <w:r>
        <w:rPr>
          <w:rFonts w:hint="eastAsia" w:eastAsia="仿宋_GB2312"/>
          <w:sz w:val="32"/>
          <w:szCs w:val="32"/>
          <w:lang w:val="en-US" w:eastAsia="zh-CN"/>
        </w:rPr>
        <w:t>675.52</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r>
        <w:rPr>
          <w:rFonts w:hint="eastAsia" w:eastAsia="仿宋_GB2312"/>
          <w:sz w:val="32"/>
          <w:szCs w:val="32"/>
        </w:rPr>
        <w:t>，其中：工资福利支出</w:t>
      </w:r>
      <w:r>
        <w:rPr>
          <w:rFonts w:hint="eastAsia" w:eastAsia="仿宋_GB2312"/>
          <w:sz w:val="32"/>
          <w:szCs w:val="32"/>
          <w:lang w:val="en-US" w:eastAsia="zh-CN"/>
        </w:rPr>
        <w:t>675.52</w:t>
      </w:r>
      <w:r>
        <w:rPr>
          <w:rFonts w:hint="eastAsia" w:eastAsia="仿宋_GB2312"/>
          <w:sz w:val="32"/>
          <w:szCs w:val="32"/>
        </w:rPr>
        <w:t>万元、一般商品和服务支出</w:t>
      </w:r>
      <w:r>
        <w:rPr>
          <w:rFonts w:hint="eastAsia" w:eastAsia="仿宋_GB2312"/>
          <w:sz w:val="32"/>
          <w:szCs w:val="32"/>
          <w:lang w:val="en-US" w:eastAsia="zh-CN"/>
        </w:rPr>
        <w:t>0</w:t>
      </w:r>
      <w:r>
        <w:rPr>
          <w:rFonts w:hint="eastAsia" w:eastAsia="仿宋_GB2312"/>
          <w:sz w:val="32"/>
          <w:szCs w:val="32"/>
        </w:rPr>
        <w:t>万元、对个人和家庭的补助支出</w:t>
      </w:r>
      <w:r>
        <w:rPr>
          <w:rFonts w:hint="eastAsia" w:eastAsia="仿宋_GB2312"/>
          <w:sz w:val="32"/>
          <w:szCs w:val="32"/>
          <w:lang w:val="en-US" w:eastAsia="zh-CN"/>
        </w:rPr>
        <w:t>0</w:t>
      </w:r>
      <w:r>
        <w:rPr>
          <w:rFonts w:hint="eastAsia" w:eastAsia="仿宋_GB2312"/>
          <w:sz w:val="32"/>
          <w:szCs w:val="32"/>
        </w:rPr>
        <w:t>万元。</w:t>
      </w:r>
    </w:p>
    <w:p>
      <w:pPr>
        <w:widowControl/>
        <w:spacing w:line="600" w:lineRule="exact"/>
        <w:ind w:firstLine="660"/>
        <w:jc w:val="left"/>
        <w:rPr>
          <w:rFonts w:hint="eastAsia" w:eastAsia="仿宋_GB2312"/>
          <w:sz w:val="32"/>
          <w:szCs w:val="32"/>
          <w:lang w:eastAsia="zh-CN"/>
        </w:rPr>
      </w:pPr>
      <w:r>
        <w:rPr>
          <w:rFonts w:eastAsia="楷体_GB2312"/>
          <w:b/>
          <w:sz w:val="32"/>
          <w:szCs w:val="32"/>
        </w:rPr>
        <w:t>（二）项目支出：</w:t>
      </w:r>
      <w:r>
        <w:rPr>
          <w:rFonts w:eastAsia="仿宋_GB2312"/>
          <w:sz w:val="32"/>
          <w:szCs w:val="32"/>
        </w:rPr>
        <w:t>2022年本部门项目支出预算</w:t>
      </w:r>
      <w:r>
        <w:rPr>
          <w:rFonts w:hint="eastAsia" w:eastAsia="仿宋_GB2312"/>
          <w:sz w:val="32"/>
          <w:szCs w:val="32"/>
          <w:lang w:val="en-US" w:eastAsia="zh-CN"/>
        </w:rPr>
        <w:t>20</w:t>
      </w:r>
      <w:r>
        <w:rPr>
          <w:rFonts w:eastAsia="仿宋_GB2312"/>
          <w:sz w:val="32"/>
          <w:szCs w:val="32"/>
        </w:rPr>
        <w:t>万元，主要是部门为完成特定行政工作任务或事业发展目标而发生的支出，</w:t>
      </w:r>
      <w:r>
        <w:rPr>
          <w:rFonts w:hint="eastAsia" w:eastAsia="仿宋_GB2312"/>
          <w:sz w:val="32"/>
          <w:szCs w:val="32"/>
        </w:rPr>
        <w:t>主要用于</w:t>
      </w:r>
      <w:r>
        <w:rPr>
          <w:rFonts w:hint="eastAsia" w:eastAsia="仿宋_GB2312"/>
          <w:sz w:val="32"/>
          <w:szCs w:val="32"/>
          <w:lang w:eastAsia="zh-CN"/>
        </w:rPr>
        <w:t>免费婚前医学检查。</w:t>
      </w:r>
    </w:p>
    <w:p>
      <w:pPr>
        <w:widowControl/>
        <w:spacing w:line="600" w:lineRule="exact"/>
        <w:ind w:firstLine="660"/>
        <w:jc w:val="left"/>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政府性基金预算支出</w:t>
      </w:r>
    </w:p>
    <w:p>
      <w:pPr>
        <w:widowControl/>
        <w:spacing w:line="600" w:lineRule="exact"/>
        <w:ind w:firstLine="660"/>
        <w:jc w:val="left"/>
        <w:rPr>
          <w:rFonts w:hint="eastAsia" w:eastAsia="仿宋_GB2312"/>
          <w:sz w:val="32"/>
          <w:szCs w:val="32"/>
        </w:rPr>
      </w:pPr>
      <w:commentRangeStart w:id="4"/>
      <w:r>
        <w:rPr>
          <w:rFonts w:hint="eastAsia" w:eastAsia="仿宋_GB2312"/>
          <w:sz w:val="32"/>
          <w:szCs w:val="32"/>
        </w:rPr>
        <w:t>本年度本部门无政府性基金安排的支出。</w:t>
      </w:r>
      <w:commentRangeEnd w:id="4"/>
      <w:r>
        <w:commentReference w:id="4"/>
      </w:r>
    </w:p>
    <w:p>
      <w:pPr>
        <w:widowControl/>
        <w:spacing w:line="600" w:lineRule="exact"/>
        <w:ind w:firstLine="660"/>
        <w:jc w:val="left"/>
        <w:rPr>
          <w:rFonts w:eastAsia="黑体"/>
          <w:sz w:val="32"/>
          <w:szCs w:val="32"/>
        </w:rPr>
      </w:pPr>
      <w:r>
        <w:rPr>
          <w:rFonts w:eastAsia="黑体"/>
          <w:sz w:val="32"/>
          <w:szCs w:val="32"/>
        </w:rPr>
        <w:t>六、其他重要事项的情况说明</w:t>
      </w:r>
    </w:p>
    <w:p>
      <w:pPr>
        <w:widowControl/>
        <w:spacing w:line="600" w:lineRule="exact"/>
        <w:ind w:firstLine="636" w:firstLineChars="200"/>
        <w:jc w:val="left"/>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（一）机关运行经费：</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年本部门机关无行政事业单位的机关运行经费。</w:t>
      </w:r>
    </w:p>
    <w:p>
      <w:pPr>
        <w:widowControl/>
        <w:spacing w:line="600" w:lineRule="exact"/>
        <w:ind w:firstLine="636" w:firstLineChars="200"/>
        <w:jc w:val="left"/>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（二）</w:t>
      </w:r>
      <w:commentRangeStart w:id="5"/>
      <w:r>
        <w:rPr>
          <w:rFonts w:hint="eastAsia" w:ascii="仿宋" w:hAnsi="仿宋" w:eastAsia="仿宋" w:cs="仿宋"/>
          <w:bCs/>
          <w:kern w:val="0"/>
          <w:sz w:val="32"/>
          <w:szCs w:val="32"/>
          <w:lang w:eastAsia="zh-CN"/>
        </w:rPr>
        <w:t>“三公”经费预算：</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年本部门“三公”经费预算数为   万元，其中，公务接待费</w:t>
      </w:r>
      <w:r>
        <w:rPr>
          <w:rFonts w:hint="eastAsia" w:ascii="仿宋" w:hAnsi="仿宋" w:eastAsia="仿宋" w:cs="仿宋"/>
          <w:bCs/>
          <w:kern w:val="0"/>
          <w:sz w:val="32"/>
          <w:szCs w:val="32"/>
          <w:lang w:val="en-US" w:eastAsia="zh-CN"/>
        </w:rPr>
        <w:t>1.05</w:t>
      </w:r>
      <w:r>
        <w:rPr>
          <w:rFonts w:hint="eastAsia" w:ascii="仿宋" w:hAnsi="仿宋" w:eastAsia="仿宋" w:cs="仿宋"/>
          <w:bCs/>
          <w:kern w:val="0"/>
          <w:sz w:val="32"/>
          <w:szCs w:val="32"/>
          <w:lang w:eastAsia="zh-CN"/>
        </w:rPr>
        <w:t>万元，公务用车购置及运行费</w:t>
      </w:r>
      <w:r>
        <w:rPr>
          <w:rFonts w:hint="eastAsia" w:ascii="仿宋" w:hAnsi="仿宋" w:eastAsia="仿宋" w:cs="仿宋"/>
          <w:bCs/>
          <w:kern w:val="0"/>
          <w:sz w:val="32"/>
          <w:szCs w:val="32"/>
          <w:lang w:val="en-US" w:eastAsia="zh-CN"/>
        </w:rPr>
        <w:t>45.75</w:t>
      </w:r>
      <w:r>
        <w:rPr>
          <w:rFonts w:hint="eastAsia" w:ascii="仿宋" w:hAnsi="仿宋" w:eastAsia="仿宋" w:cs="仿宋"/>
          <w:bCs/>
          <w:kern w:val="0"/>
          <w:sz w:val="32"/>
          <w:szCs w:val="32"/>
          <w:lang w:eastAsia="zh-CN"/>
        </w:rPr>
        <w:t>万元（其中，公务用车购置费</w:t>
      </w:r>
      <w:r>
        <w:rPr>
          <w:rFonts w:hint="eastAsia" w:ascii="仿宋" w:hAnsi="仿宋" w:eastAsia="仿宋" w:cs="仿宋"/>
          <w:bCs/>
          <w:kern w:val="0"/>
          <w:sz w:val="32"/>
          <w:szCs w:val="32"/>
          <w:lang w:val="en-US" w:eastAsia="zh-CN"/>
        </w:rPr>
        <w:t>41.38</w:t>
      </w:r>
      <w:r>
        <w:rPr>
          <w:rFonts w:hint="eastAsia" w:ascii="仿宋" w:hAnsi="仿宋" w:eastAsia="仿宋" w:cs="仿宋"/>
          <w:bCs/>
          <w:kern w:val="0"/>
          <w:sz w:val="32"/>
          <w:szCs w:val="32"/>
          <w:lang w:eastAsia="zh-CN"/>
        </w:rPr>
        <w:t>万元，公务用车运行费</w:t>
      </w:r>
      <w:r>
        <w:rPr>
          <w:rFonts w:hint="eastAsia" w:ascii="仿宋" w:hAnsi="仿宋" w:eastAsia="仿宋" w:cs="仿宋"/>
          <w:bCs/>
          <w:kern w:val="0"/>
          <w:sz w:val="32"/>
          <w:szCs w:val="32"/>
          <w:lang w:val="en-US" w:eastAsia="zh-CN"/>
        </w:rPr>
        <w:t>4.37</w:t>
      </w:r>
      <w:r>
        <w:rPr>
          <w:rFonts w:hint="eastAsia" w:ascii="仿宋" w:hAnsi="仿宋" w:eastAsia="仿宋" w:cs="仿宋"/>
          <w:bCs/>
          <w:kern w:val="0"/>
          <w:sz w:val="32"/>
          <w:szCs w:val="32"/>
          <w:lang w:eastAsia="zh-CN"/>
        </w:rPr>
        <w:t>万元），因公出国（境）费</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万元。</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年“三公”经费预算较202</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lang w:eastAsia="zh-CN"/>
        </w:rPr>
        <w:t>年增加，因</w:t>
      </w:r>
      <w:r>
        <w:rPr>
          <w:rFonts w:hint="eastAsia" w:ascii="仿宋" w:hAnsi="仿宋" w:eastAsia="仿宋" w:cs="仿宋"/>
          <w:bCs/>
          <w:kern w:val="0"/>
          <w:sz w:val="32"/>
          <w:szCs w:val="32"/>
          <w:lang w:val="en-US" w:eastAsia="zh-CN"/>
        </w:rPr>
        <w:t>2022年度新冠购置防疫车1辆</w:t>
      </w:r>
      <w:r>
        <w:rPr>
          <w:rFonts w:hint="eastAsia" w:ascii="仿宋" w:hAnsi="仿宋" w:eastAsia="仿宋" w:cs="仿宋"/>
          <w:bCs/>
          <w:kern w:val="0"/>
          <w:sz w:val="32"/>
          <w:szCs w:val="32"/>
          <w:lang w:eastAsia="zh-CN"/>
        </w:rPr>
        <w:t>。</w:t>
      </w:r>
      <w:commentRangeEnd w:id="5"/>
      <w:r>
        <w:commentReference w:id="5"/>
      </w:r>
    </w:p>
    <w:p>
      <w:pPr>
        <w:widowControl/>
        <w:spacing w:line="600" w:lineRule="exact"/>
        <w:ind w:firstLine="636" w:firstLineChars="200"/>
        <w:jc w:val="left"/>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（三）一般性支出情况：</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年本部门会议费预算</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lang w:eastAsia="zh-CN"/>
        </w:rPr>
        <w:t>万元，拟召开</w:t>
      </w:r>
      <w:r>
        <w:rPr>
          <w:rFonts w:hint="eastAsia" w:ascii="仿宋" w:hAnsi="仿宋" w:eastAsia="仿宋" w:cs="仿宋"/>
          <w:bCs/>
          <w:kern w:val="0"/>
          <w:sz w:val="32"/>
          <w:szCs w:val="32"/>
          <w:lang w:val="en-US" w:eastAsia="zh-CN"/>
        </w:rPr>
        <w:t>22</w:t>
      </w:r>
      <w:r>
        <w:rPr>
          <w:rFonts w:hint="eastAsia" w:ascii="仿宋" w:hAnsi="仿宋" w:eastAsia="仿宋" w:cs="仿宋"/>
          <w:bCs/>
          <w:kern w:val="0"/>
          <w:sz w:val="32"/>
          <w:szCs w:val="32"/>
          <w:lang w:eastAsia="zh-CN"/>
        </w:rPr>
        <w:t>会议，人数</w:t>
      </w:r>
      <w:r>
        <w:rPr>
          <w:rFonts w:hint="eastAsia" w:ascii="仿宋" w:hAnsi="仿宋" w:eastAsia="仿宋" w:cs="仿宋"/>
          <w:bCs/>
          <w:kern w:val="0"/>
          <w:sz w:val="32"/>
          <w:szCs w:val="32"/>
          <w:lang w:val="en-US" w:eastAsia="zh-CN"/>
        </w:rPr>
        <w:t>1300</w:t>
      </w:r>
      <w:r>
        <w:rPr>
          <w:rFonts w:hint="eastAsia" w:ascii="仿宋" w:hAnsi="仿宋" w:eastAsia="仿宋" w:cs="仿宋"/>
          <w:bCs/>
          <w:kern w:val="0"/>
          <w:sz w:val="32"/>
          <w:szCs w:val="32"/>
          <w:lang w:eastAsia="zh-CN"/>
        </w:rPr>
        <w:t>人，内容为全县孕前优生例会、两癌启动会等；培训费预算</w:t>
      </w:r>
      <w:r>
        <w:rPr>
          <w:rFonts w:hint="eastAsia" w:ascii="仿宋" w:hAnsi="仿宋" w:eastAsia="仿宋" w:cs="仿宋"/>
          <w:bCs/>
          <w:kern w:val="0"/>
          <w:sz w:val="32"/>
          <w:szCs w:val="32"/>
          <w:lang w:val="en-US" w:eastAsia="zh-CN"/>
        </w:rPr>
        <w:t>15</w:t>
      </w:r>
      <w:r>
        <w:rPr>
          <w:rFonts w:hint="eastAsia" w:ascii="仿宋" w:hAnsi="仿宋" w:eastAsia="仿宋" w:cs="仿宋"/>
          <w:bCs/>
          <w:kern w:val="0"/>
          <w:sz w:val="32"/>
          <w:szCs w:val="32"/>
          <w:lang w:eastAsia="zh-CN"/>
        </w:rPr>
        <w:t>万元，拟开展</w:t>
      </w:r>
      <w:r>
        <w:rPr>
          <w:rFonts w:hint="eastAsia" w:ascii="仿宋" w:hAnsi="仿宋" w:eastAsia="仿宋" w:cs="仿宋"/>
          <w:bCs/>
          <w:kern w:val="0"/>
          <w:sz w:val="32"/>
          <w:szCs w:val="32"/>
          <w:lang w:val="en-US" w:eastAsia="zh-CN"/>
        </w:rPr>
        <w:t>20</w:t>
      </w:r>
      <w:r>
        <w:rPr>
          <w:rFonts w:hint="eastAsia" w:ascii="仿宋" w:hAnsi="仿宋" w:eastAsia="仿宋" w:cs="仿宋"/>
          <w:bCs/>
          <w:kern w:val="0"/>
          <w:sz w:val="32"/>
          <w:szCs w:val="32"/>
          <w:lang w:eastAsia="zh-CN"/>
        </w:rPr>
        <w:t>培训，人数</w:t>
      </w:r>
      <w:r>
        <w:rPr>
          <w:rFonts w:hint="eastAsia" w:ascii="仿宋" w:hAnsi="仿宋" w:eastAsia="仿宋" w:cs="仿宋"/>
          <w:bCs/>
          <w:kern w:val="0"/>
          <w:sz w:val="32"/>
          <w:szCs w:val="32"/>
          <w:lang w:val="en-US" w:eastAsia="zh-CN"/>
        </w:rPr>
        <w:t>3750</w:t>
      </w:r>
      <w:r>
        <w:rPr>
          <w:rFonts w:hint="eastAsia" w:ascii="仿宋" w:hAnsi="仿宋" w:eastAsia="仿宋" w:cs="仿宋"/>
          <w:bCs/>
          <w:kern w:val="0"/>
          <w:sz w:val="32"/>
          <w:szCs w:val="32"/>
          <w:lang w:eastAsia="zh-CN"/>
        </w:rPr>
        <w:t>人，内容为孕前优生专干会、两癌检查培训会、孕妇学校培训会等；拟举办</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等节庆、晚会、论坛、赛事活动，经费预算</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万元，因为此些活动都在工会开展。</w:t>
      </w:r>
    </w:p>
    <w:p>
      <w:pPr>
        <w:widowControl/>
        <w:spacing w:line="600" w:lineRule="exact"/>
        <w:ind w:firstLine="636" w:firstLineChars="200"/>
        <w:jc w:val="left"/>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（四）政府采购情况：</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 xml:space="preserve">年本部门政府采购预算总额   </w:t>
      </w:r>
      <w:r>
        <w:rPr>
          <w:rFonts w:hint="eastAsia" w:ascii="仿宋" w:hAnsi="仿宋" w:eastAsia="仿宋" w:cs="仿宋"/>
          <w:bCs/>
          <w:kern w:val="0"/>
          <w:sz w:val="32"/>
          <w:szCs w:val="32"/>
          <w:lang w:val="en-US" w:eastAsia="zh-CN"/>
        </w:rPr>
        <w:t>2172</w:t>
      </w:r>
      <w:r>
        <w:rPr>
          <w:rFonts w:hint="eastAsia" w:ascii="仿宋" w:hAnsi="仿宋" w:eastAsia="仿宋" w:cs="仿宋"/>
          <w:bCs/>
          <w:kern w:val="0"/>
          <w:sz w:val="32"/>
          <w:szCs w:val="32"/>
          <w:lang w:eastAsia="zh-CN"/>
        </w:rPr>
        <w:t>万元，其中，货物类采购预算</w:t>
      </w:r>
      <w:r>
        <w:rPr>
          <w:rFonts w:hint="eastAsia" w:ascii="仿宋" w:hAnsi="仿宋" w:eastAsia="仿宋" w:cs="仿宋"/>
          <w:bCs/>
          <w:kern w:val="0"/>
          <w:sz w:val="32"/>
          <w:szCs w:val="32"/>
          <w:lang w:val="en-US" w:eastAsia="zh-CN"/>
        </w:rPr>
        <w:t>1864</w:t>
      </w:r>
      <w:r>
        <w:rPr>
          <w:rFonts w:hint="eastAsia" w:ascii="仿宋" w:hAnsi="仿宋" w:eastAsia="仿宋" w:cs="仿宋"/>
          <w:bCs/>
          <w:kern w:val="0"/>
          <w:sz w:val="32"/>
          <w:szCs w:val="32"/>
          <w:lang w:eastAsia="zh-CN"/>
        </w:rPr>
        <w:t>万元；工程类采购预算</w:t>
      </w:r>
      <w:r>
        <w:rPr>
          <w:rFonts w:hint="eastAsia" w:ascii="仿宋" w:hAnsi="仿宋" w:eastAsia="仿宋" w:cs="仿宋"/>
          <w:bCs/>
          <w:kern w:val="0"/>
          <w:sz w:val="32"/>
          <w:szCs w:val="32"/>
          <w:lang w:val="en-US" w:eastAsia="zh-CN"/>
        </w:rPr>
        <w:t>135</w:t>
      </w:r>
      <w:r>
        <w:rPr>
          <w:rFonts w:hint="eastAsia" w:ascii="仿宋" w:hAnsi="仿宋" w:eastAsia="仿宋" w:cs="仿宋"/>
          <w:bCs/>
          <w:kern w:val="0"/>
          <w:sz w:val="32"/>
          <w:szCs w:val="32"/>
          <w:lang w:eastAsia="zh-CN"/>
        </w:rPr>
        <w:t>万元；服务类采购预算</w:t>
      </w:r>
      <w:r>
        <w:rPr>
          <w:rFonts w:hint="eastAsia" w:ascii="仿宋" w:hAnsi="仿宋" w:eastAsia="仿宋" w:cs="仿宋"/>
          <w:bCs/>
          <w:kern w:val="0"/>
          <w:sz w:val="32"/>
          <w:szCs w:val="32"/>
          <w:lang w:val="en-US" w:eastAsia="zh-CN"/>
        </w:rPr>
        <w:t>173</w:t>
      </w:r>
      <w:r>
        <w:rPr>
          <w:rFonts w:hint="eastAsia" w:ascii="仿宋" w:hAnsi="仿宋" w:eastAsia="仿宋" w:cs="仿宋"/>
          <w:bCs/>
          <w:kern w:val="0"/>
          <w:sz w:val="32"/>
          <w:szCs w:val="32"/>
          <w:lang w:eastAsia="zh-CN"/>
        </w:rPr>
        <w:t>万元。</w:t>
      </w:r>
    </w:p>
    <w:p>
      <w:pPr>
        <w:widowControl/>
        <w:spacing w:line="600" w:lineRule="exact"/>
        <w:ind w:firstLine="636" w:firstLineChars="200"/>
        <w:jc w:val="left"/>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（五）国有资产占用使用及新增资产配置情况：截至202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lang w:eastAsia="zh-CN"/>
        </w:rPr>
        <w:t>年12月底，本部门共有公务用车</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lang w:eastAsia="zh-CN"/>
        </w:rPr>
        <w:t>辆，其中，机要通信用车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 xml:space="preserve"> 辆，应急保障用车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辆，执法执勤用车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辆，特种专业技术用车</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lang w:eastAsia="zh-CN"/>
        </w:rPr>
        <w:t>辆，其他按照规定配备的公务用车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辆；单位价值50万元以上通用设备</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lang w:eastAsia="zh-CN"/>
        </w:rPr>
        <w:t>台，单位价值100万元以上专用设备</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lang w:eastAsia="zh-CN"/>
        </w:rPr>
        <w:t>台。</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年拟新增配置公务用车</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lang w:eastAsia="zh-CN"/>
        </w:rPr>
        <w:t>辆，其中，机要通信用车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辆，应急保障用车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辆，执法执勤用车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辆，特种专业技术用车</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lang w:eastAsia="zh-CN"/>
        </w:rPr>
        <w:t>辆，其他按照规定配备的公务用车</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 xml:space="preserve">辆；新增配备单位价值50万元以上通用设备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台，单位价值100万元以上专用设备</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lang w:eastAsia="zh-CN"/>
        </w:rPr>
        <w:t>台。</w:t>
      </w:r>
    </w:p>
    <w:p>
      <w:pPr>
        <w:widowControl/>
        <w:spacing w:line="600" w:lineRule="exact"/>
        <w:ind w:firstLine="636" w:firstLineChars="200"/>
        <w:jc w:val="left"/>
        <w:rPr>
          <w:rFonts w:eastAsia="方正小标宋_GBK"/>
          <w:bCs/>
          <w:kern w:val="0"/>
          <w:sz w:val="36"/>
          <w:szCs w:val="36"/>
        </w:rPr>
      </w:pPr>
      <w:r>
        <w:rPr>
          <w:rFonts w:hint="eastAsia" w:ascii="仿宋" w:hAnsi="仿宋" w:eastAsia="仿宋" w:cs="仿宋"/>
          <w:bCs/>
          <w:kern w:val="0"/>
          <w:sz w:val="32"/>
          <w:szCs w:val="32"/>
          <w:lang w:eastAsia="zh-CN"/>
        </w:rPr>
        <w:t>（六）预算绩效目标说明：本部门所有支出实行绩效目标管理。纳入</w:t>
      </w:r>
      <w:r>
        <w:rPr>
          <w:rFonts w:hint="eastAsia" w:ascii="仿宋" w:hAnsi="仿宋" w:eastAsia="仿宋" w:cs="仿宋"/>
          <w:bCs/>
          <w:kern w:val="0"/>
          <w:sz w:val="32"/>
          <w:szCs w:val="32"/>
          <w:lang w:val="en-US" w:eastAsia="zh-CN"/>
        </w:rPr>
        <w:t>2022</w:t>
      </w:r>
      <w:r>
        <w:rPr>
          <w:rFonts w:hint="eastAsia" w:ascii="仿宋" w:hAnsi="仿宋" w:eastAsia="仿宋" w:cs="仿宋"/>
          <w:bCs/>
          <w:kern w:val="0"/>
          <w:sz w:val="32"/>
          <w:szCs w:val="32"/>
          <w:lang w:eastAsia="zh-CN"/>
        </w:rPr>
        <w:t xml:space="preserve">年部门整体支出绩效目标的金额为 </w:t>
      </w:r>
      <w:r>
        <w:rPr>
          <w:rFonts w:hint="eastAsia" w:ascii="仿宋" w:hAnsi="仿宋" w:eastAsia="仿宋" w:cs="仿宋"/>
          <w:bCs/>
          <w:kern w:val="0"/>
          <w:sz w:val="32"/>
          <w:szCs w:val="32"/>
          <w:lang w:val="en-US" w:eastAsia="zh-CN"/>
        </w:rPr>
        <w:t>695.52</w:t>
      </w:r>
      <w:r>
        <w:rPr>
          <w:rFonts w:hint="eastAsia" w:ascii="仿宋" w:hAnsi="仿宋" w:eastAsia="仿宋" w:cs="仿宋"/>
          <w:bCs/>
          <w:kern w:val="0"/>
          <w:sz w:val="32"/>
          <w:szCs w:val="32"/>
          <w:lang w:eastAsia="zh-CN"/>
        </w:rPr>
        <w:t>万元，其中，基本支出</w:t>
      </w:r>
      <w:r>
        <w:rPr>
          <w:rFonts w:hint="eastAsia" w:ascii="仿宋" w:hAnsi="仿宋" w:eastAsia="仿宋" w:cs="仿宋"/>
          <w:bCs/>
          <w:kern w:val="0"/>
          <w:sz w:val="32"/>
          <w:szCs w:val="32"/>
          <w:lang w:val="en-US" w:eastAsia="zh-CN"/>
        </w:rPr>
        <w:t>695.52</w:t>
      </w:r>
      <w:r>
        <w:rPr>
          <w:rFonts w:hint="eastAsia" w:ascii="仿宋" w:hAnsi="仿宋" w:eastAsia="仿宋" w:cs="仿宋"/>
          <w:bCs/>
          <w:kern w:val="0"/>
          <w:sz w:val="32"/>
          <w:szCs w:val="32"/>
          <w:lang w:eastAsia="zh-CN"/>
        </w:rPr>
        <w:t>万元，项目支出</w:t>
      </w:r>
      <w:r>
        <w:rPr>
          <w:rFonts w:hint="eastAsia" w:ascii="仿宋" w:hAnsi="仿宋" w:eastAsia="仿宋" w:cs="仿宋"/>
          <w:bCs/>
          <w:kern w:val="0"/>
          <w:sz w:val="32"/>
          <w:szCs w:val="32"/>
          <w:lang w:val="en-US" w:eastAsia="zh-CN"/>
        </w:rPr>
        <w:t>20</w:t>
      </w:r>
      <w:r>
        <w:rPr>
          <w:rFonts w:hint="eastAsia" w:ascii="仿宋" w:hAnsi="仿宋" w:eastAsia="仿宋" w:cs="仿宋"/>
          <w:bCs/>
          <w:kern w:val="0"/>
          <w:sz w:val="32"/>
          <w:szCs w:val="32"/>
          <w:lang w:eastAsia="zh-CN"/>
        </w:rPr>
        <w:t xml:space="preserve"> 万元，具体绩效目标详见报表。</w:t>
      </w:r>
    </w:p>
    <w:p>
      <w:pPr>
        <w:widowControl/>
        <w:spacing w:line="600" w:lineRule="exact"/>
        <w:ind w:firstLine="716" w:firstLineChars="200"/>
        <w:jc w:val="center"/>
        <w:rPr>
          <w:rFonts w:eastAsia="方正小标宋_GBK"/>
          <w:bCs/>
          <w:kern w:val="0"/>
          <w:sz w:val="36"/>
          <w:szCs w:val="36"/>
        </w:rPr>
      </w:pPr>
    </w:p>
    <w:p>
      <w:pPr>
        <w:widowControl/>
        <w:spacing w:line="600" w:lineRule="exact"/>
        <w:ind w:firstLine="660"/>
        <w:rPr>
          <w:rFonts w:eastAsia="黑体"/>
          <w:sz w:val="32"/>
          <w:szCs w:val="32"/>
        </w:rPr>
      </w:pPr>
      <w:r>
        <w:rPr>
          <w:rFonts w:eastAsia="黑体"/>
          <w:sz w:val="32"/>
          <w:szCs w:val="32"/>
        </w:rPr>
        <w:t>七、名词解释</w:t>
      </w: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eastAsia="仿宋_GB2312"/>
          <w:kern w:val="0"/>
          <w:sz w:val="32"/>
          <w:szCs w:val="32"/>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eastAsia="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eastAsia="仿宋_GB2312"/>
          <w:kern w:val="0"/>
          <w:sz w:val="32"/>
          <w:szCs w:val="32"/>
          <w:lang w:eastAsia="zh-CN"/>
        </w:rPr>
      </w:pPr>
    </w:p>
    <w:p>
      <w:pPr>
        <w:widowControl/>
        <w:spacing w:line="600" w:lineRule="exact"/>
        <w:jc w:val="both"/>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 2022年部门预算表</w:t>
      </w:r>
    </w:p>
    <w:p>
      <w:pPr>
        <w:widowControl/>
        <w:spacing w:line="600" w:lineRule="exact"/>
        <w:jc w:val="left"/>
        <w:rPr>
          <w:rFonts w:hint="eastAsia" w:eastAsia="仿宋_GB2312"/>
          <w:sz w:val="32"/>
          <w:szCs w:val="32"/>
        </w:rPr>
      </w:pPr>
    </w:p>
    <w:p>
      <w:pPr>
        <w:widowControl/>
        <w:spacing w:line="600" w:lineRule="exact"/>
        <w:jc w:val="left"/>
        <w:rPr>
          <w:rFonts w:eastAsia="仿宋_GB2312"/>
          <w:sz w:val="32"/>
          <w:szCs w:val="32"/>
        </w:rPr>
      </w:pPr>
      <w:r>
        <w:rPr>
          <w:rFonts w:hint="eastAsia" w:eastAsia="仿宋_GB2312"/>
          <w:sz w:val="32"/>
          <w:szCs w:val="32"/>
        </w:rPr>
        <w:t>附表： 岳阳县</w:t>
      </w:r>
      <w:r>
        <w:rPr>
          <w:rFonts w:hint="eastAsia" w:eastAsia="仿宋_GB2312"/>
          <w:sz w:val="32"/>
          <w:szCs w:val="32"/>
          <w:lang w:eastAsia="zh-CN"/>
        </w:rPr>
        <w:t>妇幼保健计划生育服务中心</w:t>
      </w:r>
      <w:r>
        <w:rPr>
          <w:rFonts w:hint="eastAsia" w:eastAsia="仿宋_GB2312"/>
          <w:sz w:val="32"/>
          <w:szCs w:val="32"/>
        </w:rPr>
        <w:t>部门预算公开表</w:t>
      </w:r>
    </w:p>
    <w:sectPr>
      <w:footerReference r:id="rId5" w:type="default"/>
      <w:footerReference r:id="rId6" w:type="even"/>
      <w:pgSz w:w="11907" w:h="16840"/>
      <w:pgMar w:top="1134" w:right="1797" w:bottom="1304" w:left="1797" w:header="851" w:footer="992" w:gutter="0"/>
      <w:cols w:space="720" w:num="1"/>
      <w:docGrid w:type="linesAndChars" w:linePitch="495" w:charSpace="-59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lau" w:date="2023-09-13T23:09:41Z" w:initials="">
    <w:p w14:paraId="666BFA53">
      <w:pPr>
        <w:pStyle w:val="3"/>
      </w:pPr>
      <w:r>
        <w:rPr>
          <w:rFonts w:hint="eastAsia"/>
          <w:lang w:val="en-US" w:eastAsia="zh-Hans"/>
        </w:rPr>
        <w:t>修改为</w:t>
      </w:r>
      <w:r>
        <w:rPr>
          <w:rFonts w:hint="default"/>
          <w:lang w:eastAsia="zh-Hans"/>
        </w:rPr>
        <w:t>：</w:t>
      </w:r>
      <w:r>
        <w:rPr>
          <w:rFonts w:hint="eastAsia"/>
        </w:rPr>
        <w:t>（六）预算绩效目标说明</w:t>
      </w:r>
    </w:p>
  </w:comment>
  <w:comment w:id="1" w:author="Blau" w:date="2023-09-13T18:35:05Z" w:initials="">
    <w:p w14:paraId="FFD73C67">
      <w:pPr>
        <w:widowControl/>
        <w:spacing w:line="600" w:lineRule="exact"/>
        <w:ind w:firstLine="640" w:firstLineChars="200"/>
        <w:jc w:val="left"/>
      </w:pPr>
      <w:r>
        <w:rPr>
          <w:rFonts w:hint="eastAsia" w:eastAsia="仿宋_GB2312"/>
          <w:sz w:val="32"/>
          <w:szCs w:val="32"/>
          <w:lang w:val="en-US" w:eastAsia="zh-Hans"/>
        </w:rPr>
        <w:t>增加</w:t>
      </w:r>
      <w:r>
        <w:rPr>
          <w:rFonts w:hint="default" w:eastAsia="仿宋_GB2312"/>
          <w:sz w:val="32"/>
          <w:szCs w:val="32"/>
          <w:lang w:eastAsia="zh-Hans"/>
        </w:rPr>
        <w:t>：</w:t>
      </w:r>
      <w:r>
        <w:rPr>
          <w:rFonts w:hint="default" w:eastAsia="仿宋_GB2312"/>
          <w:sz w:val="32"/>
          <w:szCs w:val="32"/>
        </w:rPr>
        <w:t>8、</w:t>
      </w:r>
      <w:r>
        <w:rPr>
          <w:rFonts w:hint="eastAsia" w:eastAsia="仿宋_GB2312"/>
          <w:sz w:val="32"/>
          <w:szCs w:val="32"/>
          <w:lang w:val="en-US" w:eastAsia="zh-Hans"/>
        </w:rPr>
        <w:t>一般公共预算基本支出表</w:t>
      </w:r>
    </w:p>
  </w:comment>
  <w:comment w:id="2" w:author="Blau" w:date="2023-09-13T18:36:27Z" w:initials="">
    <w:p w14:paraId="FFB7F280">
      <w:pPr>
        <w:pStyle w:val="3"/>
        <w:rPr>
          <w:rFonts w:hint="default" w:eastAsia="宋体"/>
          <w:lang w:val="en-US" w:eastAsia="zh-Hans"/>
        </w:rPr>
      </w:pPr>
      <w:r>
        <w:rPr>
          <w:rFonts w:hint="eastAsia"/>
          <w:lang w:val="en-US" w:eastAsia="zh-Hans"/>
        </w:rPr>
        <w:t>描述错误</w:t>
      </w:r>
      <w:r>
        <w:rPr>
          <w:rFonts w:hint="default"/>
          <w:lang w:eastAsia="zh-Hans"/>
        </w:rPr>
        <w:t>，</w:t>
      </w:r>
      <w:r>
        <w:rPr>
          <w:rFonts w:hint="eastAsia"/>
          <w:lang w:val="en-US" w:eastAsia="zh-Hans"/>
        </w:rPr>
        <w:t>请修改</w:t>
      </w:r>
    </w:p>
  </w:comment>
  <w:comment w:id="3" w:author="Blau" w:date="2023-09-13T18:36:37Z" w:initials="">
    <w:p w14:paraId="769571C8">
      <w:pPr>
        <w:pStyle w:val="3"/>
        <w:rPr>
          <w:rFonts w:hint="default" w:eastAsia="宋体"/>
          <w:lang w:val="en-US" w:eastAsia="zh-Hans"/>
        </w:rPr>
      </w:pPr>
      <w:r>
        <w:rPr>
          <w:rFonts w:hint="eastAsia"/>
          <w:lang w:val="en-US" w:eastAsia="zh-Hans"/>
        </w:rPr>
        <w:t>描述错误</w:t>
      </w:r>
      <w:r>
        <w:rPr>
          <w:rFonts w:hint="default"/>
          <w:lang w:eastAsia="zh-Hans"/>
        </w:rPr>
        <w:t>，</w:t>
      </w:r>
      <w:r>
        <w:rPr>
          <w:rFonts w:hint="eastAsia"/>
          <w:lang w:val="en-US" w:eastAsia="zh-Hans"/>
        </w:rPr>
        <w:t>请修改</w:t>
      </w:r>
    </w:p>
  </w:comment>
  <w:comment w:id="4" w:author="Blau" w:date="2023-09-13T23:10:29Z" w:initials="">
    <w:p w14:paraId="BFFB7262">
      <w:pPr>
        <w:pStyle w:val="3"/>
        <w:rPr>
          <w:rFonts w:hint="default"/>
          <w:lang w:eastAsia="zh-Hans"/>
        </w:rPr>
      </w:pPr>
      <w:r>
        <w:rPr>
          <w:rFonts w:hint="eastAsia"/>
          <w:lang w:val="en-US" w:eastAsia="zh-Hans"/>
        </w:rPr>
        <w:t>修改为</w:t>
      </w:r>
      <w:r>
        <w:rPr>
          <w:rFonts w:hint="default"/>
          <w:lang w:eastAsia="zh-Hans"/>
        </w:rPr>
        <w:t>：</w:t>
      </w:r>
    </w:p>
    <w:p w14:paraId="E4BCE7FD">
      <w:pPr>
        <w:pStyle w:val="3"/>
      </w:pPr>
      <w:bookmarkStart w:id="0" w:name="_GoBack"/>
      <w:bookmarkEnd w:id="0"/>
      <w:r>
        <w:rPr>
          <w:rFonts w:hint="eastAsia"/>
        </w:rPr>
        <w:t>2022年本部门政府性基金支出预算0万元，其中，科学技术支出0万元，占0%；文化旅游体育与传媒支出0万元，占0%</w:t>
      </w:r>
    </w:p>
  </w:comment>
  <w:comment w:id="5" w:author="Blau" w:date="2023-09-13T18:44:01Z" w:initials="">
    <w:p w14:paraId="FFBA1461">
      <w:pPr>
        <w:pStyle w:val="3"/>
        <w:rPr>
          <w:rFonts w:hint="default" w:eastAsia="宋体"/>
          <w:lang w:eastAsia="zh-Hans"/>
        </w:rPr>
      </w:pPr>
      <w:r>
        <w:rPr>
          <w:rFonts w:hint="eastAsia"/>
          <w:lang w:val="en-US" w:eastAsia="zh-Hans"/>
        </w:rPr>
        <w:t>表格中三公经费为空表</w:t>
      </w:r>
      <w:r>
        <w:rPr>
          <w:rFonts w:hint="default"/>
          <w:lang w:eastAsia="zh-Hans"/>
        </w:rPr>
        <w:t>，</w:t>
      </w:r>
      <w:r>
        <w:rPr>
          <w:rFonts w:hint="eastAsia"/>
          <w:lang w:val="en-US" w:eastAsia="zh-Hans"/>
        </w:rPr>
        <w:t>请修改该段文字内容</w:t>
      </w:r>
      <w:r>
        <w:rPr>
          <w:rFonts w:hint="default"/>
          <w:lang w:eastAsia="zh-Han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6BFA53" w15:done="0"/>
  <w15:commentEx w15:paraId="FFD73C67" w15:done="0"/>
  <w15:commentEx w15:paraId="FFB7F280" w15:done="0"/>
  <w15:commentEx w15:paraId="769571C8" w15:done="0"/>
  <w15:commentEx w15:paraId="E4BCE7FD" w15:done="0"/>
  <w15:commentEx w15:paraId="FFBA146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378B4"/>
    <w:multiLevelType w:val="multilevel"/>
    <w:tmpl w:val="07C378B4"/>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
    <w:nsid w:val="1185520E"/>
    <w:multiLevelType w:val="multilevel"/>
    <w:tmpl w:val="1185520E"/>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
    <w:nsid w:val="28021EF8"/>
    <w:multiLevelType w:val="multilevel"/>
    <w:tmpl w:val="28021EF8"/>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3">
    <w:nsid w:val="39F23F1A"/>
    <w:multiLevelType w:val="multilevel"/>
    <w:tmpl w:val="39F23F1A"/>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4">
    <w:nsid w:val="41B61A22"/>
    <w:multiLevelType w:val="multilevel"/>
    <w:tmpl w:val="41B61A22"/>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au">
    <w15:presenceInfo w15:providerId="WPS Office" w15:userId="423477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ZTcwZGExYzlhNzNkYjIzOWExNDIyNGRiMGY1YjkifQ=="/>
  </w:docVars>
  <w:rsids>
    <w:rsidRoot w:val="00F947F0"/>
    <w:rsid w:val="00001712"/>
    <w:rsid w:val="000153CF"/>
    <w:rsid w:val="000460C6"/>
    <w:rsid w:val="00053CAC"/>
    <w:rsid w:val="0005772A"/>
    <w:rsid w:val="00092386"/>
    <w:rsid w:val="00095420"/>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1568"/>
    <w:rsid w:val="001B2201"/>
    <w:rsid w:val="001B40A6"/>
    <w:rsid w:val="001D5D9C"/>
    <w:rsid w:val="00202517"/>
    <w:rsid w:val="00204DF7"/>
    <w:rsid w:val="00211A10"/>
    <w:rsid w:val="002375EE"/>
    <w:rsid w:val="002473FE"/>
    <w:rsid w:val="00256ED2"/>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35734"/>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B4755"/>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2CC3"/>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53BFE"/>
    <w:rsid w:val="008606C3"/>
    <w:rsid w:val="008A1A21"/>
    <w:rsid w:val="008C150B"/>
    <w:rsid w:val="008D036A"/>
    <w:rsid w:val="008E64EB"/>
    <w:rsid w:val="008F4A7E"/>
    <w:rsid w:val="00915052"/>
    <w:rsid w:val="00915258"/>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A7FBD"/>
    <w:rsid w:val="00BC09F3"/>
    <w:rsid w:val="00BC19FC"/>
    <w:rsid w:val="00BC497E"/>
    <w:rsid w:val="00C06F22"/>
    <w:rsid w:val="00C10046"/>
    <w:rsid w:val="00C145C2"/>
    <w:rsid w:val="00C1788F"/>
    <w:rsid w:val="00C22FF2"/>
    <w:rsid w:val="00C2380B"/>
    <w:rsid w:val="00C31834"/>
    <w:rsid w:val="00C4194A"/>
    <w:rsid w:val="00C51028"/>
    <w:rsid w:val="00C56F1B"/>
    <w:rsid w:val="00C6274C"/>
    <w:rsid w:val="00C6306A"/>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DE5DA0"/>
    <w:rsid w:val="00E02D16"/>
    <w:rsid w:val="00E21E42"/>
    <w:rsid w:val="00E31169"/>
    <w:rsid w:val="00E3772E"/>
    <w:rsid w:val="00E37F88"/>
    <w:rsid w:val="00E4277D"/>
    <w:rsid w:val="00E43455"/>
    <w:rsid w:val="00E53026"/>
    <w:rsid w:val="00E605C0"/>
    <w:rsid w:val="00E7072E"/>
    <w:rsid w:val="00E97AE6"/>
    <w:rsid w:val="00EA4B43"/>
    <w:rsid w:val="00EC483F"/>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34F46D6"/>
    <w:rsid w:val="09D5591E"/>
    <w:rsid w:val="0AB02DEE"/>
    <w:rsid w:val="10F66AD9"/>
    <w:rsid w:val="1307310A"/>
    <w:rsid w:val="206170B5"/>
    <w:rsid w:val="20944222"/>
    <w:rsid w:val="26A11866"/>
    <w:rsid w:val="295A6E90"/>
    <w:rsid w:val="29FA689B"/>
    <w:rsid w:val="2A3A1A3E"/>
    <w:rsid w:val="2D860546"/>
    <w:rsid w:val="2E966806"/>
    <w:rsid w:val="31C24B24"/>
    <w:rsid w:val="3C7324DC"/>
    <w:rsid w:val="3F7D08D2"/>
    <w:rsid w:val="4055331D"/>
    <w:rsid w:val="43506FF2"/>
    <w:rsid w:val="45F91AAA"/>
    <w:rsid w:val="4EE22343"/>
    <w:rsid w:val="51F5181F"/>
    <w:rsid w:val="5C5B5A07"/>
    <w:rsid w:val="5D5E05DE"/>
    <w:rsid w:val="631E3D17"/>
    <w:rsid w:val="647D7502"/>
    <w:rsid w:val="6AAF2463"/>
    <w:rsid w:val="6F103A37"/>
    <w:rsid w:val="77F4039A"/>
    <w:rsid w:val="78240EF3"/>
    <w:rsid w:val="79EA058F"/>
    <w:rsid w:val="7C3A2FC3"/>
    <w:rsid w:val="FDEF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qFormat/>
    <w:uiPriority w:val="0"/>
    <w:pPr>
      <w:jc w:val="left"/>
    </w:pPr>
  </w:style>
  <w:style w:type="paragraph" w:styleId="4">
    <w:name w:val="Body Text Indent"/>
    <w:basedOn w:val="1"/>
    <w:qFormat/>
    <w:uiPriority w:val="0"/>
    <w:pPr>
      <w:ind w:firstLine="634"/>
    </w:pPr>
    <w:rPr>
      <w:rFonts w:eastAsia="仿宋_GB231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character" w:customStyle="1" w:styleId="14">
    <w:name w:val="批注框文本 字符"/>
    <w:link w:val="5"/>
    <w:qFormat/>
    <w:uiPriority w:val="0"/>
    <w:rPr>
      <w:kern w:val="2"/>
      <w:sz w:val="18"/>
      <w:szCs w:val="18"/>
    </w:rPr>
  </w:style>
  <w:style w:type="paragraph" w:customStyle="1" w:styleId="15">
    <w:name w:val="Char Char 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2494</Words>
  <Characters>2707</Characters>
  <Lines>23</Lines>
  <Paragraphs>6</Paragraphs>
  <TotalTime>1</TotalTime>
  <ScaleCrop>false</ScaleCrop>
  <LinksUpToDate>false</LinksUpToDate>
  <CharactersWithSpaces>2735</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2022-04-11T17:19:00Z</dcterms:created>
  <dc:creator>朱娜</dc:creator>
  <cp:lastModifiedBy>Blau</cp:lastModifiedBy>
  <cp:lastPrinted>2022-04-11T16:52:00Z</cp:lastPrinted>
  <dcterms:modified xsi:type="dcterms:W3CDTF">2023-09-13T23:10:39Z</dcterms:modified>
  <dc:title>湖南省财政厅处室便函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3C56685CA79FB866439401655F6AA1A7_43</vt:lpwstr>
  </property>
</Properties>
</file>