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485F4"/>
          <w:spacing w:val="0"/>
          <w:sz w:val="45"/>
          <w:szCs w:val="45"/>
        </w:rPr>
      </w:pPr>
      <w:r>
        <w:rPr>
          <w:rFonts w:hint="eastAsia" w:ascii="微软雅黑" w:hAnsi="微软雅黑" w:eastAsia="微软雅黑" w:cs="微软雅黑"/>
          <w:i w:val="0"/>
          <w:iCs w:val="0"/>
          <w:caps w:val="0"/>
          <w:color w:val="0485F4"/>
          <w:spacing w:val="0"/>
          <w:kern w:val="0"/>
          <w:sz w:val="45"/>
          <w:szCs w:val="45"/>
          <w:bdr w:val="none" w:color="auto" w:sz="0" w:space="0"/>
          <w:lang w:val="en-US" w:eastAsia="zh-CN" w:bidi="ar"/>
        </w:rPr>
        <w:t>岳阳县应急管理局2021年度部门整体支出绩效评价自评报告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部门(单位)名称：岳阳县应急管理局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预算编码：yyx099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评价方式：部门（单位）绩效自评</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评价机构：部门（单位）评价组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报告日期：2022年7月1日</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093"/>
        <w:gridCol w:w="155"/>
        <w:gridCol w:w="36"/>
        <w:gridCol w:w="968"/>
        <w:gridCol w:w="210"/>
        <w:gridCol w:w="917"/>
        <w:gridCol w:w="270"/>
        <w:gridCol w:w="645"/>
        <w:gridCol w:w="1157"/>
        <w:gridCol w:w="227"/>
        <w:gridCol w:w="151"/>
        <w:gridCol w:w="705"/>
        <w:gridCol w:w="685"/>
        <w:gridCol w:w="124"/>
        <w:gridCol w:w="100"/>
        <w:gridCol w:w="87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联系人</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熊君</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联络电话</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07307627072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人员编制</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41</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实有人数</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职能职责概述</w:t>
            </w:r>
          </w:p>
        </w:tc>
        <w:tc>
          <w:tcPr>
            <w:tcW w:w="8280" w:type="dxa"/>
            <w:gridSpan w:val="1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负责工矿、商贸、烟花爆竹、危险化学品等安全生产综合监督管理工作。2.负责应急管理、安全生产宣传教育和培训工作，指导应急预案体系建设，组织开展预案演练，推动应急避难设施建设。3.组织和指导乡镇（街道）、县级部门应对安全生产类、自然灾害类等突发事件和综合防灾减灾救灾工作；负责消防、森林火灾扑救、抗洪抢险、地震和地质灾害救援、安全生产事故救援等专业应急救援力量建设。4.组织开展安全生产巡查、考核工作，依法组织安全生产事故调查处理、事故查处和责任追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工作内容</w:t>
            </w:r>
          </w:p>
        </w:tc>
        <w:tc>
          <w:tcPr>
            <w:tcW w:w="8280" w:type="dxa"/>
            <w:gridSpan w:val="1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目标1：开展执法检查和安全生产工作督查，及时查处各类事故；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目标2：开展烟花爆竹、危险化学品、职业卫生专项整治，严厉打击非法违法建设生产经营行为；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目标3：及时排查事故隐患，对重大隐患实行挂牌督办，确保隐患整改率达100%；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目标4：组织指导乡镇、县级部门积极应对各类突发事件，加强应急救援队伍建设；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目标5：组织开展应急救援综合演练不少于一次，督促企业编制事故应急预案并开展应急演练；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目标6：全县各类生产经营性安全事故指标在市政府控制指标范围内。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年度部门（单位）总体运行情况及取得的成绩</w:t>
            </w:r>
          </w:p>
        </w:tc>
        <w:tc>
          <w:tcPr>
            <w:tcW w:w="8280" w:type="dxa"/>
            <w:gridSpan w:val="1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全年共投入资金36989781.78元，加大了安全生产投入，确保了各类生产经营性安全事故指标在市政府控制指标范围内；2.认真开展执法检查，全年罚没收入65万元；3.组织开展了十余次大型应急演练；4.积极开展救灾备险，确保救灾物资、资金及时足额发放到位；5.加大应急管理和安全生产宣传教育，提高全民安全生产、防灾减灾救灾意识。6.荣获省委、省政府“2021年度安全生产和消防工作优秀单位”称号，在县绩效考评中被评为“综合优秀单位”和“平安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收入合计</w:t>
            </w:r>
          </w:p>
        </w:tc>
        <w:tc>
          <w:tcPr>
            <w:tcW w:w="7170" w:type="dxa"/>
            <w:gridSpan w:val="1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上年结转</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公共财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政拨款</w:t>
            </w:r>
          </w:p>
        </w:tc>
        <w:tc>
          <w:tcPr>
            <w:tcW w:w="177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政府基金拨款</w:t>
            </w:r>
          </w:p>
        </w:tc>
        <w:tc>
          <w:tcPr>
            <w:tcW w:w="17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纳入专户管理的非税收入拨款</w:t>
            </w: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3828.05</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1889.36</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1930.73</w:t>
            </w:r>
          </w:p>
        </w:tc>
        <w:tc>
          <w:tcPr>
            <w:tcW w:w="177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7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7.96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3828.05</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1889.36</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1930.73</w:t>
            </w:r>
          </w:p>
        </w:tc>
        <w:tc>
          <w:tcPr>
            <w:tcW w:w="177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7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7.96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77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7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支出合计</w:t>
            </w:r>
          </w:p>
        </w:tc>
        <w:tc>
          <w:tcPr>
            <w:tcW w:w="5085" w:type="dxa"/>
            <w:gridSpan w:val="8"/>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20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基本支出</w:t>
            </w:r>
          </w:p>
        </w:tc>
        <w:tc>
          <w:tcPr>
            <w:tcW w:w="24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项目支出</w:t>
            </w:r>
          </w:p>
        </w:tc>
        <w:tc>
          <w:tcPr>
            <w:tcW w:w="10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当年结余</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人员支出</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公用支出</w:t>
            </w: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3698.98</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670.71</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444.65</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226.06</w:t>
            </w: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3028.27</w:t>
            </w:r>
          </w:p>
        </w:tc>
        <w:tc>
          <w:tcPr>
            <w:tcW w:w="10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129.07</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3698.98</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670.71</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444.65</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226.06</w:t>
            </w: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3028.27</w:t>
            </w:r>
          </w:p>
        </w:tc>
        <w:tc>
          <w:tcPr>
            <w:tcW w:w="10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129.07</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26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合计</w:t>
            </w:r>
          </w:p>
        </w:tc>
        <w:tc>
          <w:tcPr>
            <w:tcW w:w="7170" w:type="dxa"/>
            <w:gridSpan w:val="1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公务接待费</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公务用车运维费</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公务用车购置费</w:t>
            </w:r>
          </w:p>
        </w:tc>
        <w:tc>
          <w:tcPr>
            <w:tcW w:w="334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4.51</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4.51</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34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4.51</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4.51</w:t>
            </w: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34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99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34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合计</w:t>
            </w:r>
          </w:p>
        </w:tc>
        <w:tc>
          <w:tcPr>
            <w:tcW w:w="6045" w:type="dxa"/>
            <w:gridSpan w:val="10"/>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112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340"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在用固定资产</w:t>
            </w:r>
          </w:p>
        </w:tc>
        <w:tc>
          <w:tcPr>
            <w:tcW w:w="370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出租固定资产</w:t>
            </w:r>
          </w:p>
        </w:tc>
        <w:tc>
          <w:tcPr>
            <w:tcW w:w="112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337.1</w:t>
            </w:r>
          </w:p>
        </w:tc>
        <w:tc>
          <w:tcPr>
            <w:tcW w:w="2340"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337.1</w:t>
            </w:r>
          </w:p>
        </w:tc>
        <w:tc>
          <w:tcPr>
            <w:tcW w:w="370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12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337.1</w:t>
            </w:r>
          </w:p>
        </w:tc>
        <w:tc>
          <w:tcPr>
            <w:tcW w:w="2340"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337.1</w:t>
            </w:r>
          </w:p>
        </w:tc>
        <w:tc>
          <w:tcPr>
            <w:tcW w:w="370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12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340"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70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12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整体支出绩效定性目标及实施计划完成情况</w:t>
            </w:r>
          </w:p>
        </w:tc>
        <w:tc>
          <w:tcPr>
            <w:tcW w:w="367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预期目标</w:t>
            </w:r>
          </w:p>
        </w:tc>
        <w:tc>
          <w:tcPr>
            <w:tcW w:w="4815" w:type="dxa"/>
            <w:gridSpan w:val="8"/>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675" w:type="dxa"/>
            <w:gridSpan w:val="7"/>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目标1：开展执法检查和安全生产工作督查，及时查处各类事故；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目标2：开展烟花爆竹、危险化学品、职业卫生专项整治，严厉打击非法违法建设生产经营行为；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目标3：及时排查事故隐患，对重大隐患实行挂牌督办，确保隐患整改率达100%；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目标4：组织指导乡镇、县级部门积极应对各类突发事件，加强应急救援队伍建设；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目标5：组织开展应急救援综合演练不少于二次，督促企业编制事故应急预案并开展应急演练；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目标6：全县各类生产经营性安全事故指标在市政府控制指标范围内。</w:t>
            </w:r>
          </w:p>
        </w:tc>
        <w:tc>
          <w:tcPr>
            <w:tcW w:w="4815" w:type="dxa"/>
            <w:gridSpan w:val="8"/>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  全年共投入资金3698.98万元，加大了安全生产投入，确保了生产安全事故指标在市级下达的指标范围内；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  认真开展执法检查，全年罚没收入78.81万元；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  组织开展了十余次大型应急演练；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4.积极开展救灾备险，确保救灾物资、资金及时足额发放到位；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5.加大应急管理和安全生产宣传教育，提高全民安全生产、防灾减灾救灾意识；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6.荣获省委、省政府“2021年度安全生产和消防工作优秀单位”称号，在县绩效考评中被评为“综合优秀单位”和“平安单位”。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绩效定量目标及实施计划完成情况</w:t>
            </w:r>
          </w:p>
        </w:tc>
        <w:tc>
          <w:tcPr>
            <w:tcW w:w="295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评价内容</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绩效目标</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产出目标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（部门工作实绩，包含上级部门和市委市政府布置的重点工作、实事任务等，根据部门实际进行调整细化）</w:t>
            </w: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质量指标</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指标1：全县安全生产形势稳定，无重大安全事故</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指标2：全县各类生产经营性安全事故指标控制在市政府控制指标范围内</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数量指标</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指标1：安全生产教育培训2次</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时效指标</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指标1：全年严控事故</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成本指标</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指标1：投入经费658.29万</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实际投入3698.98万元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（预期实现的效益）</w:t>
            </w: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社会效益</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指标1：指导全县应对突发事件工作，加强安全监管，确保人民群众生命安全</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效果明显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经济效益</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指标1：行政处罚65万元；</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实际完成78.81万元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生态效益</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指标1：应对突发事件处置，积极做好防灾减灾，打击非法违法行为，确保安全稳定</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效果明显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4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社会公众或服务对象满意度</w:t>
            </w:r>
          </w:p>
        </w:tc>
        <w:tc>
          <w:tcPr>
            <w:tcW w:w="268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指标1：社会公众比较满意</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297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绩效自评综合得分</w:t>
            </w:r>
          </w:p>
        </w:tc>
        <w:tc>
          <w:tcPr>
            <w:tcW w:w="6960" w:type="dxa"/>
            <w:gridSpan w:val="11"/>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97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评价等次</w:t>
            </w:r>
          </w:p>
        </w:tc>
        <w:tc>
          <w:tcPr>
            <w:tcW w:w="6960" w:type="dxa"/>
            <w:gridSpan w:val="11"/>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姓  名</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职务/职称</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单  位</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黄岳华</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副局长</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岳阳县应急管理局</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杨柏松</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副局长</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岳阳县应急管理局</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熊　君</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计财股长</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岳阳县应急管理局</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刘　双</w:t>
            </w:r>
          </w:p>
        </w:tc>
        <w:tc>
          <w:tcPr>
            <w:tcW w:w="34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出纳</w:t>
            </w:r>
          </w:p>
        </w:tc>
        <w:tc>
          <w:tcPr>
            <w:tcW w:w="196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岳阳县应急管理局</w:t>
            </w:r>
          </w:p>
        </w:tc>
        <w:tc>
          <w:tcPr>
            <w:tcW w:w="285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930" w:type="dxa"/>
            <w:gridSpan w:val="1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0" w:hRule="atLeast"/>
        </w:trPr>
        <w:tc>
          <w:tcPr>
            <w:tcW w:w="14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2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3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7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填报人（签名）：熊君              联系电话：07307627072</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831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555" w:type="dxa"/>
            <w:tcBorders>
              <w:top w:val="outset" w:color="000000" w:sz="6" w:space="0"/>
              <w:left w:val="outset" w:color="000000" w:sz="6" w:space="0"/>
              <w:bottom w:val="outset" w:color="000000" w:sz="6" w:space="0"/>
              <w:right w:val="outset" w:color="000000" w:sz="6" w:space="0"/>
            </w:tcBorders>
            <w:shd w:val="clear"/>
            <w:tcMar>
              <w:top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五、评价报告综述（文字部分）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一、部门（单位）概况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（一）负责应急管理工作，指导全县各乡镇各部门应对安全生产类、自然灾害类等突发事件和综合防灾减灾救灾工作。负责安全生产综合监督管理和工矿商贸行业安全生产监督管理工作。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（二）贯彻实施相关法律法规、部门规章、规程和标准，组织编制全县应急体系建设、安全生产和综合防灾减灾规划，组织拟订相关规范性文件并监督实施。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指导应急预案体系建设，建立完善事故灾难和自然灾害分级应对制度，组织编制岳阳县总体应急预案和安全生产类、自然灾害类专项预案，综合协调应急预案衔接工作，组织开展预案演练，推动应急避难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（四）牵头推进全县统一的应急管理信息系统建设，负责信息传输渠道的规划和布局，建立监测预警和灾情报告制度，健全自然灾害信息资源获取和共享机制，依法统一发布灾情。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（五）组织指导协调安全生产类、自然灾害类等突发事件应急救援，承担县应对灾害指挥部工作，综合研判突发事件发展态势并提出应对建议，协助县委、县政府指定的负责同志组织灾害应急处置工作。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（六）统一协调指挥各类应急专业队伍，建立应急协调联动机制，推进指挥平台对接，负责做好解放军和武警部队参与应急救援相关衔接工作。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七）统筹全县应急救援力量建设，负责消防、森林和草原火灾扑救、抗洪抢险、地震和地质灾害救援、生产安全事故救援等专业应急救援力量建设，依权限做好综合性应急救援队伍建设的相关工作，指导社会应急救援力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（八）负责全县消防管理有关工作，指导消防监督、火灾预防、火灾扑救等工作。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（九）指导协调全县森林和草原火灾、水旱灾害、地震和地质灾害等防治工作，负责自然灾害综合监测预警工作，指导开展自然灾害综合风险评估工作。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（十）组织协调灾害救助工作，组织指导灾情核查、损失评估、救灾捐赠工作，按权限管理、分配中央、省、市下达和县级救灾款物并监督使用。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（十一）依法行使安全生产综合监督管理职权，指导协调、监督检查县政府有关部门和各乡镇政府安全生产工作，组织开展安全生产巡查、考核工作。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（十三）依法组织指导生产安全事故调查处理，监督事故查处和责任追究落实情况。组织开展自然灾害类突发事件的调查评估工作。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（十四）开展应急管理对外交流与合作，组织参与安全生产类、自然灾害类等突发事件的对外救援工作。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（十五）制定全县应急物资储备和应急救援装备规划并组织实施，会同县商务粮食局等部门建立健全应急物资信息平台和调拨制度，在救灾时统一调度。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（十六）负责应急管理、安全生产宣传教育和培训工作，组织指导应急管理、安全生产的科学技术研究、推广应用和信息化建设工作。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（十七）承担县防汛抗旱指挥部日常工作，协调县防汛抗旱指挥部成员单位的相关工作，组织执行国家、省、市防汛抗旱总指挥部、相关流域防汛抗旱指挥机构和县防汛抗旱指挥部的指示、命令。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（十八）完成县委、县政府交办的其他任务。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十九）职能转变。县应急局应加强、优化、统筹全县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我局共设10个内设机构：办公室、人事宣传教育股、规划财务股、行政审批股（政策法规股）、安全生产综合协调股、非煤矿山和烟花爆竹安全监督管理股、危险化学品安全监督管理股、工贸行业安全监督管理股、防灾减灾救灾和物资保障股、应急指挥中心，下设安全生产监管执法大队和安全生产应急救援指挥中心两个二级机构。全局在职在编干部40人，“三性”用工2人，退休人员3人。本单位二级机构均未实行独立核算，整体支出仅为机关本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二、部门（单位）整体支出管理及使用情况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2021年，总收入3828.05万元，其中公共财政拨款1930.73万元，纳入财政预算的非税收入78.81万元，上年结转1889.36万元，其他收入7.96万元。总支出3698.98万元，其中基本支出670.71万元，项目支出3028.27万元，结余129.07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是指为保障单位机构正常运转、完成日常工作任务而发生的各项支出，包括用于基本工资、津贴补贴等人员经费以及办公费、印刷费、水电费、办公设备购置等日常公用经费。2021年基本支出670.71万元，其中人员支出444.65万，公用支出226.06万元，“三公”经费共支出4.51万元，其中公务接待费4.51万元，比上年减少10.25万元，主要原因为进一步规范了机关财务管理制度，严控了公务接待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（二）专项支出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专项收入：2021年度我局共到位上级专项资金640万元，分别为湘财企指[2021]19号省级自然灾害生活补助资金100万元，湘财预[2021]313号冬春救助资金290万元；湘财企指[2021]67号2021年中央自然灾害救灾资金50万元；岳财建指[2021]59号生态保护支撑体系专项资金200万元；上年结转上级专项资金1774.5万元；2021年度本级安排项目资金220万元。专项支出：所有专项资金扣除需预留质保金外均按上级要求使用到位。实际项目支出3028.27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三、部门（单位）专项组织实施情况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项目资金在使用过程中严格落实自然灾害救灾资金管理办法和岳阳县自然灾害救灾资金财务管理制度，按照户申报、村评议、镇把关、县监管的申报审批程序执行。救灾资金实行专帐管理，做到了专款专用，无挤占、挪用、滞留等违规使用资金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今年来，全县共发生一般生产经营性道路交通事故14起，死亡15人；其他行业领域未发生生产安全事故，未发生自然灾害亡人事件；与去年同期相比，事故起数和死亡人数均有所下降。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强化统筹协调，推进专项整治。发挥统筹协调、督查督办、巡查考核职能，紧盯重点行业领域和重要时段，落实双重预防机制，强化监管执法，全力“打非治违”，严格落实停产整顿、上限处罚、关闭取缔、从严追责“四个一律”等执法措施和“行刑衔接”，强力推进安全生产专项整治三年行动。今年来，累计排查安全隐患6056处，整改5455处；开展督导检查9072余次，督导问题7404个;责令停产整顿企业94家，关闭取缔85家，约谈警示61家，联合惩戒8家，罚款259.6万元。打非治违方面：乡镇、部门专题研究解决“打非”重大、突出问题99个，开展联合执法1840次，发现非法违法行为1938起，立案调查511起，核实群众举报14起，兑现奖励0.95万元，责令停产整顿60起，取缔关闭300处，经济处罚242.08万元，司法移送12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盯牢直管行业，强化监管执法。围绕非煤矿山、烟花爆竹、危险化学品、工贸四大责任田，强化风险研判和隐患治理，采取计划执法、双随机执法、专项执法、交叉执法、联合执法等多种方式相结合，精细监管，靶向治理，铁腕打非。今年来，共检查直管行业企业238家，下达执法文书568份，排查治理重大隐患3处，立案查处安全生产非法违法行为98起，取缔烟花爆竹非法储存点5个、收缴并集中销毁烟花爆竹4412件，核查整改延期加油站28家，配合工信部门整治并拆除粗芳樟液生产企业21家，行政处罚78.81万元，司法移送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着力强基赋能，高效应急处突。推进乡、村应急能力建设，今年已有8个乡镇（办事处）经省厅审核达到乡镇（街道）应急能力建设标准；推进减灾示范社区创建，粤西社区成功挂牌国家级减灾示范社区；争取107万元项目资金，启动了县一中应急避难场所建设；投入327.96万元，完成了应急装备物资仓库项目建设；采购了195万元应急装备物资；启动应急指挥平台一期项目建设，配置了应急指挥大厅、设备机房、会商室及应急值班室，采购了2套应急指挥视频会议终端，开通了应急指挥专线，实现了中央、省、市、县四级应急指挥视频调度系统互联互通；开展了防汛抢险救援、森林防灭火等10余次大型应急演练，举办了一期防汛抢险专题训练；发布气象和灾害预警58次、应对指令4条；较好地处置了“3·8”交通事故、“5·30”槽罐车侧翻事件、“12·6”浅缘性地表震动事件、“12·10”混凝土公司火灾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查清风险底数，全力抗灾救灾。全面启动自然灾害综合风险普查，投入119万元签约三方专业机构开展应急系统风险普查并完成数据清查和上传，定期调度全县风险普查工作进度。加强预警监测，及时会商研判，定期排查险情，严防灾害发生，减轻灾害损失。在今年“4·27”“6·28”“8·25”洪涝灾害和“5·15”风雹灾害等灾害事件中，我们积极科学应对，精准核灾报灾，全力抗灾救灾，争取并下拨救灾资金440万元。同时加强救灾物资和资金管理发放，确保每笔资金、每件物资发放到灾民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五、存在的主要问题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一是财务监督管理机制还有待加强；二是财务工作者的业务能力有待进一步加强；三是加强专项资金管理。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六、改进措施和有关建议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一是进一步规范财务管理，节约开支，及时拨付资金，加强专项资金监管，提高资金使用效率；二是进一步完善财务制度，规范财经纪律，多组织财务人员开展业务培训，提高业务水平。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MWIzMjhhNjdlODdjOTY3YzY4NGViZTY2M2M4NDEifQ=="/>
  </w:docVars>
  <w:rsids>
    <w:rsidRoot w:val="00000000"/>
    <w:rsid w:val="5E24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2023-09-16T17:06:33Z</dcterms:created>
  <dc:creator>NINGMEI</dc:creator>
  <cp:lastModifiedBy>江巍</cp:lastModifiedBy>
  <dcterms:modified xsi:type="dcterms:W3CDTF">2023-09-16T17:07:03Z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7D78293AA85342838C1CA499E4668A35_12</vt:lpwstr>
  </property>
</Properties>
</file>