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sz w:val="32"/>
          <w:szCs w:val="32"/>
        </w:rPr>
      </w:pP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hint="eastAsia" w:eastAsia="方正小标宋简体"/>
          <w:bCs/>
          <w:sz w:val="46"/>
          <w:szCs w:val="46"/>
          <w:lang w:eastAsia="zh-CN"/>
        </w:rPr>
        <w:t>2021年</w:t>
      </w:r>
      <w:r>
        <w:rPr>
          <w:rFonts w:hint="eastAsia" w:eastAsia="方正小标宋简体"/>
          <w:bCs/>
          <w:sz w:val="46"/>
          <w:szCs w:val="46"/>
        </w:rPr>
        <w:t>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u w:val="single"/>
        </w:rPr>
        <w:t>岳阳县农村公路养护中心</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 xml:space="preserve">        </w:t>
      </w:r>
      <w:r>
        <w:rPr>
          <w:rFonts w:hint="eastAsia" w:eastAsia="仿宋_GB2312"/>
          <w:spacing w:val="20"/>
          <w:sz w:val="32"/>
          <w:szCs w:val="32"/>
          <w:u w:val="single"/>
        </w:rPr>
        <w:t>414008</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w:t>
      </w:r>
      <w:r>
        <w:rPr>
          <w:rFonts w:hint="eastAsia" w:eastAsia="仿宋_GB2312"/>
          <w:sz w:val="32"/>
        </w:rPr>
        <w:t>2</w:t>
      </w:r>
      <w:r>
        <w:rPr>
          <w:rFonts w:hint="eastAsia" w:eastAsia="仿宋_GB2312"/>
          <w:sz w:val="32"/>
          <w:lang w:val="en-US" w:eastAsia="zh-CN"/>
        </w:rPr>
        <w:t>2</w:t>
      </w:r>
      <w:r>
        <w:rPr>
          <w:rFonts w:hint="eastAsia" w:eastAsia="仿宋_GB2312"/>
          <w:sz w:val="32"/>
        </w:rPr>
        <w:t>年</w:t>
      </w:r>
      <w:r>
        <w:rPr>
          <w:rFonts w:eastAsia="仿宋_GB2312"/>
          <w:sz w:val="32"/>
        </w:rPr>
        <w:t>07</w:t>
      </w:r>
      <w:r>
        <w:rPr>
          <w:rFonts w:hint="eastAsia" w:eastAsia="仿宋_GB2312"/>
          <w:sz w:val="32"/>
        </w:rPr>
        <w:t>月</w:t>
      </w:r>
      <w:r>
        <w:rPr>
          <w:rFonts w:eastAsia="仿宋_GB2312"/>
          <w:sz w:val="32"/>
        </w:rPr>
        <w:t>12</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10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163"/>
        <w:gridCol w:w="63"/>
        <w:gridCol w:w="196"/>
        <w:gridCol w:w="1136"/>
        <w:gridCol w:w="468"/>
        <w:gridCol w:w="139"/>
        <w:gridCol w:w="45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吴丽华</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13974082882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743" w:type="dxa"/>
            <w:gridSpan w:val="15"/>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宣传贯彻《中华人民共和国公路法》，强化农村公路养护和管理工作；布置全县农村公路养护管理年度工作；筹集农村公路管理养护资金；负债全县农村公路和养护和管理。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743" w:type="dxa"/>
            <w:gridSpan w:val="15"/>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：加强农村公路养护工作，确保农村公路通畅</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：用好农村公路建设资金，做好农村危桥和农村道路维修</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：完成上级部门交办的其他工作</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743" w:type="dxa"/>
            <w:gridSpan w:val="15"/>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一、坚持党的领导，服从服务大局</w:t>
            </w:r>
            <w:r>
              <w:rPr>
                <w:rFonts w:ascii="仿宋_GB2312" w:hAnsi="仿宋_GB2312" w:eastAsia="仿宋_GB2312" w:cs="仿宋_GB2312"/>
                <w:color w:val="000000"/>
                <w:sz w:val="24"/>
              </w:rPr>
              <w:t>;</w:t>
            </w:r>
          </w:p>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二、全县农村公路养护水平不断提高</w:t>
            </w:r>
            <w:r>
              <w:rPr>
                <w:rFonts w:ascii="仿宋_GB2312" w:hAnsi="仿宋_GB2312" w:eastAsia="仿宋_GB2312" w:cs="仿宋_GB2312"/>
                <w:color w:val="000000"/>
                <w:sz w:val="24"/>
              </w:rPr>
              <w:t>;</w:t>
            </w:r>
          </w:p>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三、全县农村公路危桥改造和农村道路维修年度任务完满完成；</w:t>
            </w:r>
          </w:p>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四、强化自身建设，展示良好形象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vAlign w:val="center"/>
          </w:tcPr>
          <w:p>
            <w:pPr>
              <w:widowControl/>
              <w:jc w:val="left"/>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677"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7,158.22</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778.72</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1,716.83</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70.00</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77" w:type="dxa"/>
            <w:gridSpan w:val="3"/>
            <w:tcMar>
              <w:top w:w="0"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4,592.67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7,158.22</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778.72</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1,716.83</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70.00</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677" w:type="dxa"/>
            <w:gridSpan w:val="3"/>
            <w:tcMar>
              <w:top w:w="0" w:type="dxa"/>
              <w:left w:w="15" w:type="dxa"/>
              <w:bottom w:w="0" w:type="dxa"/>
              <w:right w:w="15" w:type="dxa"/>
            </w:tcMar>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sz w:val="22"/>
                <w:szCs w:val="22"/>
              </w:rPr>
              <w:t>4,592.67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97"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472"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21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722" w:type="dxa"/>
            <w:gridSpan w:val="4"/>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95" w:type="dxa"/>
            <w:gridSpan w:val="3"/>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065"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1080"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395" w:type="dxa"/>
            <w:gridSpan w:val="3"/>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65"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5,864.33</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500.83</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165.35</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val="0"/>
                <w:bCs w:val="0"/>
                <w:color w:val="000000"/>
                <w:sz w:val="24"/>
                <w:lang w:val="en-US" w:eastAsia="zh-CN"/>
              </w:rPr>
              <w:t>335.48</w:t>
            </w:r>
          </w:p>
        </w:tc>
        <w:tc>
          <w:tcPr>
            <w:tcW w:w="1395" w:type="dxa"/>
            <w:gridSpan w:val="3"/>
            <w:tcMar>
              <w:top w:w="0" w:type="dxa"/>
              <w:left w:w="15" w:type="dxa"/>
              <w:bottom w:w="0" w:type="dxa"/>
              <w:right w:w="15" w:type="dxa"/>
            </w:tcMar>
            <w:vAlign w:val="center"/>
          </w:tcPr>
          <w:p>
            <w:pPr>
              <w:widowControl/>
              <w:jc w:val="center"/>
              <w:textAlignment w:val="center"/>
              <w:rPr>
                <w:rFonts w:hint="default" w:ascii="宋体" w:hAnsi="宋体" w:eastAsia="宋体" w:cs="宋体"/>
                <w:b w:val="0"/>
                <w:bCs w:val="0"/>
                <w:color w:val="000000"/>
                <w:sz w:val="22"/>
                <w:szCs w:val="22"/>
                <w:lang w:val="en-US" w:eastAsia="zh-CN"/>
              </w:rPr>
            </w:pPr>
            <w:r>
              <w:rPr>
                <w:rFonts w:hint="eastAsia" w:ascii="宋体" w:hAnsi="宋体" w:cs="宋体"/>
                <w:b w:val="0"/>
                <w:bCs w:val="0"/>
                <w:color w:val="000000"/>
                <w:sz w:val="22"/>
                <w:szCs w:val="22"/>
              </w:rPr>
              <w:t>5,363.</w:t>
            </w:r>
            <w:r>
              <w:rPr>
                <w:rFonts w:hint="eastAsia" w:ascii="宋体" w:hAnsi="宋体" w:cs="宋体"/>
                <w:b w:val="0"/>
                <w:bCs w:val="0"/>
                <w:color w:val="000000"/>
                <w:sz w:val="22"/>
                <w:szCs w:val="22"/>
                <w:lang w:val="en-US" w:eastAsia="zh-CN"/>
              </w:rPr>
              <w:t>50</w:t>
            </w: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val="0"/>
                <w:bCs w:val="0"/>
                <w:color w:val="000000"/>
                <w:sz w:val="24"/>
                <w:lang w:val="en-US" w:eastAsia="zh-CN"/>
              </w:rPr>
              <w:t>515.17</w:t>
            </w: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1,293.89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rPr>
              <w:t>5,864.33</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500.83</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rPr>
              <w:t>165.35</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lang w:val="en-US" w:eastAsia="zh-CN"/>
              </w:rPr>
              <w:t>335.48</w:t>
            </w:r>
          </w:p>
        </w:tc>
        <w:tc>
          <w:tcPr>
            <w:tcW w:w="1395" w:type="dxa"/>
            <w:gridSpan w:val="3"/>
            <w:tcMar>
              <w:top w:w="0" w:type="dxa"/>
              <w:left w:w="15" w:type="dxa"/>
              <w:bottom w:w="0" w:type="dxa"/>
              <w:right w:w="15" w:type="dxa"/>
            </w:tcMar>
            <w:vAlign w:val="center"/>
          </w:tcPr>
          <w:p>
            <w:pPr>
              <w:widowControl/>
              <w:jc w:val="center"/>
              <w:textAlignment w:val="center"/>
              <w:rPr>
                <w:rFonts w:hint="default" w:ascii="宋体" w:hAnsi="宋体" w:eastAsia="宋体" w:cs="宋体"/>
                <w:b w:val="0"/>
                <w:bCs w:val="0"/>
                <w:color w:val="000000"/>
                <w:kern w:val="2"/>
                <w:sz w:val="22"/>
                <w:szCs w:val="22"/>
                <w:lang w:val="en-US" w:eastAsia="zh-CN" w:bidi="ar-SA"/>
              </w:rPr>
            </w:pPr>
            <w:r>
              <w:rPr>
                <w:rFonts w:hint="eastAsia" w:ascii="宋体" w:hAnsi="宋体" w:cs="宋体"/>
                <w:b w:val="0"/>
                <w:bCs w:val="0"/>
                <w:color w:val="000000"/>
                <w:sz w:val="22"/>
                <w:szCs w:val="22"/>
              </w:rPr>
              <w:t>5,363.</w:t>
            </w:r>
            <w:r>
              <w:rPr>
                <w:rFonts w:hint="eastAsia" w:ascii="宋体" w:hAnsi="宋体" w:cs="宋体"/>
                <w:b w:val="0"/>
                <w:bCs w:val="0"/>
                <w:color w:val="000000"/>
                <w:sz w:val="22"/>
                <w:szCs w:val="22"/>
                <w:lang w:val="en-US" w:eastAsia="zh-CN"/>
              </w:rPr>
              <w:t>50</w:t>
            </w: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lang w:val="en-US" w:eastAsia="zh-CN"/>
              </w:rPr>
              <w:t>515.17</w:t>
            </w: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rPr>
              <w:t>1,293.89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15.01</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1.95</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9.56</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15.01</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1.95</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3.5</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9.56</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38"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538" w:type="dxa"/>
            <w:gridSpan w:val="2"/>
            <w:vMerge w:val="continue"/>
            <w:tcBorders>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18</w:t>
            </w:r>
            <w:r>
              <w:rPr>
                <w:rFonts w:hint="eastAsia" w:ascii="仿宋_GB2312" w:hAnsi="仿宋_GB2312" w:eastAsia="仿宋_GB2312" w:cs="仿宋_GB2312"/>
                <w:color w:val="000000"/>
                <w:sz w:val="24"/>
                <w:lang w:val="en-US" w:eastAsia="zh-CN"/>
              </w:rPr>
              <w:t>5</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18</w:t>
            </w:r>
            <w:r>
              <w:rPr>
                <w:rFonts w:hint="eastAsia" w:ascii="仿宋_GB2312" w:hAnsi="仿宋_GB2312" w:eastAsia="仿宋_GB2312" w:cs="仿宋_GB2312"/>
                <w:color w:val="000000"/>
                <w:sz w:val="24"/>
                <w:lang w:val="en-US" w:eastAsia="zh-CN"/>
              </w:rPr>
              <w:t>5</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18</w:t>
            </w:r>
            <w:r>
              <w:rPr>
                <w:rFonts w:hint="eastAsia" w:ascii="仿宋_GB2312" w:hAnsi="仿宋_GB2312" w:eastAsia="仿宋_GB2312" w:cs="仿宋_GB2312"/>
                <w:color w:val="000000"/>
                <w:sz w:val="24"/>
                <w:lang w:val="en-US" w:eastAsia="zh-CN"/>
              </w:rPr>
              <w:t>5</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18</w:t>
            </w:r>
            <w:r>
              <w:rPr>
                <w:rFonts w:hint="eastAsia" w:ascii="仿宋_GB2312" w:hAnsi="仿宋_GB2312" w:eastAsia="仿宋_GB2312" w:cs="仿宋_GB2312"/>
                <w:color w:val="000000"/>
                <w:sz w:val="24"/>
                <w:lang w:val="en-US" w:eastAsia="zh-CN"/>
              </w:rPr>
              <w:t>5</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3774" w:type="dxa"/>
            <w:gridSpan w:val="7"/>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：加强农村公路养护工作，确保农村公路通畅</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：用好农村公路建设资金，做好农村危桥和农村道路维修</w:t>
            </w:r>
          </w:p>
          <w:p>
            <w:pPr>
              <w:autoSpaceDN w:val="0"/>
              <w:spacing w:line="400" w:lineRule="exact"/>
              <w:jc w:val="left"/>
              <w:textAlignment w:val="center"/>
              <w:rPr>
                <w:rFonts w:ascii="仿宋_GB2312" w:hAnsi="仿宋_GB2312" w:eastAsia="仿宋_GB2312" w:cs="仿宋_GB2312"/>
                <w:color w:val="000000"/>
                <w:sz w:val="24"/>
              </w:rPr>
            </w:pP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：完成上级部门交办的其他工作</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农村公路通畅水平</w:t>
            </w:r>
            <w:r>
              <w:rPr>
                <w:rFonts w:ascii="仿宋_GB2312" w:hAnsi="仿宋_GB2312" w:eastAsia="仿宋_GB2312" w:cs="仿宋_GB2312"/>
                <w:color w:val="000000"/>
                <w:sz w:val="24"/>
              </w:rPr>
              <w:t>100%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“三公经费”变动率≤</w:t>
            </w:r>
            <w:r>
              <w:rPr>
                <w:rFonts w:ascii="仿宋_GB2312" w:hAnsi="仿宋_GB2312" w:eastAsia="仿宋_GB2312" w:cs="仿宋_GB2312"/>
                <w:color w:val="000000"/>
                <w:sz w:val="24"/>
              </w:rPr>
              <w:t>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完成危桥改造6座以上</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w:t>
            </w:r>
            <w:r>
              <w:rPr>
                <w:rFonts w:hint="eastAsia" w:ascii="仿宋_GB2312" w:hAnsi="仿宋_GB2312" w:eastAsia="仿宋_GB2312" w:cs="仿宋_GB2312"/>
                <w:color w:val="000000"/>
                <w:sz w:val="24"/>
                <w:lang w:eastAsia="zh-CN"/>
              </w:rPr>
              <w:t>2021</w:t>
            </w:r>
            <w:r>
              <w:rPr>
                <w:rFonts w:hint="eastAsia" w:ascii="仿宋_GB2312" w:hAnsi="仿宋_GB2312" w:eastAsia="仿宋_GB2312" w:cs="仿宋_GB2312"/>
                <w:color w:val="000000"/>
                <w:sz w:val="24"/>
              </w:rPr>
              <w:t>财政年度内完成公路维修改造任务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已如期完成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全年财政整体支出</w:t>
            </w:r>
            <w:r>
              <w:rPr>
                <w:rFonts w:hint="eastAsia" w:ascii="仿宋_GB2312" w:hAnsi="仿宋_GB2312" w:eastAsia="仿宋_GB2312" w:cs="仿宋_GB2312"/>
                <w:b w:val="0"/>
                <w:bCs w:val="0"/>
                <w:color w:val="000000"/>
                <w:sz w:val="24"/>
              </w:rPr>
              <w:t>5,864.33</w:t>
            </w:r>
            <w:r>
              <w:rPr>
                <w:rFonts w:hint="eastAsia" w:ascii="仿宋_GB2312" w:hAnsi="仿宋_GB2312" w:eastAsia="仿宋_GB2312" w:cs="仿宋_GB2312"/>
                <w:color w:val="000000"/>
                <w:sz w:val="24"/>
              </w:rPr>
              <w:t>万元</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val="0"/>
                <w:color w:val="000000"/>
                <w:sz w:val="24"/>
              </w:rPr>
              <w:t>5,864.33</w:t>
            </w:r>
            <w:r>
              <w:rPr>
                <w:rFonts w:hint="eastAsia" w:ascii="仿宋_GB2312" w:hAnsi="仿宋_GB2312" w:eastAsia="仿宋_GB2312" w:cs="仿宋_GB2312"/>
                <w:color w:val="000000"/>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：提高全县人民公路出行感受</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：为全县创造了良好的招商引资环境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：社会公众或服务对象满意度</w:t>
            </w:r>
            <w:r>
              <w:rPr>
                <w:rFonts w:ascii="仿宋_GB2312" w:hAnsi="仿宋_GB2312" w:eastAsia="仿宋_GB2312" w:cs="仿宋_GB2312"/>
                <w:color w:val="000000"/>
                <w:sz w:val="24"/>
              </w:rPr>
              <w:t>95%</w:t>
            </w:r>
            <w:r>
              <w:rPr>
                <w:rFonts w:hint="eastAsia" w:ascii="仿宋_GB2312" w:hAnsi="仿宋_GB2312" w:eastAsia="仿宋_GB2312" w:cs="仿宋_GB2312"/>
                <w:color w:val="000000"/>
                <w:sz w:val="24"/>
              </w:rPr>
              <w:t>以上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社会公众或服务对象满意度</w:t>
            </w:r>
            <w:r>
              <w:rPr>
                <w:rFonts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97"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刘智海</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主任</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农村公路养护中心</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刘小正</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农村公路养护中心</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邹炳光</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农村公路养护中心</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bl>
    <w:p>
      <w:pPr>
        <w:rPr>
          <w:rFonts w:eastAsia="仿宋_GB2312" w:cs="仿宋_GB2312"/>
          <w:bCs/>
          <w:sz w:val="28"/>
          <w:szCs w:val="28"/>
        </w:rPr>
      </w:pPr>
      <w:r>
        <w:rPr>
          <w:rFonts w:hint="eastAsia" w:eastAsia="仿宋_GB2312" w:cs="仿宋_GB2312"/>
          <w:bCs/>
          <w:sz w:val="28"/>
          <w:szCs w:val="28"/>
        </w:rPr>
        <w:t>填报人（签名）：吴丽华</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ascii="仿宋_GB2312" w:hAnsi="仿宋_GB2312" w:eastAsia="仿宋_GB2312" w:cs="仿宋_GB2312"/>
          <w:color w:val="000000"/>
          <w:sz w:val="24"/>
        </w:rPr>
        <w:t>13974082882</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一、部门（单位）概况</w:t>
            </w:r>
          </w:p>
          <w:p>
            <w:pPr>
              <w:numPr>
                <w:ilvl w:val="0"/>
                <w:numId w:val="2"/>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部门（单位）基本情况</w:t>
            </w:r>
          </w:p>
          <w:p>
            <w:pPr>
              <w:ind w:firstLine="480" w:firstLineChars="200"/>
              <w:rPr>
                <w:rFonts w:ascii="仿宋_GB2312" w:hAnsi="仿宋" w:eastAsia="仿宋_GB2312"/>
                <w:sz w:val="24"/>
              </w:rPr>
            </w:pPr>
            <w:r>
              <w:rPr>
                <w:rFonts w:hint="eastAsia" w:ascii="仿宋_GB2312" w:eastAsia="仿宋_GB2312"/>
                <w:sz w:val="24"/>
              </w:rPr>
              <w:t>岳阳县</w:t>
            </w:r>
            <w:r>
              <w:rPr>
                <w:rFonts w:hint="eastAsia" w:ascii="仿宋_GB2312" w:hAnsi="仿宋_GB2312" w:eastAsia="仿宋_GB2312" w:cs="仿宋_GB2312"/>
                <w:sz w:val="24"/>
              </w:rPr>
              <w:t>农村公路养护中心</w:t>
            </w:r>
            <w:r>
              <w:rPr>
                <w:rFonts w:hint="eastAsia" w:ascii="仿宋_GB2312" w:hAnsi="仿宋_GB2312" w:eastAsia="仿宋_GB2312" w:cs="仿宋_GB2312"/>
                <w:sz w:val="24"/>
                <w:lang w:eastAsia="zh-CN"/>
              </w:rPr>
              <w:t>为副科级事业单位，归口岳阳县交通运输局管理，职责职能为：</w:t>
            </w:r>
            <w:r>
              <w:rPr>
                <w:rFonts w:hint="eastAsia" w:ascii="仿宋_GB2312" w:hAnsi="仿宋_GB2312" w:eastAsia="仿宋_GB2312" w:cs="仿宋_GB2312"/>
                <w:sz w:val="24"/>
              </w:rPr>
              <w:t>一是</w:t>
            </w:r>
            <w:r>
              <w:rPr>
                <w:rFonts w:hint="eastAsia" w:ascii="仿宋_GB2312" w:hAnsi="仿宋" w:eastAsia="仿宋_GB2312"/>
                <w:sz w:val="24"/>
              </w:rPr>
              <w:t>负责全县农村公路省、县道及桥梁的建设养护,全县农村公路乡、村道建设、养护的监督、技术指导服务。二是编制岳阳县农村公路发展近期和中长期规划,为上级提供决策依据,负责所辖公路路况调查,公路统计和信息采集工作。三是负责编制全县年度农村公路养护实施计划。四是负责全县农村公路基础数据的建立、收集、整理、报送农村公路养护管理信息。五是完成上级主管部门交办的其他工作任务。</w:t>
            </w:r>
          </w:p>
          <w:p>
            <w:pPr>
              <w:numPr>
                <w:ilvl w:val="0"/>
                <w:numId w:val="3"/>
              </w:num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部门（单位）整体支出规模、使用方向和主要内容、涉及范围等</w:t>
            </w:r>
          </w:p>
          <w:p>
            <w:pPr>
              <w:spacing w:line="560" w:lineRule="exact"/>
              <w:ind w:firstLine="480" w:firstLineChars="200"/>
              <w:rPr>
                <w:rFonts w:ascii="仿宋_GB2312" w:hAnsi="仿宋" w:eastAsia="仿宋_GB2312" w:cs="仿宋"/>
                <w:sz w:val="24"/>
              </w:rPr>
            </w:pPr>
            <w:r>
              <w:rPr>
                <w:rFonts w:hint="eastAsia" w:ascii="仿宋_GB2312" w:hAnsi="仿宋" w:eastAsia="仿宋_GB2312" w:cs="仿宋"/>
                <w:sz w:val="24"/>
                <w:lang w:eastAsia="zh-CN"/>
              </w:rPr>
              <w:t>2021年</w:t>
            </w:r>
            <w:r>
              <w:rPr>
                <w:rFonts w:hint="eastAsia" w:ascii="仿宋_GB2312" w:hAnsi="仿宋" w:eastAsia="仿宋_GB2312" w:cs="仿宋"/>
                <w:sz w:val="24"/>
              </w:rPr>
              <w:t>岳阳县农村公路养护中心整体支出为</w:t>
            </w:r>
            <w:r>
              <w:rPr>
                <w:rFonts w:hint="eastAsia" w:ascii="仿宋_GB2312" w:hAnsi="仿宋_GB2312" w:eastAsia="仿宋_GB2312" w:cs="仿宋_GB2312"/>
                <w:b w:val="0"/>
                <w:bCs w:val="0"/>
                <w:color w:val="000000"/>
                <w:sz w:val="24"/>
              </w:rPr>
              <w:t>5,864.33</w:t>
            </w:r>
            <w:r>
              <w:rPr>
                <w:rFonts w:hint="eastAsia" w:ascii="仿宋_GB2312" w:hAnsi="仿宋" w:eastAsia="仿宋_GB2312" w:cs="仿宋"/>
                <w:sz w:val="24"/>
              </w:rPr>
              <w:t>万元，包括基本支出</w:t>
            </w:r>
            <w:r>
              <w:rPr>
                <w:rFonts w:hint="eastAsia" w:ascii="宋体" w:hAnsi="宋体" w:eastAsia="宋体" w:cs="宋体"/>
                <w:b w:val="0"/>
                <w:bCs w:val="0"/>
                <w:i w:val="0"/>
                <w:iCs w:val="0"/>
                <w:color w:val="000000"/>
                <w:kern w:val="0"/>
                <w:sz w:val="22"/>
                <w:szCs w:val="22"/>
                <w:u w:val="none"/>
                <w:lang w:val="en-US" w:eastAsia="zh-CN" w:bidi="ar"/>
              </w:rPr>
              <w:t>500.83</w:t>
            </w:r>
            <w:r>
              <w:rPr>
                <w:rFonts w:hint="eastAsia" w:ascii="仿宋_GB2312" w:hAnsi="仿宋" w:eastAsia="仿宋_GB2312" w:cs="仿宋"/>
                <w:sz w:val="24"/>
              </w:rPr>
              <w:t>万元，主要用于人员经费支出和日常公用经费支出，项目支出</w:t>
            </w:r>
            <w:r>
              <w:rPr>
                <w:rFonts w:hint="eastAsia" w:ascii="宋体" w:hAnsi="宋体" w:cs="宋体"/>
                <w:b w:val="0"/>
                <w:bCs w:val="0"/>
                <w:color w:val="000000"/>
                <w:sz w:val="22"/>
                <w:szCs w:val="22"/>
              </w:rPr>
              <w:t>5,363.</w:t>
            </w:r>
            <w:r>
              <w:rPr>
                <w:rFonts w:hint="eastAsia" w:ascii="宋体" w:hAnsi="宋体" w:cs="宋体"/>
                <w:b w:val="0"/>
                <w:bCs w:val="0"/>
                <w:color w:val="000000"/>
                <w:sz w:val="22"/>
                <w:szCs w:val="22"/>
                <w:lang w:val="en-US" w:eastAsia="zh-CN"/>
              </w:rPr>
              <w:t>50</w:t>
            </w:r>
            <w:r>
              <w:rPr>
                <w:rFonts w:hint="eastAsia" w:ascii="仿宋_GB2312" w:hAnsi="仿宋" w:eastAsia="仿宋_GB2312" w:cs="仿宋"/>
                <w:sz w:val="24"/>
              </w:rPr>
              <w:t>万元，主要用于全县农村公路建设和养护支出。</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二、部门（单位）整体支出管理及使用情况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（一）基本支出</w:t>
            </w:r>
          </w:p>
          <w:p>
            <w:pPr>
              <w:spacing w:line="560" w:lineRule="exact"/>
              <w:ind w:firstLine="480" w:firstLineChars="200"/>
              <w:rPr>
                <w:rFonts w:hint="eastAsia" w:ascii="仿宋_GB2312" w:hAnsi="仿宋" w:eastAsia="仿宋_GB2312" w:cs="仿宋"/>
                <w:sz w:val="24"/>
              </w:rPr>
            </w:pPr>
            <w:r>
              <w:rPr>
                <w:rFonts w:hint="eastAsia" w:ascii="仿宋_GB2312" w:hAnsi="仿宋" w:eastAsia="仿宋_GB2312" w:cs="仿宋"/>
                <w:sz w:val="24"/>
                <w:lang w:eastAsia="zh-CN"/>
              </w:rPr>
              <w:t>2021年</w:t>
            </w:r>
            <w:r>
              <w:rPr>
                <w:rFonts w:hint="eastAsia" w:ascii="仿宋_GB2312" w:hAnsi="仿宋" w:eastAsia="仿宋_GB2312" w:cs="仿宋"/>
                <w:sz w:val="24"/>
              </w:rPr>
              <w:t>岳阳县农村公路养护中心基本支出</w:t>
            </w:r>
            <w:r>
              <w:rPr>
                <w:rFonts w:hint="eastAsia" w:ascii="仿宋_GB2312" w:hAnsi="仿宋_GB2312" w:eastAsia="仿宋_GB2312" w:cs="仿宋_GB2312"/>
                <w:color w:val="000000"/>
                <w:sz w:val="24"/>
                <w:lang w:val="en-US" w:eastAsia="zh-CN"/>
              </w:rPr>
              <w:t>500.83</w:t>
            </w:r>
            <w:r>
              <w:rPr>
                <w:rFonts w:hint="eastAsia" w:ascii="仿宋_GB2312" w:hAnsi="仿宋" w:eastAsia="仿宋_GB2312" w:cs="仿宋"/>
                <w:sz w:val="24"/>
              </w:rPr>
              <w:t>万元，包括人员支出</w:t>
            </w:r>
            <w:r>
              <w:rPr>
                <w:rFonts w:hint="eastAsia" w:ascii="仿宋_GB2312" w:hAnsi="仿宋_GB2312" w:eastAsia="仿宋_GB2312" w:cs="仿宋_GB2312"/>
                <w:b w:val="0"/>
                <w:bCs w:val="0"/>
                <w:color w:val="000000"/>
                <w:sz w:val="24"/>
              </w:rPr>
              <w:t>165.35</w:t>
            </w:r>
            <w:r>
              <w:rPr>
                <w:rFonts w:hint="eastAsia" w:ascii="仿宋_GB2312" w:hAnsi="仿宋" w:eastAsia="仿宋_GB2312" w:cs="仿宋"/>
                <w:sz w:val="24"/>
              </w:rPr>
              <w:t>万元，公用支出</w:t>
            </w:r>
            <w:r>
              <w:rPr>
                <w:rFonts w:hint="eastAsia" w:ascii="仿宋_GB2312" w:hAnsi="仿宋_GB2312" w:eastAsia="仿宋_GB2312" w:cs="仿宋_GB2312"/>
                <w:color w:val="000000"/>
                <w:sz w:val="24"/>
                <w:lang w:val="en-US" w:eastAsia="zh-CN"/>
              </w:rPr>
              <w:t>335.48</w:t>
            </w:r>
            <w:r>
              <w:rPr>
                <w:rFonts w:hint="eastAsia" w:ascii="仿宋_GB2312" w:hAnsi="仿宋" w:eastAsia="仿宋_GB2312" w:cs="仿宋"/>
                <w:sz w:val="24"/>
              </w:rPr>
              <w:t>万元，其中“三公”经费合计</w:t>
            </w:r>
            <w:r>
              <w:rPr>
                <w:rFonts w:hint="eastAsia" w:ascii="仿宋_GB2312" w:hAnsi="仿宋_GB2312" w:eastAsia="仿宋_GB2312" w:cs="仿宋_GB2312"/>
                <w:color w:val="000000"/>
                <w:sz w:val="24"/>
                <w:lang w:val="en-US" w:eastAsia="zh-CN"/>
              </w:rPr>
              <w:t>15.01</w:t>
            </w:r>
            <w:r>
              <w:rPr>
                <w:rFonts w:hint="eastAsia" w:ascii="仿宋_GB2312" w:hAnsi="仿宋" w:eastAsia="仿宋_GB2312" w:cs="仿宋"/>
                <w:sz w:val="24"/>
              </w:rPr>
              <w:t>万元，包括公务接待费</w:t>
            </w:r>
            <w:r>
              <w:rPr>
                <w:rFonts w:hint="eastAsia" w:ascii="仿宋_GB2312" w:hAnsi="仿宋" w:eastAsia="仿宋_GB2312" w:cs="仿宋"/>
                <w:sz w:val="24"/>
                <w:lang w:val="en-US" w:eastAsia="zh-CN"/>
              </w:rPr>
              <w:t>1.95</w:t>
            </w:r>
            <w:r>
              <w:rPr>
                <w:rFonts w:hint="eastAsia" w:ascii="仿宋_GB2312" w:hAnsi="仿宋" w:eastAsia="仿宋_GB2312" w:cs="仿宋"/>
                <w:sz w:val="24"/>
              </w:rPr>
              <w:t>万元和公务用车运行维护费3.5</w:t>
            </w:r>
            <w:r>
              <w:rPr>
                <w:rFonts w:hint="eastAsia" w:ascii="仿宋_GB2312" w:hAnsi="仿宋" w:eastAsia="仿宋_GB2312" w:cs="仿宋"/>
                <w:sz w:val="24"/>
                <w:lang w:val="en-US" w:eastAsia="zh-CN"/>
              </w:rPr>
              <w:t>0</w:t>
            </w:r>
            <w:r>
              <w:rPr>
                <w:rFonts w:hint="eastAsia" w:ascii="仿宋_GB2312" w:hAnsi="仿宋" w:eastAsia="仿宋_GB2312" w:cs="仿宋"/>
                <w:sz w:val="24"/>
              </w:rPr>
              <w:t>万元</w:t>
            </w:r>
            <w:r>
              <w:rPr>
                <w:rFonts w:hint="eastAsia" w:ascii="仿宋_GB2312" w:hAnsi="仿宋" w:eastAsia="仿宋_GB2312" w:cs="仿宋"/>
                <w:sz w:val="24"/>
                <w:lang w:eastAsia="zh-CN"/>
              </w:rPr>
              <w:t>、</w:t>
            </w:r>
            <w:r>
              <w:rPr>
                <w:rFonts w:hint="eastAsia" w:ascii="仿宋_GB2312" w:hAnsi="仿宋_GB2312" w:eastAsia="仿宋_GB2312" w:cs="仿宋_GB2312"/>
                <w:color w:val="000000"/>
                <w:sz w:val="24"/>
              </w:rPr>
              <w:t>公务用车购置费</w:t>
            </w:r>
            <w:r>
              <w:rPr>
                <w:rFonts w:hint="eastAsia" w:ascii="仿宋_GB2312" w:hAnsi="仿宋_GB2312" w:eastAsia="仿宋_GB2312" w:cs="仿宋_GB2312"/>
                <w:color w:val="000000"/>
                <w:sz w:val="24"/>
                <w:lang w:val="en-US" w:eastAsia="zh-CN"/>
              </w:rPr>
              <w:t>9.56万元</w:t>
            </w:r>
            <w:r>
              <w:rPr>
                <w:rFonts w:hint="eastAsia" w:ascii="仿宋_GB2312" w:hAnsi="仿宋" w:eastAsia="仿宋_GB2312" w:cs="仿宋"/>
                <w:sz w:val="24"/>
              </w:rPr>
              <w:t>。</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（二）专项支出</w:t>
            </w:r>
          </w:p>
          <w:p>
            <w:pPr>
              <w:spacing w:line="56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1</w:t>
            </w:r>
            <w:r>
              <w:rPr>
                <w:rFonts w:hint="eastAsia" w:ascii="仿宋_GB2312" w:hAnsi="仿宋_GB2312" w:eastAsia="仿宋_GB2312" w:cs="仿宋_GB2312"/>
                <w:bCs/>
                <w:sz w:val="24"/>
              </w:rPr>
              <w:t>、专项资金安排落实、总投入等情况分析</w:t>
            </w:r>
          </w:p>
          <w:p>
            <w:pPr>
              <w:widowControl/>
              <w:spacing w:line="6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lang w:eastAsia="zh-CN"/>
              </w:rPr>
              <w:t>2021年</w:t>
            </w:r>
            <w:r>
              <w:rPr>
                <w:rFonts w:hint="eastAsia" w:ascii="仿宋_GB2312" w:hAnsi="仿宋_GB2312" w:eastAsia="仿宋_GB2312" w:cs="仿宋_GB2312"/>
                <w:bCs/>
                <w:sz w:val="24"/>
              </w:rPr>
              <w:t>县财政</w:t>
            </w:r>
            <w:r>
              <w:rPr>
                <w:rFonts w:hint="eastAsia" w:ascii="仿宋_GB2312" w:hAnsi="仿宋_GB2312" w:eastAsia="仿宋_GB2312" w:cs="仿宋_GB2312"/>
                <w:bCs/>
                <w:sz w:val="24"/>
                <w:lang w:eastAsia="zh-CN"/>
              </w:rPr>
              <w:t>和上级主管部门</w:t>
            </w:r>
            <w:r>
              <w:rPr>
                <w:rFonts w:hint="eastAsia" w:ascii="仿宋_GB2312" w:hAnsi="仿宋_GB2312" w:eastAsia="仿宋_GB2312" w:cs="仿宋_GB2312"/>
                <w:bCs/>
                <w:sz w:val="24"/>
              </w:rPr>
              <w:t>安排我单位项目经费</w:t>
            </w:r>
            <w:r>
              <w:rPr>
                <w:rFonts w:hint="eastAsia" w:ascii="仿宋_GB2312" w:hAnsi="仿宋_GB2312" w:eastAsia="仿宋_GB2312" w:cs="仿宋_GB2312"/>
                <w:color w:val="000000"/>
                <w:sz w:val="24"/>
                <w:lang w:val="en-US" w:eastAsia="zh-CN"/>
              </w:rPr>
              <w:t>6453.98</w:t>
            </w:r>
            <w:r>
              <w:rPr>
                <w:rFonts w:hint="eastAsia" w:ascii="仿宋_GB2312" w:hAnsi="仿宋_GB2312" w:eastAsia="仿宋_GB2312" w:cs="仿宋_GB2312"/>
                <w:bCs/>
                <w:sz w:val="24"/>
              </w:rPr>
              <w:t>万元，主要用于</w:t>
            </w:r>
            <w:r>
              <w:rPr>
                <w:rFonts w:hint="eastAsia" w:ascii="仿宋" w:hAnsi="仿宋" w:eastAsia="仿宋" w:cs="仿宋"/>
                <w:sz w:val="24"/>
              </w:rPr>
              <w:t>全县农村公路建设和养护支出</w:t>
            </w:r>
            <w:r>
              <w:rPr>
                <w:rFonts w:hint="eastAsia" w:ascii="仿宋_GB2312" w:hAnsi="仿宋_GB2312" w:eastAsia="仿宋_GB2312" w:cs="仿宋_GB2312"/>
                <w:bCs/>
                <w:sz w:val="24"/>
              </w:rPr>
              <w:t>，我办实际发生项目支出</w:t>
            </w:r>
            <w:r>
              <w:rPr>
                <w:rFonts w:hint="eastAsia" w:ascii="宋体" w:hAnsi="宋体" w:cs="宋体"/>
                <w:b w:val="0"/>
                <w:bCs w:val="0"/>
                <w:color w:val="000000"/>
                <w:sz w:val="22"/>
                <w:szCs w:val="22"/>
              </w:rPr>
              <w:t>5,363.</w:t>
            </w:r>
            <w:r>
              <w:rPr>
                <w:rFonts w:hint="eastAsia" w:ascii="宋体" w:hAnsi="宋体" w:cs="宋体"/>
                <w:b w:val="0"/>
                <w:bCs w:val="0"/>
                <w:color w:val="000000"/>
                <w:sz w:val="22"/>
                <w:szCs w:val="22"/>
                <w:lang w:val="en-US" w:eastAsia="zh-CN"/>
              </w:rPr>
              <w:t>50</w:t>
            </w:r>
            <w:r>
              <w:rPr>
                <w:rFonts w:hint="eastAsia" w:ascii="仿宋_GB2312" w:hAnsi="仿宋_GB2312" w:eastAsia="仿宋_GB2312" w:cs="仿宋_GB2312"/>
                <w:bCs/>
                <w:sz w:val="24"/>
              </w:rPr>
              <w:t>万元，项目支出</w:t>
            </w:r>
            <w:r>
              <w:rPr>
                <w:rFonts w:hint="eastAsia" w:ascii="仿宋_GB2312" w:hAnsi="仿宋_GB2312" w:eastAsia="仿宋_GB2312" w:cs="仿宋_GB2312"/>
                <w:bCs/>
                <w:sz w:val="24"/>
                <w:lang w:eastAsia="zh-CN"/>
              </w:rPr>
              <w:t>执行</w:t>
            </w:r>
            <w:r>
              <w:rPr>
                <w:rFonts w:hint="eastAsia" w:ascii="仿宋_GB2312" w:hAnsi="仿宋_GB2312" w:eastAsia="仿宋_GB2312" w:cs="仿宋_GB2312"/>
                <w:bCs/>
                <w:sz w:val="24"/>
              </w:rPr>
              <w:t>率</w:t>
            </w:r>
            <w:r>
              <w:rPr>
                <w:rFonts w:hint="eastAsia" w:ascii="仿宋_GB2312" w:hAnsi="仿宋_GB2312" w:eastAsia="仿宋_GB2312" w:cs="仿宋_GB2312"/>
                <w:bCs/>
                <w:sz w:val="24"/>
                <w:lang w:eastAsia="zh-CN"/>
              </w:rPr>
              <w:t>为</w:t>
            </w:r>
            <w:r>
              <w:rPr>
                <w:rFonts w:hint="eastAsia" w:ascii="仿宋_GB2312" w:hAnsi="仿宋_GB2312" w:eastAsia="仿宋_GB2312" w:cs="仿宋_GB2312"/>
                <w:bCs/>
                <w:sz w:val="24"/>
                <w:lang w:val="en-US" w:eastAsia="zh-CN"/>
              </w:rPr>
              <w:t>83.11</w:t>
            </w:r>
            <w:r>
              <w:rPr>
                <w:rFonts w:ascii="仿宋_GB2312" w:hAnsi="仿宋_GB2312" w:eastAsia="仿宋_GB2312" w:cs="仿宋_GB2312"/>
                <w:bCs/>
                <w:sz w:val="24"/>
              </w:rPr>
              <w:t>%</w:t>
            </w:r>
            <w:r>
              <w:rPr>
                <w:rFonts w:hint="eastAsia" w:ascii="仿宋_GB2312" w:hAnsi="仿宋_GB2312" w:eastAsia="仿宋_GB2312" w:cs="仿宋_GB2312"/>
                <w:bCs/>
                <w:sz w:val="24"/>
                <w:lang w:eastAsia="zh-CN"/>
              </w:rPr>
              <w:t>，因要按项目实施进度分期付款和预留部分质保金，导致部分项目经费结转下一个财政年度使用</w:t>
            </w:r>
            <w:r>
              <w:rPr>
                <w:rFonts w:hint="eastAsia" w:ascii="仿宋_GB2312" w:hAnsi="仿宋_GB2312" w:eastAsia="仿宋_GB2312" w:cs="仿宋_GB2312"/>
                <w:bCs/>
                <w:sz w:val="24"/>
              </w:rPr>
              <w:t>。</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2、专项资金实际使用情况分析</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我中心专项资金主要用于</w:t>
            </w:r>
            <w:r>
              <w:rPr>
                <w:rFonts w:hint="eastAsia" w:ascii="仿宋_GB2312" w:hAnsi="仿宋" w:eastAsia="仿宋_GB2312"/>
                <w:sz w:val="24"/>
              </w:rPr>
              <w:t>全县农村公路省县级道路建设养护、危桥改造工程、安防工程、农村公路水毁工程</w:t>
            </w:r>
            <w:r>
              <w:rPr>
                <w:rFonts w:hint="eastAsia" w:ascii="仿宋_GB2312" w:hAnsi="仿宋" w:eastAsia="仿宋_GB2312" w:cs="仿宋"/>
                <w:sz w:val="24"/>
              </w:rPr>
              <w:t>支出</w:t>
            </w:r>
            <w:r>
              <w:rPr>
                <w:rFonts w:hint="eastAsia" w:ascii="仿宋_GB2312" w:hAnsi="仿宋_GB2312" w:eastAsia="仿宋_GB2312" w:cs="仿宋_GB2312"/>
                <w:bCs/>
                <w:sz w:val="24"/>
              </w:rPr>
              <w:t>，为保障全县农村公路路况水平，提高全民公路出行满意度，保障经济社会正常发展提供了坚实支持</w:t>
            </w:r>
            <w:r>
              <w:rPr>
                <w:rFonts w:hint="eastAsia" w:ascii="仿宋_GB2312" w:hAnsi="仿宋_GB2312" w:eastAsia="仿宋_GB2312" w:cs="仿宋_GB2312"/>
                <w:sz w:val="24"/>
                <w:shd w:val="clear" w:color="auto" w:fill="FFFFFF"/>
              </w:rPr>
              <w:t>。</w:t>
            </w:r>
          </w:p>
          <w:p>
            <w:pPr>
              <w:numPr>
                <w:ilvl w:val="0"/>
                <w:numId w:val="4"/>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专项资金管理情况分析</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我办专项资金实行专款专用、专项核算，费用支出严格按财务审批程序和会议进程等进行支付。</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三、部门（单位）专项组织实施情况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（一）专项组织情况分析</w:t>
            </w:r>
          </w:p>
          <w:p>
            <w:pPr>
              <w:spacing w:line="560" w:lineRule="exact"/>
              <w:ind w:firstLine="720" w:firstLineChars="300"/>
              <w:rPr>
                <w:rFonts w:ascii="仿宋_GB2312" w:hAnsi="仿宋" w:eastAsia="仿宋_GB2312" w:cs="仿宋_GB2312"/>
                <w:bCs/>
                <w:sz w:val="24"/>
              </w:rPr>
            </w:pPr>
            <w:r>
              <w:rPr>
                <w:rFonts w:hint="eastAsia" w:ascii="仿宋_GB2312" w:hAnsi="仿宋" w:eastAsia="仿宋_GB2312" w:cs="仿宋_GB2312"/>
                <w:bCs/>
                <w:sz w:val="24"/>
              </w:rPr>
              <w:t>健全组织领导及机制，我单位成立了以</w:t>
            </w:r>
            <w:r>
              <w:rPr>
                <w:rFonts w:hint="eastAsia" w:ascii="仿宋_GB2312" w:hAnsi="仿宋" w:eastAsia="仿宋_GB2312" w:cs="仿宋_GB2312"/>
                <w:bCs/>
                <w:sz w:val="24"/>
                <w:lang w:eastAsia="zh-CN"/>
              </w:rPr>
              <w:t>刘智海</w:t>
            </w:r>
            <w:r>
              <w:rPr>
                <w:rFonts w:hint="eastAsia" w:ascii="仿宋_GB2312" w:hAnsi="仿宋" w:eastAsia="仿宋_GB2312" w:cs="仿宋_GB2312"/>
                <w:bCs/>
                <w:sz w:val="24"/>
              </w:rPr>
              <w:t>为组长的岳阳县农村公路建设领导小组，专项负责</w:t>
            </w:r>
            <w:r>
              <w:rPr>
                <w:rFonts w:hint="eastAsia" w:ascii="仿宋_GB2312" w:hAnsi="仿宋" w:eastAsia="仿宋_GB2312"/>
                <w:sz w:val="24"/>
              </w:rPr>
              <w:t>全县农村公路省县级道路建设养护、危桥改造工程、安防工程、农村公路水毁工程等</w:t>
            </w:r>
            <w:r>
              <w:rPr>
                <w:rFonts w:hint="eastAsia" w:ascii="仿宋_GB2312" w:hAnsi="仿宋" w:eastAsia="仿宋_GB2312" w:cs="仿宋_GB2312"/>
                <w:bCs/>
                <w:sz w:val="24"/>
              </w:rPr>
              <w:t>工作。</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（二）专项管理情况分析</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lang w:eastAsia="zh-CN"/>
              </w:rPr>
              <w:t>2021年</w:t>
            </w:r>
            <w:r>
              <w:rPr>
                <w:rFonts w:hint="eastAsia" w:ascii="仿宋_GB2312" w:hAnsi="仿宋_GB2312" w:eastAsia="仿宋_GB2312" w:cs="仿宋_GB2312"/>
                <w:bCs/>
                <w:sz w:val="24"/>
              </w:rPr>
              <w:t>，我单位农村公路养护工作水平进一步提高，农村公路安防工程建设加快推进，危桥改造勘测、施工顺利开展，各专项工作按上级要求完满完成。</w:t>
            </w:r>
          </w:p>
          <w:p>
            <w:pPr>
              <w:spacing w:line="600" w:lineRule="exact"/>
              <w:ind w:firstLine="482" w:firstLineChars="200"/>
              <w:rPr>
                <w:rFonts w:ascii="仿宋_GB2312" w:hAnsi="仿宋_GB2312" w:eastAsia="仿宋_GB2312" w:cs="仿宋_GB2312"/>
                <w:b/>
                <w:bCs/>
                <w:color w:val="2B2B2B"/>
                <w:sz w:val="24"/>
                <w:shd w:val="clear" w:color="auto" w:fill="FFFFFF"/>
              </w:rPr>
            </w:pPr>
            <w:r>
              <w:rPr>
                <w:rFonts w:hint="eastAsia" w:ascii="仿宋_GB2312" w:hAnsi="仿宋_GB2312" w:eastAsia="仿宋_GB2312" w:cs="仿宋_GB2312"/>
                <w:b/>
                <w:bCs/>
                <w:color w:val="2B2B2B"/>
                <w:sz w:val="24"/>
                <w:shd w:val="clear" w:color="auto" w:fill="FFFFFF"/>
              </w:rPr>
              <w:t>四、部门（单位）整体支出绩效情况</w:t>
            </w:r>
          </w:p>
          <w:p>
            <w:pPr>
              <w:spacing w:line="560" w:lineRule="exact"/>
              <w:ind w:firstLine="720" w:firstLineChars="300"/>
              <w:rPr>
                <w:rFonts w:ascii="仿宋_GB2312" w:hAnsi="仿宋_GB2312" w:eastAsia="仿宋_GB2312" w:cs="仿宋_GB2312"/>
                <w:bCs/>
                <w:color w:val="FF0000"/>
                <w:sz w:val="24"/>
              </w:rPr>
            </w:pPr>
            <w:r>
              <w:rPr>
                <w:rFonts w:hint="eastAsia" w:ascii="仿宋_GB2312" w:hAnsi="仿宋_GB2312" w:eastAsia="仿宋_GB2312" w:cs="仿宋_GB2312"/>
                <w:bCs/>
                <w:sz w:val="24"/>
                <w:lang w:eastAsia="zh-CN"/>
              </w:rPr>
              <w:t>2021年</w:t>
            </w:r>
            <w:r>
              <w:rPr>
                <w:rFonts w:hint="eastAsia" w:ascii="仿宋_GB2312" w:hAnsi="仿宋_GB2312" w:eastAsia="仿宋_GB2312" w:cs="仿宋_GB2312"/>
                <w:bCs/>
                <w:sz w:val="24"/>
              </w:rPr>
              <w:t>，我单位农村公路养护工作水平进一步提高，农村公路安防工程建设加快推进，危桥改造勘测、施工顺利开展，各专项工作按上级要求完满完成。社会公众对于农村公路路况出行体验满意度很高，同时，良好的公路路况水平对于提高岳阳县文明形象，促进旅游事业和招商引资工作发挥了重要作用，单位整体支出取得了良好的社会效益和经济效益</w:t>
            </w:r>
            <w:r>
              <w:rPr>
                <w:rFonts w:hint="eastAsia" w:ascii="仿宋_GB2312" w:hAnsi="仿宋_GB2312" w:eastAsia="仿宋_GB2312" w:cs="仿宋_GB2312"/>
                <w:bCs/>
                <w:color w:val="FF0000"/>
                <w:sz w:val="24"/>
              </w:rPr>
              <w:t>。</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五、存在的主要问题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（一）监督管理机制还有待加强。</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（二）财务工作是一个单位的命脉，创新机制正在逐步加强，要求财务工作水平越来越高。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（三）会计基础工作还需要不断完善，报表数据与实际情况存在小误差。</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六、改进措施和有关建议</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w:t>
            </w:r>
            <w:r>
              <w:rPr>
                <w:rFonts w:ascii="仿宋_GB2312" w:hAnsi="仿宋_GB2312" w:eastAsia="仿宋_GB2312"/>
                <w:sz w:val="24"/>
              </w:rPr>
              <w:t>)</w:t>
            </w:r>
            <w:r>
              <w:rPr>
                <w:rFonts w:hint="eastAsia" w:ascii="仿宋_GB2312" w:hAnsi="仿宋_GB2312" w:eastAsia="仿宋_GB2312"/>
                <w:sz w:val="24"/>
              </w:rPr>
              <w:t>加强监管，做到监管机制环环相扣，不出现断层、漏洞，坚决把权力关进制度的笼子。</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（二）进一步完善财务制度，规范财经纪律。</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（三）财务工作人员的业务能力要与时俱进，不断加强学习</w:t>
            </w:r>
          </w:p>
          <w:p>
            <w:pPr>
              <w:rPr>
                <w:rFonts w:ascii="黑体" w:hAnsi="黑体" w:eastAsia="黑体" w:cs="黑体"/>
                <w:sz w:val="24"/>
              </w:rPr>
            </w:pPr>
          </w:p>
          <w:p>
            <w:pPr>
              <w:spacing w:line="560" w:lineRule="exact"/>
              <w:rPr>
                <w:rFonts w:ascii="仿宋_GB2312" w:hAnsi="仿宋_GB2312" w:eastAsia="仿宋_GB2312"/>
                <w:sz w:val="24"/>
              </w:rPr>
            </w:pPr>
            <w:r>
              <w:rPr>
                <w:rFonts w:ascii="仿宋_GB2312" w:hAnsi="仿宋_GB2312" w:eastAsia="仿宋_GB2312"/>
                <w:sz w:val="24"/>
              </w:rPr>
              <w:t xml:space="preserve">                                202</w:t>
            </w:r>
            <w:r>
              <w:rPr>
                <w:rFonts w:hint="eastAsia" w:ascii="仿宋_GB2312" w:hAnsi="仿宋_GB2312" w:eastAsia="仿宋_GB2312"/>
                <w:sz w:val="24"/>
              </w:rPr>
              <w:t>2</w:t>
            </w:r>
            <w:r>
              <w:rPr>
                <w:rFonts w:hint="eastAsia" w:ascii="仿宋" w:hAnsi="仿宋" w:eastAsia="仿宋" w:cs="仿宋"/>
                <w:sz w:val="24"/>
              </w:rPr>
              <w:t>年</w:t>
            </w:r>
            <w:r>
              <w:rPr>
                <w:rFonts w:ascii="仿宋" w:hAnsi="仿宋" w:eastAsia="仿宋" w:cs="仿宋"/>
                <w:sz w:val="24"/>
              </w:rPr>
              <w:t>07</w:t>
            </w:r>
            <w:r>
              <w:rPr>
                <w:rFonts w:hint="eastAsia" w:ascii="仿宋" w:hAnsi="仿宋" w:eastAsia="仿宋" w:cs="仿宋"/>
                <w:sz w:val="24"/>
              </w:rPr>
              <w:t>月</w:t>
            </w:r>
            <w:r>
              <w:rPr>
                <w:rFonts w:ascii="仿宋" w:hAnsi="仿宋" w:eastAsia="仿宋" w:cs="仿宋"/>
                <w:sz w:val="24"/>
              </w:rPr>
              <w:t>12</w:t>
            </w:r>
            <w:r>
              <w:rPr>
                <w:rFonts w:hint="eastAsia" w:ascii="仿宋" w:hAnsi="仿宋" w:eastAsia="仿宋" w:cs="仿宋"/>
                <w:sz w:val="24"/>
              </w:rPr>
              <w:t>日</w:t>
            </w:r>
          </w:p>
          <w:p>
            <w:pPr>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人员编制数31人，在职人数31人，在职人员控制率</w:t>
            </w:r>
            <w:r>
              <w:rPr>
                <w:rFonts w:hint="eastAsia" w:ascii="宋体" w:hAnsi="宋体" w:cs="宋体"/>
                <w:color w:val="000000"/>
                <w:sz w:val="18"/>
                <w:szCs w:val="18"/>
              </w:rPr>
              <w:t>≦</w:t>
            </w:r>
            <w:r>
              <w:rPr>
                <w:rFonts w:ascii="仿宋_GB2312" w:eastAsia="仿宋_GB2312"/>
                <w:color w:val="000000"/>
                <w:sz w:val="18"/>
                <w:szCs w:val="18"/>
              </w:rPr>
              <w:t>100%</w:t>
            </w:r>
            <w:r>
              <w:rPr>
                <w:rFonts w:hint="eastAsia" w:ascii="仿宋_GB2312" w:eastAsia="仿宋_GB2312"/>
                <w:color w:val="000000"/>
                <w:sz w:val="18"/>
                <w:szCs w:val="18"/>
              </w:rPr>
              <w:t>，未超编，根据评分标准，得</w:t>
            </w:r>
            <w:r>
              <w:rPr>
                <w:rFonts w:ascii="仿宋_GB2312" w:eastAsia="仿宋_GB2312"/>
                <w:color w:val="000000"/>
                <w:sz w:val="18"/>
                <w:szCs w:val="18"/>
              </w:rPr>
              <w:t>5</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本年度三公经费</w:t>
            </w:r>
            <w:r>
              <w:rPr>
                <w:rFonts w:hint="eastAsia" w:ascii="仿宋_GB2312" w:eastAsia="仿宋_GB2312"/>
                <w:color w:val="000000"/>
                <w:sz w:val="18"/>
                <w:szCs w:val="18"/>
                <w:lang w:val="en-US" w:eastAsia="zh-CN"/>
              </w:rPr>
              <w:t>15.01</w:t>
            </w:r>
            <w:r>
              <w:rPr>
                <w:rFonts w:hint="eastAsia" w:ascii="仿宋_GB2312" w:eastAsia="仿宋_GB2312"/>
                <w:color w:val="000000"/>
                <w:sz w:val="18"/>
                <w:szCs w:val="18"/>
              </w:rPr>
              <w:t>万元，上年度三公经费</w:t>
            </w:r>
            <w:r>
              <w:rPr>
                <w:rFonts w:hint="eastAsia" w:ascii="仿宋_GB2312" w:eastAsia="仿宋_GB2312"/>
                <w:color w:val="000000"/>
                <w:sz w:val="18"/>
                <w:szCs w:val="18"/>
                <w:lang w:val="en-US" w:eastAsia="zh-CN"/>
              </w:rPr>
              <w:t>16.02</w:t>
            </w:r>
            <w:r>
              <w:rPr>
                <w:rFonts w:hint="eastAsia" w:ascii="仿宋_GB2312" w:eastAsia="仿宋_GB2312"/>
                <w:color w:val="000000"/>
                <w:sz w:val="18"/>
                <w:szCs w:val="18"/>
              </w:rPr>
              <w:t>万元。</w:t>
            </w:r>
          </w:p>
          <w:p>
            <w:pPr>
              <w:rPr>
                <w:rFonts w:ascii="仿宋_GB2312" w:eastAsia="仿宋_GB2312"/>
                <w:color w:val="000000"/>
                <w:sz w:val="18"/>
                <w:szCs w:val="18"/>
              </w:rPr>
            </w:pPr>
            <w:r>
              <w:rPr>
                <w:rFonts w:hint="eastAsia" w:ascii="仿宋_GB2312" w:eastAsia="仿宋_GB2312"/>
                <w:color w:val="000000"/>
                <w:sz w:val="18"/>
                <w:szCs w:val="18"/>
              </w:rPr>
              <w:t>“三公经费”变动率0</w:t>
            </w:r>
          </w:p>
          <w:p>
            <w:pPr>
              <w:rPr>
                <w:rFonts w:ascii="仿宋_GB2312" w:hAnsi="宋体" w:eastAsia="仿宋_GB2312" w:cs="宋体"/>
                <w:color w:val="000000"/>
                <w:sz w:val="18"/>
                <w:szCs w:val="18"/>
              </w:rPr>
            </w:pPr>
            <w:r>
              <w:rPr>
                <w:rFonts w:hint="eastAsia" w:ascii="仿宋_GB2312" w:eastAsia="仿宋_GB2312"/>
                <w:color w:val="000000"/>
                <w:sz w:val="18"/>
                <w:szCs w:val="18"/>
              </w:rPr>
              <w:t>根据评分标准，得</w:t>
            </w:r>
            <w:r>
              <w:rPr>
                <w:rFonts w:ascii="仿宋_GB2312" w:eastAsia="仿宋_GB2312"/>
                <w:color w:val="000000"/>
                <w:sz w:val="18"/>
                <w:szCs w:val="18"/>
              </w:rPr>
              <w:t>5</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预算调整大于30%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20"/>
                <w:szCs w:val="20"/>
              </w:rPr>
            </w:pPr>
            <w:r>
              <w:rPr>
                <w:rFonts w:hint="eastAsia" w:ascii="仿宋_GB2312" w:eastAsia="仿宋_GB2312"/>
                <w:sz w:val="20"/>
                <w:szCs w:val="20"/>
              </w:rPr>
              <w:t>结余超过上年结转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三公经费预算数</w:t>
            </w:r>
            <w:r>
              <w:rPr>
                <w:rFonts w:hint="eastAsia" w:ascii="仿宋_GB2312" w:eastAsia="仿宋_GB2312"/>
                <w:color w:val="000000"/>
                <w:sz w:val="18"/>
                <w:szCs w:val="18"/>
                <w:lang w:val="en-US" w:eastAsia="zh-CN"/>
              </w:rPr>
              <w:t>15.06</w:t>
            </w:r>
            <w:r>
              <w:rPr>
                <w:rFonts w:hint="eastAsia" w:ascii="仿宋_GB2312" w:eastAsia="仿宋_GB2312"/>
                <w:color w:val="000000"/>
                <w:sz w:val="18"/>
                <w:szCs w:val="18"/>
              </w:rPr>
              <w:t>万元，实际支出</w:t>
            </w:r>
            <w:r>
              <w:rPr>
                <w:rFonts w:hint="eastAsia" w:ascii="仿宋_GB2312" w:eastAsia="仿宋_GB2312"/>
                <w:color w:val="000000"/>
                <w:sz w:val="18"/>
                <w:szCs w:val="18"/>
                <w:lang w:val="en-US" w:eastAsia="zh-CN"/>
              </w:rPr>
              <w:t>15.01</w:t>
            </w:r>
            <w:r>
              <w:rPr>
                <w:rFonts w:hint="eastAsia" w:ascii="仿宋_GB2312" w:eastAsia="仿宋_GB2312"/>
                <w:color w:val="000000"/>
                <w:sz w:val="18"/>
                <w:szCs w:val="18"/>
              </w:rPr>
              <w:t>万元，三公经费控制率</w:t>
            </w:r>
            <w:r>
              <w:rPr>
                <w:rFonts w:ascii="仿宋_GB2312" w:eastAsia="仿宋_GB2312"/>
                <w:color w:val="000000"/>
                <w:sz w:val="18"/>
                <w:szCs w:val="18"/>
              </w:rPr>
              <w:t>100%</w:t>
            </w:r>
            <w:r>
              <w:rPr>
                <w:rFonts w:hint="eastAsia" w:ascii="仿宋_GB2312" w:eastAsia="仿宋_GB2312"/>
                <w:color w:val="000000"/>
                <w:sz w:val="18"/>
                <w:szCs w:val="18"/>
              </w:rPr>
              <w:t>，三公经费控制率</w:t>
            </w:r>
            <w:r>
              <w:rPr>
                <w:rFonts w:hint="eastAsia" w:ascii="宋体" w:hAnsi="宋体" w:cs="宋体"/>
                <w:color w:val="000000"/>
                <w:sz w:val="18"/>
                <w:szCs w:val="18"/>
              </w:rPr>
              <w:t>≦</w:t>
            </w:r>
            <w:r>
              <w:rPr>
                <w:rFonts w:ascii="仿宋_GB2312" w:eastAsia="仿宋_GB2312"/>
                <w:color w:val="000000"/>
                <w:sz w:val="18"/>
                <w:szCs w:val="18"/>
              </w:rPr>
              <w:t>100%</w:t>
            </w:r>
            <w:r>
              <w:rPr>
                <w:rFonts w:hint="eastAsia" w:ascii="仿宋_GB2312" w:eastAsia="仿宋_GB2312"/>
                <w:color w:val="000000"/>
                <w:sz w:val="18"/>
                <w:szCs w:val="18"/>
              </w:rPr>
              <w:t>，得</w:t>
            </w:r>
            <w:r>
              <w:rPr>
                <w:rFonts w:ascii="仿宋_GB2312" w:eastAsia="仿宋_GB2312"/>
                <w:color w:val="000000"/>
                <w:sz w:val="18"/>
                <w:szCs w:val="18"/>
              </w:rPr>
              <w:t>6</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bl>
    <w:p/>
    <w:p/>
    <w:p/>
    <w:p/>
    <w:p/>
    <w:p>
      <w:bookmarkStart w:id="0" w:name="_GoBack"/>
      <w:bookmarkEnd w:id="0"/>
    </w:p>
    <w:p/>
    <w:p/>
    <w:p/>
    <w:p/>
    <w:p/>
    <w:p/>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③资产处置规范；</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w:t>
            </w:r>
            <w:r>
              <w:rPr>
                <w:rFonts w:ascii="仿宋_GB2312" w:hAnsi="宋体" w:eastAsia="仿宋_GB2312" w:cs="宋体"/>
                <w:color w:val="000000"/>
                <w:kern w:val="0"/>
                <w:sz w:val="18"/>
                <w:szCs w:val="18"/>
              </w:rPr>
              <w:t>2019</w:t>
            </w:r>
            <w:r>
              <w:rPr>
                <w:rFonts w:hint="eastAsia" w:ascii="仿宋_GB2312" w:hAnsi="宋体" w:eastAsia="仿宋_GB2312" w:cs="宋体"/>
                <w:color w:val="000000"/>
                <w:kern w:val="0"/>
                <w:sz w:val="18"/>
                <w:szCs w:val="18"/>
              </w:rPr>
              <w:t>年）</w:t>
            </w:r>
            <w:r>
              <w:rPr>
                <w:rFonts w:ascii="仿宋_GB2312" w:hAnsi="宋体" w:eastAsia="仿宋_GB2312" w:cs="宋体"/>
                <w:color w:val="000000"/>
                <w:kern w:val="0"/>
                <w:sz w:val="18"/>
                <w:szCs w:val="18"/>
              </w:rPr>
              <w:t>1</w:t>
            </w:r>
            <w:r>
              <w:rPr>
                <w:rFonts w:hint="eastAsia" w:ascii="仿宋_GB2312" w:hAnsi="宋体" w:eastAsia="仿宋_GB2312" w:cs="宋体"/>
                <w:color w:val="000000"/>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社会公众满意度达到</w:t>
            </w:r>
            <w:r>
              <w:rPr>
                <w:rFonts w:ascii="仿宋_GB2312" w:hAnsi="宋体" w:eastAsia="仿宋_GB2312" w:cs="宋体"/>
                <w:kern w:val="0"/>
                <w:sz w:val="18"/>
                <w:szCs w:val="18"/>
              </w:rPr>
              <w:t>95%</w:t>
            </w:r>
            <w:r>
              <w:rPr>
                <w:rFonts w:hint="eastAsia" w:ascii="仿宋_GB2312" w:hAnsi="宋体" w:eastAsia="仿宋_GB2312" w:cs="宋体"/>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黑体" w:hAnsi="黑体" w:eastAsia="黑体"/>
          <w:sz w:val="32"/>
          <w:szCs w:val="32"/>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num w:numId="1">
    <w:abstractNumId w:val="0"/>
    <w:lvlOverride w:ilvl="0">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M1MDU0NmQwMTBkNjg1NjNhMTU0MTU2MzBkYjk2MjQifQ=="/>
  </w:docVars>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E3309"/>
    <w:rsid w:val="00100175"/>
    <w:rsid w:val="00107CC6"/>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1322"/>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315C29"/>
    <w:rsid w:val="00316EF8"/>
    <w:rsid w:val="00317858"/>
    <w:rsid w:val="00321D2B"/>
    <w:rsid w:val="0033659F"/>
    <w:rsid w:val="00351AD3"/>
    <w:rsid w:val="00354479"/>
    <w:rsid w:val="00356458"/>
    <w:rsid w:val="0039290C"/>
    <w:rsid w:val="00392F62"/>
    <w:rsid w:val="00394BC2"/>
    <w:rsid w:val="003A2363"/>
    <w:rsid w:val="003A2FC5"/>
    <w:rsid w:val="003B7876"/>
    <w:rsid w:val="003E4F5E"/>
    <w:rsid w:val="004036B5"/>
    <w:rsid w:val="00422195"/>
    <w:rsid w:val="004222D1"/>
    <w:rsid w:val="00422E14"/>
    <w:rsid w:val="00430153"/>
    <w:rsid w:val="00432C79"/>
    <w:rsid w:val="00440BD4"/>
    <w:rsid w:val="004503BD"/>
    <w:rsid w:val="00461395"/>
    <w:rsid w:val="00466871"/>
    <w:rsid w:val="00477933"/>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50B2"/>
    <w:rsid w:val="005C68D7"/>
    <w:rsid w:val="005E2BC7"/>
    <w:rsid w:val="005F6DB6"/>
    <w:rsid w:val="005F7931"/>
    <w:rsid w:val="00607401"/>
    <w:rsid w:val="006320B1"/>
    <w:rsid w:val="0064544F"/>
    <w:rsid w:val="00664E76"/>
    <w:rsid w:val="006841C9"/>
    <w:rsid w:val="00684E4B"/>
    <w:rsid w:val="00690485"/>
    <w:rsid w:val="00696545"/>
    <w:rsid w:val="006A5D82"/>
    <w:rsid w:val="006B6330"/>
    <w:rsid w:val="006D65AD"/>
    <w:rsid w:val="006E7307"/>
    <w:rsid w:val="006F5735"/>
    <w:rsid w:val="006F5FD4"/>
    <w:rsid w:val="007204BA"/>
    <w:rsid w:val="007225D2"/>
    <w:rsid w:val="00735258"/>
    <w:rsid w:val="00742DAE"/>
    <w:rsid w:val="007461B3"/>
    <w:rsid w:val="00764B34"/>
    <w:rsid w:val="00774D83"/>
    <w:rsid w:val="007829F0"/>
    <w:rsid w:val="007865A2"/>
    <w:rsid w:val="007C5745"/>
    <w:rsid w:val="007C77EE"/>
    <w:rsid w:val="007D5B9F"/>
    <w:rsid w:val="007E1392"/>
    <w:rsid w:val="007E6513"/>
    <w:rsid w:val="007F487F"/>
    <w:rsid w:val="00815FBF"/>
    <w:rsid w:val="00840351"/>
    <w:rsid w:val="00841CD0"/>
    <w:rsid w:val="00847D60"/>
    <w:rsid w:val="00860AFD"/>
    <w:rsid w:val="00873CD8"/>
    <w:rsid w:val="008A2E6B"/>
    <w:rsid w:val="008A7515"/>
    <w:rsid w:val="008C039F"/>
    <w:rsid w:val="008E1F76"/>
    <w:rsid w:val="008E2ACB"/>
    <w:rsid w:val="008E57E1"/>
    <w:rsid w:val="008F5E0B"/>
    <w:rsid w:val="009006A1"/>
    <w:rsid w:val="00900E3F"/>
    <w:rsid w:val="00925486"/>
    <w:rsid w:val="00951513"/>
    <w:rsid w:val="00952065"/>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6673"/>
    <w:rsid w:val="00A87BCE"/>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92E17"/>
    <w:rsid w:val="00B9518E"/>
    <w:rsid w:val="00BA392F"/>
    <w:rsid w:val="00BB1C78"/>
    <w:rsid w:val="00BB378C"/>
    <w:rsid w:val="00BB3C71"/>
    <w:rsid w:val="00BB6CF4"/>
    <w:rsid w:val="00BD02C0"/>
    <w:rsid w:val="00BD1DDD"/>
    <w:rsid w:val="00C11953"/>
    <w:rsid w:val="00C12B4A"/>
    <w:rsid w:val="00C2009B"/>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907"/>
    <w:rsid w:val="00DC10F5"/>
    <w:rsid w:val="00DC311D"/>
    <w:rsid w:val="00DD1EB3"/>
    <w:rsid w:val="00DF1C77"/>
    <w:rsid w:val="00DF509F"/>
    <w:rsid w:val="00E142CB"/>
    <w:rsid w:val="00E35E48"/>
    <w:rsid w:val="00E40ED6"/>
    <w:rsid w:val="00E4198B"/>
    <w:rsid w:val="00E63914"/>
    <w:rsid w:val="00E95B71"/>
    <w:rsid w:val="00EB35F4"/>
    <w:rsid w:val="00EC40AF"/>
    <w:rsid w:val="00EC4115"/>
    <w:rsid w:val="00EC6E79"/>
    <w:rsid w:val="00EC6F27"/>
    <w:rsid w:val="00ED7ACA"/>
    <w:rsid w:val="00EE315F"/>
    <w:rsid w:val="00EE67E1"/>
    <w:rsid w:val="00EF34DE"/>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6B70F10"/>
    <w:rsid w:val="0C1A7C3F"/>
    <w:rsid w:val="0C2F1CA6"/>
    <w:rsid w:val="13DF3FBF"/>
    <w:rsid w:val="16A3408E"/>
    <w:rsid w:val="1AA876C9"/>
    <w:rsid w:val="1C093B64"/>
    <w:rsid w:val="21820F5A"/>
    <w:rsid w:val="21EE5B91"/>
    <w:rsid w:val="22E851DA"/>
    <w:rsid w:val="23BE0013"/>
    <w:rsid w:val="24455956"/>
    <w:rsid w:val="254A1F6B"/>
    <w:rsid w:val="255C3A8A"/>
    <w:rsid w:val="28610884"/>
    <w:rsid w:val="2D74137E"/>
    <w:rsid w:val="2F0401BB"/>
    <w:rsid w:val="302347D1"/>
    <w:rsid w:val="32C672E1"/>
    <w:rsid w:val="35C052C4"/>
    <w:rsid w:val="35EE1F11"/>
    <w:rsid w:val="39884D44"/>
    <w:rsid w:val="3AED1D7A"/>
    <w:rsid w:val="3BF834E8"/>
    <w:rsid w:val="3C6A6ECC"/>
    <w:rsid w:val="3D165E8C"/>
    <w:rsid w:val="499058C0"/>
    <w:rsid w:val="4A0B218D"/>
    <w:rsid w:val="4AF42F8A"/>
    <w:rsid w:val="4BA94A7A"/>
    <w:rsid w:val="4CDE1450"/>
    <w:rsid w:val="4E3017DF"/>
    <w:rsid w:val="4F7D1499"/>
    <w:rsid w:val="51E715BD"/>
    <w:rsid w:val="51F33551"/>
    <w:rsid w:val="5B074521"/>
    <w:rsid w:val="5B2A2BD4"/>
    <w:rsid w:val="5BD118C2"/>
    <w:rsid w:val="5C705F60"/>
    <w:rsid w:val="61055501"/>
    <w:rsid w:val="6403624E"/>
    <w:rsid w:val="66223497"/>
    <w:rsid w:val="69743153"/>
    <w:rsid w:val="69CE66E3"/>
    <w:rsid w:val="6B787F06"/>
    <w:rsid w:val="6FFD1EFA"/>
    <w:rsid w:val="712B4B58"/>
    <w:rsid w:val="795B0744"/>
    <w:rsid w:val="7ED505FD"/>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qFormat/>
    <w:uiPriority w:val="99"/>
    <w:pPr>
      <w:ind w:left="100" w:leftChars="2500"/>
    </w:pPr>
  </w:style>
  <w:style w:type="paragraph" w:styleId="3">
    <w:name w:val="Body Text Indent 2"/>
    <w:basedOn w:val="1"/>
    <w:link w:val="14"/>
    <w:semiHidden/>
    <w:qFormat/>
    <w:uiPriority w:val="99"/>
    <w:pPr>
      <w:ind w:firstLine="588" w:firstLineChars="200"/>
    </w:pPr>
    <w:rPr>
      <w:rFonts w:ascii="仿宋_GB2312" w:hAnsi="Calibri" w:eastAsia="仿宋_GB2312"/>
      <w:sz w:val="32"/>
    </w:rPr>
  </w:style>
  <w:style w:type="paragraph" w:styleId="4">
    <w:name w:val="footer"/>
    <w:basedOn w:val="1"/>
    <w:link w:val="12"/>
    <w:semiHidden/>
    <w:qFormat/>
    <w:uiPriority w:val="99"/>
    <w:pPr>
      <w:tabs>
        <w:tab w:val="center" w:pos="4153"/>
        <w:tab w:val="right" w:pos="8306"/>
      </w:tabs>
      <w:snapToGrid w:val="0"/>
      <w:jc w:val="left"/>
    </w:pPr>
    <w:rPr>
      <w:kern w:val="0"/>
      <w:sz w:val="18"/>
      <w:szCs w:val="18"/>
    </w:rPr>
  </w:style>
  <w:style w:type="paragraph" w:styleId="5">
    <w:name w:val="header"/>
    <w:basedOn w:val="1"/>
    <w:link w:val="10"/>
    <w:semiHidden/>
    <w:qFormat/>
    <w:uiPriority w:val="99"/>
    <w:pPr>
      <w:tabs>
        <w:tab w:val="center" w:pos="4153"/>
        <w:tab w:val="right" w:pos="8306"/>
      </w:tabs>
      <w:snapToGrid w:val="0"/>
      <w:jc w:val="center"/>
    </w:pPr>
    <w:rPr>
      <w:sz w:val="18"/>
      <w:szCs w:val="18"/>
    </w:rPr>
  </w:style>
  <w:style w:type="character" w:styleId="8">
    <w:name w:val="FollowedHyperlink"/>
    <w:basedOn w:val="7"/>
    <w:semiHidden/>
    <w:qFormat/>
    <w:uiPriority w:val="99"/>
    <w:rPr>
      <w:rFonts w:cs="Times New Roman"/>
      <w:color w:val="800080"/>
      <w:u w:val="single"/>
    </w:rPr>
  </w:style>
  <w:style w:type="character" w:styleId="9">
    <w:name w:val="Hyperlink"/>
    <w:basedOn w:val="7"/>
    <w:semiHidden/>
    <w:qFormat/>
    <w:uiPriority w:val="99"/>
    <w:rPr>
      <w:rFonts w:cs="Times New Roman"/>
      <w:color w:val="0000FF"/>
      <w:u w:val="single"/>
    </w:rPr>
  </w:style>
  <w:style w:type="character" w:customStyle="1" w:styleId="10">
    <w:name w:val="页眉 Char"/>
    <w:basedOn w:val="7"/>
    <w:link w:val="5"/>
    <w:semiHidden/>
    <w:qFormat/>
    <w:locked/>
    <w:uiPriority w:val="99"/>
    <w:rPr>
      <w:rFonts w:ascii="Times New Roman" w:hAnsi="Times New Roman" w:eastAsia="宋体" w:cs="Times New Roman"/>
      <w:sz w:val="18"/>
      <w:szCs w:val="18"/>
    </w:rPr>
  </w:style>
  <w:style w:type="character" w:customStyle="1" w:styleId="11">
    <w:name w:val="Footer Char"/>
    <w:basedOn w:val="7"/>
    <w:link w:val="4"/>
    <w:semiHidden/>
    <w:qFormat/>
    <w:locked/>
    <w:uiPriority w:val="99"/>
    <w:rPr>
      <w:rFonts w:ascii="Times New Roman" w:hAnsi="Times New Roman" w:eastAsia="宋体" w:cs="Times New Roman"/>
      <w:kern w:val="0"/>
      <w:sz w:val="18"/>
      <w:szCs w:val="18"/>
    </w:rPr>
  </w:style>
  <w:style w:type="character" w:customStyle="1" w:styleId="12">
    <w:name w:val="页脚 Char"/>
    <w:basedOn w:val="7"/>
    <w:link w:val="4"/>
    <w:semiHidden/>
    <w:qFormat/>
    <w:locked/>
    <w:uiPriority w:val="99"/>
    <w:rPr>
      <w:rFonts w:ascii="Times New Roman" w:hAnsi="Times New Roman" w:eastAsia="宋体" w:cs="Times New Roman"/>
      <w:sz w:val="18"/>
      <w:szCs w:val="18"/>
    </w:rPr>
  </w:style>
  <w:style w:type="character" w:customStyle="1" w:styleId="13">
    <w:name w:val="日期 Char"/>
    <w:basedOn w:val="7"/>
    <w:link w:val="2"/>
    <w:semiHidden/>
    <w:qFormat/>
    <w:locked/>
    <w:uiPriority w:val="99"/>
    <w:rPr>
      <w:rFonts w:ascii="Times New Roman" w:hAnsi="Times New Roman" w:eastAsia="宋体" w:cs="Times New Roman"/>
      <w:sz w:val="24"/>
      <w:szCs w:val="24"/>
    </w:rPr>
  </w:style>
  <w:style w:type="character" w:customStyle="1" w:styleId="14">
    <w:name w:val="正文文本缩进 2 Char"/>
    <w:basedOn w:val="7"/>
    <w:link w:val="3"/>
    <w:semiHidden/>
    <w:qFormat/>
    <w:locked/>
    <w:uiPriority w:val="99"/>
    <w:rPr>
      <w:rFonts w:ascii="仿宋_GB2312" w:hAnsi="Calibri" w:eastAsia="仿宋_GB2312" w:cs="Times New Roman"/>
      <w:sz w:val="24"/>
      <w:szCs w:val="24"/>
    </w:rPr>
  </w:style>
  <w:style w:type="paragraph" w:customStyle="1" w:styleId="15">
    <w:name w:val="Char"/>
    <w:basedOn w:val="1"/>
    <w:qFormat/>
    <w:uiPriority w:val="99"/>
    <w:pPr>
      <w:autoSpaceDE w:val="0"/>
      <w:autoSpaceDN w:val="0"/>
      <w:adjustRightInd w:val="0"/>
    </w:pPr>
    <w:rPr>
      <w:rFonts w:ascii="宋体" w:cs="宋体"/>
      <w:kern w:val="0"/>
      <w:sz w:val="20"/>
      <w:szCs w:val="20"/>
      <w:lang w:val="zh-CN"/>
    </w:rPr>
  </w:style>
  <w:style w:type="paragraph" w:customStyle="1" w:styleId="16">
    <w:name w:val="Char1"/>
    <w:basedOn w:val="1"/>
    <w:qFormat/>
    <w:uiPriority w:val="99"/>
    <w:rPr>
      <w:rFonts w:ascii="仿宋_GB2312" w:eastAsia="仿宋_GB2312"/>
      <w:sz w:val="32"/>
    </w:rPr>
  </w:style>
  <w:style w:type="paragraph" w:customStyle="1" w:styleId="17">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8">
    <w:name w:val="标题 3 Char Char"/>
    <w:qFormat/>
    <w:uiPriority w:val="99"/>
    <w:rPr>
      <w:rFonts w:ascii="楷体_GB2312" w:eastAsia="楷体_GB2312"/>
      <w:b/>
      <w:kern w:val="2"/>
      <w:sz w:val="24"/>
      <w:lang w:val="en-US" w:eastAsia="zh-CN"/>
    </w:rPr>
  </w:style>
  <w:style w:type="paragraph" w:customStyle="1" w:styleId="19">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4234</Words>
  <Characters>4700</Characters>
  <Lines>38</Lines>
  <Paragraphs>10</Paragraphs>
  <TotalTime>3</TotalTime>
  <ScaleCrop>false</ScaleCrop>
  <LinksUpToDate>false</LinksUpToDate>
  <CharactersWithSpaces>4747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dcterms:modified xsi:type="dcterms:W3CDTF">2022-10-28T00:59:56Z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A540C1E62831465EB1B6D2D417B0BDC3</vt:lpwstr>
  </property>
</Properties>
</file>