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rPr>
        <w:t>岳阳县交通运输局</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rPr>
        <w:t>273001</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rPr>
        <w:t>2022</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rPr>
        <w:t>6</w:t>
      </w:r>
      <w:r>
        <w:rPr>
          <w:rFonts w:eastAsia="仿宋_GB2312"/>
          <w:sz w:val="32"/>
        </w:rPr>
        <w:t xml:space="preserve">  </w:t>
      </w:r>
      <w:r>
        <w:rPr>
          <w:rFonts w:hint="eastAsia" w:eastAsia="仿宋_GB2312"/>
          <w:sz w:val="32"/>
        </w:rPr>
        <w:t>月</w:t>
      </w:r>
      <w:r>
        <w:rPr>
          <w:rFonts w:eastAsia="仿宋_GB2312"/>
          <w:sz w:val="32"/>
        </w:rPr>
        <w:t xml:space="preserve">  </w:t>
      </w:r>
      <w:r>
        <w:rPr>
          <w:rFonts w:hint="eastAsia" w:eastAsia="仿宋_GB2312"/>
          <w:sz w:val="32"/>
        </w:rPr>
        <w:t>29</w:t>
      </w:r>
      <w:r>
        <w:rPr>
          <w:rFonts w:eastAsia="仿宋_GB2312"/>
          <w:sz w:val="32"/>
        </w:rPr>
        <w:t xml:space="preserve">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岳阳县交通运输</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5"/>
        <w:tblW w:w="104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545"/>
        <w:gridCol w:w="640"/>
        <w:gridCol w:w="625"/>
        <w:gridCol w:w="1333"/>
        <w:gridCol w:w="1450"/>
        <w:gridCol w:w="277"/>
        <w:gridCol w:w="24"/>
        <w:gridCol w:w="1316"/>
        <w:gridCol w:w="484"/>
        <w:gridCol w:w="975"/>
        <w:gridCol w:w="357"/>
        <w:gridCol w:w="234"/>
        <w:gridCol w:w="600"/>
        <w:gridCol w:w="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460" w:type="dxa"/>
            <w:gridSpan w:val="14"/>
            <w:vAlign w:val="center"/>
          </w:tcPr>
          <w:p>
            <w:pPr>
              <w:autoSpaceDN w:val="0"/>
              <w:spacing w:line="400" w:lineRule="exact"/>
              <w:jc w:val="center"/>
              <w:textAlignment w:val="center"/>
              <w:rPr>
                <w:rFonts w:ascii="宋体" w:cs="仿宋_GB2312"/>
                <w:b/>
                <w:color w:val="000000"/>
                <w:sz w:val="24"/>
              </w:rPr>
            </w:pPr>
            <w:r>
              <w:rPr>
                <w:rFonts w:hint="eastAsia" w:ascii="宋体" w:hAnsi="宋体" w:cs="黑体"/>
                <w:b/>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80" w:hRule="atLeast"/>
          <w:jc w:val="center"/>
        </w:trPr>
        <w:tc>
          <w:tcPr>
            <w:tcW w:w="2185" w:type="dxa"/>
            <w:gridSpan w:val="2"/>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联系人</w:t>
            </w:r>
          </w:p>
        </w:tc>
        <w:tc>
          <w:tcPr>
            <w:tcW w:w="3685" w:type="dxa"/>
            <w:gridSpan w:val="4"/>
            <w:vAlign w:val="center"/>
          </w:tcPr>
          <w:p>
            <w:pPr>
              <w:autoSpaceDN w:val="0"/>
              <w:spacing w:line="400" w:lineRule="exact"/>
              <w:jc w:val="center"/>
              <w:textAlignment w:val="center"/>
              <w:rPr>
                <w:rFonts w:ascii="宋体" w:cs="仿宋_GB2312"/>
                <w:color w:val="000000"/>
                <w:sz w:val="24"/>
              </w:rPr>
            </w:pPr>
            <w:r>
              <w:rPr>
                <w:rFonts w:hint="eastAsia" w:ascii="宋体" w:hAnsi="宋体"/>
                <w:sz w:val="32"/>
                <w:szCs w:val="32"/>
              </w:rPr>
              <w:t>陈芳</w:t>
            </w:r>
          </w:p>
        </w:tc>
        <w:tc>
          <w:tcPr>
            <w:tcW w:w="2799" w:type="dxa"/>
            <w:gridSpan w:val="4"/>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联络电话</w:t>
            </w:r>
          </w:p>
        </w:tc>
        <w:tc>
          <w:tcPr>
            <w:tcW w:w="1791" w:type="dxa"/>
            <w:gridSpan w:val="4"/>
            <w:vAlign w:val="center"/>
          </w:tcPr>
          <w:p>
            <w:pPr>
              <w:spacing w:beforeLines="50" w:line="348" w:lineRule="auto"/>
              <w:rPr>
                <w:rFonts w:ascii="宋体"/>
                <w:sz w:val="28"/>
                <w:szCs w:val="28"/>
              </w:rPr>
            </w:pPr>
            <w:r>
              <w:rPr>
                <w:rFonts w:ascii="宋体" w:hAnsi="宋体"/>
                <w:sz w:val="28"/>
                <w:szCs w:val="28"/>
              </w:rPr>
              <w:t>19873066669</w:t>
            </w:r>
          </w:p>
          <w:p>
            <w:pPr>
              <w:autoSpaceDN w:val="0"/>
              <w:spacing w:line="400" w:lineRule="exact"/>
              <w:jc w:val="center"/>
              <w:textAlignment w:val="center"/>
              <w:rPr>
                <w:rFonts w:ascii="宋体"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185" w:type="dxa"/>
            <w:gridSpan w:val="2"/>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人员编制</w:t>
            </w:r>
          </w:p>
        </w:tc>
        <w:tc>
          <w:tcPr>
            <w:tcW w:w="3685" w:type="dxa"/>
            <w:gridSpan w:val="4"/>
            <w:vAlign w:val="center"/>
          </w:tcPr>
          <w:p>
            <w:pPr>
              <w:autoSpaceDN w:val="0"/>
              <w:spacing w:line="400" w:lineRule="exact"/>
              <w:jc w:val="center"/>
              <w:textAlignment w:val="center"/>
              <w:rPr>
                <w:rFonts w:ascii="宋体" w:cs="仿宋_GB2312"/>
                <w:color w:val="000000"/>
                <w:sz w:val="24"/>
              </w:rPr>
            </w:pPr>
            <w:r>
              <w:rPr>
                <w:rFonts w:ascii="宋体" w:hAnsi="宋体" w:cs="仿宋_GB2312"/>
                <w:color w:val="000000"/>
                <w:sz w:val="24"/>
              </w:rPr>
              <w:t>1</w:t>
            </w:r>
            <w:r>
              <w:rPr>
                <w:rFonts w:hint="eastAsia" w:ascii="宋体" w:hAnsi="宋体" w:cs="仿宋_GB2312"/>
                <w:color w:val="000000"/>
                <w:sz w:val="24"/>
              </w:rPr>
              <w:t>8</w:t>
            </w:r>
          </w:p>
        </w:tc>
        <w:tc>
          <w:tcPr>
            <w:tcW w:w="2799" w:type="dxa"/>
            <w:gridSpan w:val="4"/>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实有人数</w:t>
            </w:r>
          </w:p>
        </w:tc>
        <w:tc>
          <w:tcPr>
            <w:tcW w:w="1791" w:type="dxa"/>
            <w:gridSpan w:val="4"/>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2185" w:type="dxa"/>
            <w:gridSpan w:val="2"/>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职能职责概述</w:t>
            </w:r>
          </w:p>
        </w:tc>
        <w:tc>
          <w:tcPr>
            <w:tcW w:w="8275" w:type="dxa"/>
            <w:gridSpan w:val="12"/>
            <w:vAlign w:val="center"/>
          </w:tcPr>
          <w:p>
            <w:pPr>
              <w:autoSpaceDN w:val="0"/>
              <w:spacing w:line="400" w:lineRule="exact"/>
              <w:jc w:val="left"/>
              <w:textAlignment w:val="center"/>
              <w:rPr>
                <w:rFonts w:ascii="宋体" w:cs="仿宋_GB2312"/>
                <w:color w:val="000000"/>
                <w:sz w:val="24"/>
              </w:rPr>
            </w:pPr>
            <w:r>
              <w:rPr>
                <w:rFonts w:ascii="宋体" w:hAnsi="宋体" w:cs="仿宋_GB2312"/>
                <w:color w:val="000000"/>
                <w:sz w:val="24"/>
              </w:rPr>
              <w:t>1</w:t>
            </w:r>
            <w:r>
              <w:rPr>
                <w:rFonts w:hint="eastAsia" w:ascii="宋体" w:hAnsi="宋体" w:cs="仿宋_GB2312"/>
                <w:color w:val="000000"/>
                <w:sz w:val="24"/>
              </w:rPr>
              <w:t>、全县公路水路交通基础设施规划建设</w:t>
            </w:r>
          </w:p>
          <w:p>
            <w:pPr>
              <w:autoSpaceDN w:val="0"/>
              <w:spacing w:line="400" w:lineRule="exact"/>
              <w:jc w:val="left"/>
              <w:textAlignment w:val="center"/>
              <w:rPr>
                <w:rFonts w:ascii="宋体" w:cs="仿宋_GB2312"/>
                <w:color w:val="000000"/>
                <w:sz w:val="24"/>
              </w:rPr>
            </w:pPr>
            <w:r>
              <w:rPr>
                <w:rFonts w:ascii="宋体" w:hAnsi="宋体" w:cs="仿宋_GB2312"/>
                <w:color w:val="000000"/>
                <w:sz w:val="24"/>
              </w:rPr>
              <w:t>2</w:t>
            </w:r>
            <w:r>
              <w:rPr>
                <w:rFonts w:hint="eastAsia" w:ascii="宋体" w:hAnsi="宋体" w:cs="仿宋_GB2312"/>
                <w:color w:val="000000"/>
                <w:sz w:val="24"/>
              </w:rPr>
              <w:t>、道路水路运输市场管理</w:t>
            </w:r>
          </w:p>
          <w:p>
            <w:pPr>
              <w:autoSpaceDN w:val="0"/>
              <w:spacing w:line="400" w:lineRule="exact"/>
              <w:jc w:val="left"/>
              <w:textAlignment w:val="center"/>
              <w:rPr>
                <w:rFonts w:ascii="宋体" w:cs="仿宋_GB2312"/>
                <w:color w:val="000000"/>
                <w:sz w:val="24"/>
              </w:rPr>
            </w:pPr>
            <w:r>
              <w:rPr>
                <w:rFonts w:ascii="宋体" w:hAnsi="宋体" w:cs="仿宋_GB2312"/>
                <w:color w:val="000000"/>
                <w:sz w:val="24"/>
              </w:rPr>
              <w:t>3</w:t>
            </w:r>
            <w:r>
              <w:rPr>
                <w:rFonts w:hint="eastAsia" w:ascii="宋体" w:hAnsi="宋体" w:cs="仿宋_GB2312"/>
                <w:color w:val="000000"/>
                <w:sz w:val="24"/>
              </w:rPr>
              <w:t>、交通工程质量安全监督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2185" w:type="dxa"/>
            <w:gridSpan w:val="2"/>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年度主要工作内容</w:t>
            </w:r>
          </w:p>
        </w:tc>
        <w:tc>
          <w:tcPr>
            <w:tcW w:w="8275" w:type="dxa"/>
            <w:gridSpan w:val="12"/>
            <w:vAlign w:val="center"/>
          </w:tcPr>
          <w:p>
            <w:pPr>
              <w:autoSpaceDN w:val="0"/>
              <w:spacing w:line="400" w:lineRule="exact"/>
              <w:jc w:val="left"/>
              <w:textAlignment w:val="center"/>
              <w:rPr>
                <w:rFonts w:ascii="宋体" w:cs="仿宋_GB2312"/>
                <w:color w:val="000000"/>
                <w:sz w:val="24"/>
              </w:rPr>
            </w:pPr>
            <w:r>
              <w:rPr>
                <w:rFonts w:hint="eastAsia" w:ascii="宋体" w:hAnsi="宋体" w:cs="仿宋_GB2312"/>
                <w:color w:val="000000"/>
                <w:sz w:val="24"/>
              </w:rPr>
              <w:t>任务</w:t>
            </w:r>
            <w:r>
              <w:rPr>
                <w:rFonts w:ascii="宋体" w:hAnsi="宋体" w:cs="仿宋_GB2312"/>
                <w:color w:val="000000"/>
                <w:sz w:val="24"/>
              </w:rPr>
              <w:t>1</w:t>
            </w:r>
            <w:r>
              <w:rPr>
                <w:rFonts w:hint="eastAsia" w:ascii="宋体" w:hAnsi="宋体" w:cs="仿宋_GB2312"/>
                <w:color w:val="000000"/>
                <w:sz w:val="24"/>
              </w:rPr>
              <w:t>：完成好重点交通项目建设协调工作；</w:t>
            </w:r>
          </w:p>
          <w:p>
            <w:pPr>
              <w:autoSpaceDN w:val="0"/>
              <w:spacing w:line="400" w:lineRule="exact"/>
              <w:jc w:val="left"/>
              <w:textAlignment w:val="center"/>
              <w:rPr>
                <w:rFonts w:ascii="宋体" w:cs="仿宋_GB2312"/>
                <w:color w:val="000000"/>
                <w:sz w:val="24"/>
              </w:rPr>
            </w:pPr>
            <w:r>
              <w:rPr>
                <w:rFonts w:hint="eastAsia" w:ascii="宋体" w:hAnsi="宋体" w:cs="仿宋_GB2312"/>
                <w:color w:val="000000"/>
                <w:sz w:val="24"/>
              </w:rPr>
              <w:t>任务</w:t>
            </w:r>
            <w:r>
              <w:rPr>
                <w:rFonts w:ascii="宋体" w:hAnsi="宋体" w:cs="仿宋_GB2312"/>
                <w:color w:val="000000"/>
                <w:sz w:val="24"/>
              </w:rPr>
              <w:t>2</w:t>
            </w:r>
            <w:r>
              <w:rPr>
                <w:rFonts w:hint="eastAsia" w:ascii="宋体" w:hAnsi="宋体" w:cs="仿宋_GB2312"/>
                <w:color w:val="000000"/>
                <w:sz w:val="24"/>
              </w:rPr>
              <w:t>：完成好年度省下达民生实事实施工作；</w:t>
            </w:r>
          </w:p>
          <w:p>
            <w:pPr>
              <w:autoSpaceDN w:val="0"/>
              <w:spacing w:line="400" w:lineRule="exact"/>
              <w:jc w:val="left"/>
              <w:textAlignment w:val="center"/>
              <w:rPr>
                <w:rFonts w:ascii="宋体" w:cs="仿宋_GB2312"/>
                <w:color w:val="000000"/>
                <w:sz w:val="24"/>
              </w:rPr>
            </w:pPr>
            <w:r>
              <w:rPr>
                <w:rFonts w:hint="eastAsia" w:ascii="宋体" w:hAnsi="宋体" w:cs="仿宋_GB2312"/>
                <w:color w:val="000000"/>
                <w:sz w:val="24"/>
              </w:rPr>
              <w:t>任务</w:t>
            </w:r>
            <w:r>
              <w:rPr>
                <w:rFonts w:ascii="宋体" w:hAnsi="宋体" w:cs="仿宋_GB2312"/>
                <w:color w:val="000000"/>
                <w:sz w:val="24"/>
              </w:rPr>
              <w:t>3</w:t>
            </w:r>
            <w:r>
              <w:rPr>
                <w:rFonts w:hint="eastAsia" w:ascii="宋体" w:hAnsi="宋体" w:cs="仿宋_GB2312"/>
                <w:color w:val="000000"/>
                <w:sz w:val="24"/>
              </w:rPr>
              <w:t>：落实好道路水路交通安全和市场监管责任；</w:t>
            </w:r>
          </w:p>
          <w:p>
            <w:pPr>
              <w:autoSpaceDN w:val="0"/>
              <w:spacing w:line="400" w:lineRule="exact"/>
              <w:jc w:val="left"/>
              <w:textAlignment w:val="center"/>
              <w:rPr>
                <w:rFonts w:ascii="宋体" w:cs="仿宋_GB2312"/>
                <w:color w:val="000000"/>
                <w:sz w:val="24"/>
              </w:rPr>
            </w:pPr>
            <w:r>
              <w:rPr>
                <w:rFonts w:hint="eastAsia" w:ascii="宋体" w:hAnsi="宋体" w:cs="仿宋_GB2312"/>
                <w:color w:val="000000"/>
                <w:sz w:val="24"/>
              </w:rPr>
              <w:t>任务</w:t>
            </w:r>
            <w:r>
              <w:rPr>
                <w:rFonts w:ascii="宋体" w:hAnsi="宋体" w:cs="仿宋_GB2312"/>
                <w:color w:val="000000"/>
                <w:sz w:val="24"/>
              </w:rPr>
              <w:t>4</w:t>
            </w:r>
            <w:r>
              <w:rPr>
                <w:rFonts w:hint="eastAsia" w:ascii="宋体" w:hAnsi="宋体" w:cs="仿宋_GB2312"/>
                <w:color w:val="000000"/>
                <w:sz w:val="24"/>
              </w:rPr>
              <w:t>：其他日常工作事务及临时性工作。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2185" w:type="dxa"/>
            <w:gridSpan w:val="2"/>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年度部门（单位）总体运行情况及取得的成绩</w:t>
            </w:r>
          </w:p>
        </w:tc>
        <w:tc>
          <w:tcPr>
            <w:tcW w:w="8275" w:type="dxa"/>
            <w:gridSpan w:val="12"/>
            <w:vAlign w:val="center"/>
          </w:tcPr>
          <w:p>
            <w:pPr>
              <w:autoSpaceDN w:val="0"/>
              <w:spacing w:line="400" w:lineRule="exact"/>
              <w:jc w:val="left"/>
              <w:textAlignment w:val="center"/>
              <w:rPr>
                <w:rFonts w:ascii="宋体" w:cs="仿宋_GB2312"/>
                <w:sz w:val="24"/>
              </w:rPr>
            </w:pPr>
            <w:r>
              <w:rPr>
                <w:rFonts w:hint="eastAsia" w:ascii="宋体" w:hAnsi="宋体" w:cs="仿宋_GB2312"/>
                <w:sz w:val="24"/>
              </w:rPr>
              <w:t>岳阳县交通运输局</w:t>
            </w:r>
            <w:r>
              <w:rPr>
                <w:rFonts w:ascii="宋体" w:hAnsi="宋体" w:cs="仿宋_GB2312"/>
                <w:sz w:val="24"/>
              </w:rPr>
              <w:t>2020</w:t>
            </w:r>
            <w:r>
              <w:rPr>
                <w:rFonts w:hint="eastAsia" w:ascii="宋体" w:hAnsi="宋体" w:cs="仿宋_GB2312"/>
                <w:sz w:val="24"/>
              </w:rPr>
              <w:t>年总收入7646</w:t>
            </w:r>
            <w:r>
              <w:rPr>
                <w:rFonts w:ascii="宋体" w:cs="仿宋_GB2312"/>
                <w:sz w:val="24"/>
              </w:rPr>
              <w:t>.</w:t>
            </w:r>
            <w:r>
              <w:rPr>
                <w:rFonts w:hint="eastAsia" w:ascii="宋体" w:hAnsi="宋体" w:cs="仿宋_GB2312"/>
                <w:sz w:val="24"/>
              </w:rPr>
              <w:t>01万元，总支出9685.85万元，基本支出1021.47万元。工资福利支出635</w:t>
            </w:r>
            <w:r>
              <w:rPr>
                <w:rFonts w:ascii="宋体" w:cs="仿宋_GB2312"/>
                <w:sz w:val="24"/>
              </w:rPr>
              <w:t>.</w:t>
            </w:r>
            <w:r>
              <w:rPr>
                <w:rFonts w:hint="eastAsia" w:ascii="宋体" w:hAnsi="宋体" w:cs="仿宋_GB2312"/>
                <w:sz w:val="24"/>
              </w:rPr>
              <w:t>35万元，对个人和家庭补助支出52.05万元</w:t>
            </w:r>
            <w:r>
              <w:rPr>
                <w:rFonts w:ascii="宋体" w:cs="仿宋_GB2312"/>
                <w:sz w:val="24"/>
              </w:rPr>
              <w:t>,</w:t>
            </w:r>
            <w:r>
              <w:rPr>
                <w:rFonts w:hint="eastAsia" w:ascii="宋体" w:hAnsi="宋体" w:cs="仿宋_GB2312"/>
                <w:sz w:val="24"/>
              </w:rPr>
              <w:t>对企业补助32.44万元，一般商品服务支出300.92万元。上级专项项目经费8664.38万元，项目建设稳步推进，如期完成年初目标任务，行业监管不断加强，队伍执法水平不断提升，确保道路运输安全及城区交通秩序持续好转，群众满意度不断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460" w:type="dxa"/>
            <w:gridSpan w:val="14"/>
            <w:vAlign w:val="center"/>
          </w:tcPr>
          <w:p>
            <w:pPr>
              <w:autoSpaceDN w:val="0"/>
              <w:spacing w:line="400" w:lineRule="exact"/>
              <w:jc w:val="center"/>
              <w:textAlignment w:val="center"/>
              <w:rPr>
                <w:rFonts w:ascii="宋体" w:cs="仿宋_GB2312"/>
                <w:b/>
                <w:color w:val="000000"/>
                <w:sz w:val="24"/>
              </w:rPr>
            </w:pPr>
            <w:r>
              <w:rPr>
                <w:rFonts w:hint="eastAsia" w:ascii="宋体" w:hAnsi="宋体" w:cs="黑体"/>
                <w:b/>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460" w:type="dxa"/>
            <w:gridSpan w:val="14"/>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45" w:type="dxa"/>
            <w:vMerge w:val="restart"/>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机构名称</w:t>
            </w:r>
          </w:p>
        </w:tc>
        <w:tc>
          <w:tcPr>
            <w:tcW w:w="1265" w:type="dxa"/>
            <w:gridSpan w:val="2"/>
            <w:vMerge w:val="restart"/>
            <w:tcBorders>
              <w:righ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收入合计</w:t>
            </w:r>
          </w:p>
        </w:tc>
        <w:tc>
          <w:tcPr>
            <w:tcW w:w="7650" w:type="dxa"/>
            <w:gridSpan w:val="11"/>
            <w:tcBorders>
              <w:lef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45" w:type="dxa"/>
            <w:vMerge w:val="continue"/>
            <w:vAlign w:val="center"/>
          </w:tcPr>
          <w:p>
            <w:pPr>
              <w:autoSpaceDN w:val="0"/>
              <w:spacing w:line="400" w:lineRule="exact"/>
              <w:jc w:val="center"/>
              <w:textAlignment w:val="center"/>
              <w:rPr>
                <w:rFonts w:ascii="宋体" w:cs="仿宋_GB2312"/>
                <w:color w:val="000000"/>
                <w:sz w:val="24"/>
              </w:rPr>
            </w:pPr>
          </w:p>
        </w:tc>
        <w:tc>
          <w:tcPr>
            <w:tcW w:w="1265" w:type="dxa"/>
            <w:gridSpan w:val="2"/>
            <w:vMerge w:val="continue"/>
            <w:tcBorders>
              <w:righ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1333" w:type="dxa"/>
            <w:tcBorders>
              <w:lef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上年结转</w:t>
            </w:r>
          </w:p>
        </w:tc>
        <w:tc>
          <w:tcPr>
            <w:tcW w:w="1450" w:type="dxa"/>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公共财政拨款</w:t>
            </w:r>
          </w:p>
        </w:tc>
        <w:tc>
          <w:tcPr>
            <w:tcW w:w="1617" w:type="dxa"/>
            <w:gridSpan w:val="3"/>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政府基金拨款</w:t>
            </w:r>
          </w:p>
        </w:tc>
        <w:tc>
          <w:tcPr>
            <w:tcW w:w="1816" w:type="dxa"/>
            <w:gridSpan w:val="3"/>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纳入专户管理的非税收入拨款</w:t>
            </w:r>
          </w:p>
        </w:tc>
        <w:tc>
          <w:tcPr>
            <w:tcW w:w="1434" w:type="dxa"/>
            <w:gridSpan w:val="3"/>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 w:hRule="atLeast"/>
          <w:jc w:val="center"/>
        </w:trPr>
        <w:tc>
          <w:tcPr>
            <w:tcW w:w="1545" w:type="dxa"/>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局机关及二级机构汇总</w:t>
            </w:r>
          </w:p>
        </w:tc>
        <w:tc>
          <w:tcPr>
            <w:tcW w:w="1265" w:type="dxa"/>
            <w:gridSpan w:val="2"/>
            <w:tcBorders>
              <w:right w:val="single" w:color="auto" w:sz="4" w:space="0"/>
            </w:tcBorders>
            <w:vAlign w:val="center"/>
          </w:tcPr>
          <w:p>
            <w:pPr>
              <w:autoSpaceDN w:val="0"/>
              <w:spacing w:line="400" w:lineRule="exact"/>
              <w:jc w:val="left"/>
              <w:textAlignment w:val="center"/>
              <w:rPr>
                <w:rFonts w:ascii="宋体" w:cs="仿宋_GB2312"/>
                <w:color w:val="000000"/>
                <w:sz w:val="24"/>
              </w:rPr>
            </w:pPr>
            <w:r>
              <w:rPr>
                <w:rFonts w:hint="eastAsia" w:ascii="宋体" w:hAnsi="宋体" w:cs="仿宋_GB2312"/>
                <w:color w:val="000000"/>
                <w:sz w:val="24"/>
              </w:rPr>
              <w:t>7646.01</w:t>
            </w:r>
          </w:p>
        </w:tc>
        <w:tc>
          <w:tcPr>
            <w:tcW w:w="1333" w:type="dxa"/>
            <w:tcBorders>
              <w:left w:val="single" w:color="auto" w:sz="4" w:space="0"/>
            </w:tcBorders>
            <w:vAlign w:val="center"/>
          </w:tcPr>
          <w:p>
            <w:pPr>
              <w:autoSpaceDN w:val="0"/>
              <w:spacing w:line="400" w:lineRule="exact"/>
              <w:jc w:val="left"/>
              <w:textAlignment w:val="center"/>
              <w:rPr>
                <w:rFonts w:ascii="宋体" w:cs="仿宋_GB2312"/>
                <w:color w:val="000000"/>
                <w:sz w:val="24"/>
              </w:rPr>
            </w:pPr>
            <w:r>
              <w:rPr>
                <w:rFonts w:ascii="宋体" w:cs="仿宋_GB2312"/>
                <w:color w:val="000000"/>
                <w:sz w:val="24"/>
              </w:rPr>
              <w:t>0</w:t>
            </w:r>
          </w:p>
        </w:tc>
        <w:tc>
          <w:tcPr>
            <w:tcW w:w="1450" w:type="dxa"/>
            <w:vAlign w:val="center"/>
          </w:tcPr>
          <w:p>
            <w:pPr>
              <w:autoSpaceDN w:val="0"/>
              <w:spacing w:line="400" w:lineRule="exact"/>
              <w:jc w:val="left"/>
              <w:textAlignment w:val="center"/>
              <w:rPr>
                <w:rFonts w:ascii="宋体" w:cs="仿宋_GB2312"/>
                <w:color w:val="000000"/>
                <w:sz w:val="24"/>
              </w:rPr>
            </w:pPr>
            <w:r>
              <w:rPr>
                <w:rFonts w:hint="eastAsia" w:ascii="宋体" w:hAnsi="宋体" w:cs="仿宋_GB2312"/>
                <w:color w:val="000000"/>
                <w:sz w:val="24"/>
              </w:rPr>
              <w:t>7133.89</w:t>
            </w:r>
          </w:p>
        </w:tc>
        <w:tc>
          <w:tcPr>
            <w:tcW w:w="1617" w:type="dxa"/>
            <w:gridSpan w:val="3"/>
            <w:vAlign w:val="center"/>
          </w:tcPr>
          <w:p>
            <w:pPr>
              <w:autoSpaceDN w:val="0"/>
              <w:spacing w:line="400" w:lineRule="exact"/>
              <w:jc w:val="left"/>
              <w:textAlignment w:val="center"/>
              <w:rPr>
                <w:rFonts w:ascii="宋体" w:cs="仿宋_GB2312"/>
                <w:color w:val="000000"/>
                <w:sz w:val="24"/>
              </w:rPr>
            </w:pPr>
          </w:p>
        </w:tc>
        <w:tc>
          <w:tcPr>
            <w:tcW w:w="1816" w:type="dxa"/>
            <w:gridSpan w:val="3"/>
            <w:vAlign w:val="center"/>
          </w:tcPr>
          <w:p>
            <w:pPr>
              <w:autoSpaceDN w:val="0"/>
              <w:spacing w:line="400" w:lineRule="exact"/>
              <w:jc w:val="center"/>
              <w:textAlignment w:val="center"/>
              <w:rPr>
                <w:rFonts w:ascii="宋体" w:cs="仿宋_GB2312"/>
                <w:color w:val="000000"/>
                <w:sz w:val="24"/>
              </w:rPr>
            </w:pPr>
          </w:p>
        </w:tc>
        <w:tc>
          <w:tcPr>
            <w:tcW w:w="1434" w:type="dxa"/>
            <w:gridSpan w:val="3"/>
            <w:vAlign w:val="center"/>
          </w:tcPr>
          <w:p>
            <w:pPr>
              <w:autoSpaceDN w:val="0"/>
              <w:spacing w:line="400" w:lineRule="exact"/>
              <w:jc w:val="left"/>
              <w:textAlignment w:val="center"/>
              <w:rPr>
                <w:rFonts w:ascii="宋体" w:cs="仿宋_GB2312"/>
                <w:color w:val="000000"/>
                <w:sz w:val="24"/>
              </w:rPr>
            </w:pPr>
            <w:r>
              <w:rPr>
                <w:rFonts w:hint="eastAsia" w:ascii="宋体" w:hAnsi="宋体" w:cs="仿宋_GB2312"/>
                <w:color w:val="000000"/>
                <w:sz w:val="24"/>
              </w:rPr>
              <w:t>512.12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45" w:type="dxa"/>
            <w:vAlign w:val="center"/>
          </w:tcPr>
          <w:p>
            <w:pPr>
              <w:spacing w:line="400" w:lineRule="exact"/>
              <w:rPr>
                <w:rFonts w:ascii="宋体" w:cs="仿宋_GB2312"/>
                <w:sz w:val="24"/>
              </w:rPr>
            </w:pPr>
            <w:r>
              <w:rPr>
                <w:rFonts w:ascii="宋体" w:hAnsi="宋体" w:cs="仿宋_GB2312"/>
                <w:sz w:val="24"/>
              </w:rPr>
              <w:t>1</w:t>
            </w:r>
            <w:r>
              <w:rPr>
                <w:rFonts w:hint="eastAsia" w:ascii="宋体" w:hAnsi="宋体" w:cs="仿宋_GB2312"/>
                <w:sz w:val="24"/>
              </w:rPr>
              <w:t>、局机关</w:t>
            </w:r>
          </w:p>
        </w:tc>
        <w:tc>
          <w:tcPr>
            <w:tcW w:w="1265" w:type="dxa"/>
            <w:gridSpan w:val="2"/>
            <w:tcBorders>
              <w:right w:val="single" w:color="auto" w:sz="4" w:space="0"/>
            </w:tcBorders>
            <w:vAlign w:val="center"/>
          </w:tcPr>
          <w:p>
            <w:pPr>
              <w:autoSpaceDN w:val="0"/>
              <w:spacing w:line="400" w:lineRule="exact"/>
              <w:jc w:val="left"/>
              <w:textAlignment w:val="center"/>
              <w:rPr>
                <w:rFonts w:ascii="宋体" w:cs="仿宋_GB2312"/>
                <w:color w:val="000000"/>
                <w:sz w:val="24"/>
              </w:rPr>
            </w:pPr>
            <w:r>
              <w:rPr>
                <w:rFonts w:hint="eastAsia" w:ascii="宋体" w:hAnsi="宋体" w:cs="仿宋_GB2312"/>
                <w:color w:val="000000"/>
                <w:sz w:val="24"/>
              </w:rPr>
              <w:t>7646.01</w:t>
            </w:r>
          </w:p>
        </w:tc>
        <w:tc>
          <w:tcPr>
            <w:tcW w:w="1333" w:type="dxa"/>
            <w:tcBorders>
              <w:left w:val="single" w:color="auto" w:sz="4" w:space="0"/>
            </w:tcBorders>
            <w:vAlign w:val="center"/>
          </w:tcPr>
          <w:p>
            <w:pPr>
              <w:autoSpaceDN w:val="0"/>
              <w:spacing w:line="400" w:lineRule="exact"/>
              <w:jc w:val="left"/>
              <w:textAlignment w:val="center"/>
              <w:rPr>
                <w:rFonts w:ascii="宋体" w:cs="仿宋_GB2312"/>
                <w:color w:val="000000"/>
                <w:sz w:val="24"/>
              </w:rPr>
            </w:pPr>
            <w:r>
              <w:rPr>
                <w:rFonts w:ascii="宋体" w:cs="仿宋_GB2312"/>
                <w:color w:val="000000"/>
                <w:sz w:val="24"/>
              </w:rPr>
              <w:t>0</w:t>
            </w:r>
          </w:p>
        </w:tc>
        <w:tc>
          <w:tcPr>
            <w:tcW w:w="1450" w:type="dxa"/>
            <w:vAlign w:val="center"/>
          </w:tcPr>
          <w:p>
            <w:pPr>
              <w:autoSpaceDN w:val="0"/>
              <w:spacing w:line="400" w:lineRule="exact"/>
              <w:jc w:val="left"/>
              <w:textAlignment w:val="center"/>
              <w:rPr>
                <w:rFonts w:ascii="宋体" w:cs="仿宋_GB2312"/>
                <w:color w:val="000000"/>
                <w:sz w:val="24"/>
              </w:rPr>
            </w:pPr>
            <w:r>
              <w:rPr>
                <w:rFonts w:hint="eastAsia" w:ascii="宋体" w:hAnsi="宋体" w:cs="仿宋_GB2312"/>
                <w:sz w:val="24"/>
              </w:rPr>
              <w:t>7133.89</w:t>
            </w:r>
          </w:p>
        </w:tc>
        <w:tc>
          <w:tcPr>
            <w:tcW w:w="1617" w:type="dxa"/>
            <w:gridSpan w:val="3"/>
            <w:vAlign w:val="center"/>
          </w:tcPr>
          <w:p>
            <w:pPr>
              <w:autoSpaceDN w:val="0"/>
              <w:spacing w:line="400" w:lineRule="exact"/>
              <w:jc w:val="left"/>
              <w:textAlignment w:val="center"/>
              <w:rPr>
                <w:rFonts w:ascii="宋体" w:cs="仿宋_GB2312"/>
                <w:color w:val="000000"/>
                <w:sz w:val="24"/>
              </w:rPr>
            </w:pPr>
          </w:p>
        </w:tc>
        <w:tc>
          <w:tcPr>
            <w:tcW w:w="1816" w:type="dxa"/>
            <w:gridSpan w:val="3"/>
            <w:vAlign w:val="center"/>
          </w:tcPr>
          <w:p>
            <w:pPr>
              <w:autoSpaceDN w:val="0"/>
              <w:spacing w:line="400" w:lineRule="exact"/>
              <w:jc w:val="center"/>
              <w:textAlignment w:val="center"/>
              <w:rPr>
                <w:rFonts w:ascii="宋体" w:cs="仿宋_GB2312"/>
                <w:color w:val="000000"/>
                <w:sz w:val="24"/>
              </w:rPr>
            </w:pPr>
          </w:p>
        </w:tc>
        <w:tc>
          <w:tcPr>
            <w:tcW w:w="1434" w:type="dxa"/>
            <w:gridSpan w:val="3"/>
            <w:vAlign w:val="center"/>
          </w:tcPr>
          <w:p>
            <w:pPr>
              <w:autoSpaceDN w:val="0"/>
              <w:spacing w:line="400" w:lineRule="exact"/>
              <w:jc w:val="left"/>
              <w:textAlignment w:val="center"/>
              <w:rPr>
                <w:rFonts w:ascii="宋体" w:cs="仿宋_GB2312"/>
                <w:color w:val="000000"/>
                <w:sz w:val="24"/>
              </w:rPr>
            </w:pPr>
            <w:r>
              <w:rPr>
                <w:rFonts w:hint="eastAsia" w:ascii="宋体" w:hAnsi="宋体" w:cs="仿宋_GB2312"/>
                <w:color w:val="000000"/>
                <w:sz w:val="24"/>
              </w:rPr>
              <w:t>512.12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45" w:type="dxa"/>
            <w:vAlign w:val="center"/>
          </w:tcPr>
          <w:p>
            <w:pPr>
              <w:spacing w:line="400" w:lineRule="exact"/>
              <w:rPr>
                <w:rFonts w:ascii="宋体" w:cs="仿宋_GB2312"/>
                <w:sz w:val="24"/>
              </w:rPr>
            </w:pPr>
            <w:r>
              <w:rPr>
                <w:rFonts w:ascii="宋体" w:hAnsi="宋体" w:cs="仿宋_GB2312"/>
                <w:sz w:val="24"/>
              </w:rPr>
              <w:t>2</w:t>
            </w:r>
            <w:r>
              <w:rPr>
                <w:rFonts w:hint="eastAsia" w:ascii="宋体" w:hAnsi="宋体" w:cs="仿宋_GB2312"/>
                <w:sz w:val="24"/>
              </w:rPr>
              <w:t>、二级机构</w:t>
            </w:r>
            <w:r>
              <w:rPr>
                <w:rFonts w:ascii="宋体" w:hAnsi="宋体" w:cs="仿宋_GB2312"/>
                <w:sz w:val="24"/>
              </w:rPr>
              <w:t>1</w:t>
            </w:r>
          </w:p>
        </w:tc>
        <w:tc>
          <w:tcPr>
            <w:tcW w:w="1265" w:type="dxa"/>
            <w:gridSpan w:val="2"/>
            <w:tcBorders>
              <w:right w:val="single" w:color="auto" w:sz="4" w:space="0"/>
            </w:tcBorders>
            <w:vAlign w:val="center"/>
          </w:tcPr>
          <w:p>
            <w:pPr>
              <w:autoSpaceDN w:val="0"/>
              <w:spacing w:line="400" w:lineRule="exact"/>
              <w:jc w:val="left"/>
              <w:textAlignment w:val="center"/>
              <w:rPr>
                <w:rFonts w:ascii="宋体" w:cs="仿宋_GB2312"/>
                <w:color w:val="000000"/>
                <w:sz w:val="24"/>
              </w:rPr>
            </w:pPr>
          </w:p>
        </w:tc>
        <w:tc>
          <w:tcPr>
            <w:tcW w:w="1333" w:type="dxa"/>
            <w:tcBorders>
              <w:left w:val="single" w:color="auto" w:sz="4" w:space="0"/>
            </w:tcBorders>
            <w:vAlign w:val="center"/>
          </w:tcPr>
          <w:p>
            <w:pPr>
              <w:autoSpaceDN w:val="0"/>
              <w:spacing w:line="400" w:lineRule="exact"/>
              <w:jc w:val="left"/>
              <w:textAlignment w:val="center"/>
              <w:rPr>
                <w:rFonts w:ascii="宋体" w:cs="仿宋_GB2312"/>
                <w:color w:val="000000"/>
                <w:sz w:val="24"/>
              </w:rPr>
            </w:pPr>
          </w:p>
        </w:tc>
        <w:tc>
          <w:tcPr>
            <w:tcW w:w="1450" w:type="dxa"/>
            <w:vAlign w:val="center"/>
          </w:tcPr>
          <w:p>
            <w:pPr>
              <w:autoSpaceDN w:val="0"/>
              <w:spacing w:line="400" w:lineRule="exact"/>
              <w:jc w:val="left"/>
              <w:textAlignment w:val="center"/>
              <w:rPr>
                <w:rFonts w:ascii="宋体" w:cs="仿宋_GB2312"/>
                <w:color w:val="000000"/>
                <w:sz w:val="24"/>
              </w:rPr>
            </w:pPr>
          </w:p>
        </w:tc>
        <w:tc>
          <w:tcPr>
            <w:tcW w:w="1617" w:type="dxa"/>
            <w:gridSpan w:val="3"/>
            <w:vAlign w:val="center"/>
          </w:tcPr>
          <w:p>
            <w:pPr>
              <w:autoSpaceDN w:val="0"/>
              <w:spacing w:line="400" w:lineRule="exact"/>
              <w:jc w:val="left"/>
              <w:textAlignment w:val="center"/>
              <w:rPr>
                <w:rFonts w:ascii="宋体" w:cs="仿宋_GB2312"/>
                <w:color w:val="000000"/>
                <w:sz w:val="24"/>
              </w:rPr>
            </w:pPr>
          </w:p>
        </w:tc>
        <w:tc>
          <w:tcPr>
            <w:tcW w:w="1816" w:type="dxa"/>
            <w:gridSpan w:val="3"/>
            <w:vAlign w:val="center"/>
          </w:tcPr>
          <w:p>
            <w:pPr>
              <w:autoSpaceDN w:val="0"/>
              <w:spacing w:line="400" w:lineRule="exact"/>
              <w:jc w:val="center"/>
              <w:textAlignment w:val="center"/>
              <w:rPr>
                <w:rFonts w:ascii="宋体" w:cs="仿宋_GB2312"/>
                <w:color w:val="000000"/>
                <w:sz w:val="24"/>
              </w:rPr>
            </w:pPr>
          </w:p>
        </w:tc>
        <w:tc>
          <w:tcPr>
            <w:tcW w:w="1434" w:type="dxa"/>
            <w:gridSpan w:val="3"/>
            <w:vAlign w:val="center"/>
          </w:tcPr>
          <w:p>
            <w:pPr>
              <w:autoSpaceDN w:val="0"/>
              <w:spacing w:line="400" w:lineRule="exact"/>
              <w:jc w:val="left"/>
              <w:textAlignment w:val="center"/>
              <w:rPr>
                <w:rFonts w:asci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45" w:type="dxa"/>
            <w:vAlign w:val="center"/>
          </w:tcPr>
          <w:p>
            <w:pPr>
              <w:spacing w:line="400" w:lineRule="exact"/>
              <w:rPr>
                <w:rFonts w:ascii="宋体" w:cs="仿宋_GB2312"/>
                <w:sz w:val="24"/>
              </w:rPr>
            </w:pPr>
            <w:r>
              <w:rPr>
                <w:rFonts w:ascii="宋体" w:hAnsi="宋体" w:cs="仿宋_GB2312"/>
                <w:sz w:val="24"/>
              </w:rPr>
              <w:t>3</w:t>
            </w:r>
            <w:r>
              <w:rPr>
                <w:rFonts w:hint="eastAsia" w:ascii="宋体" w:hAnsi="宋体" w:cs="仿宋_GB2312"/>
                <w:sz w:val="24"/>
              </w:rPr>
              <w:t>、二级机构</w:t>
            </w:r>
            <w:r>
              <w:rPr>
                <w:rFonts w:ascii="宋体" w:hAnsi="宋体" w:cs="仿宋_GB2312"/>
                <w:sz w:val="24"/>
              </w:rPr>
              <w:t>2</w:t>
            </w:r>
          </w:p>
        </w:tc>
        <w:tc>
          <w:tcPr>
            <w:tcW w:w="1265" w:type="dxa"/>
            <w:gridSpan w:val="2"/>
            <w:tcBorders>
              <w:right w:val="single" w:color="auto" w:sz="4" w:space="0"/>
            </w:tcBorders>
            <w:vAlign w:val="center"/>
          </w:tcPr>
          <w:p>
            <w:pPr>
              <w:autoSpaceDN w:val="0"/>
              <w:spacing w:line="400" w:lineRule="exact"/>
              <w:jc w:val="left"/>
              <w:textAlignment w:val="center"/>
              <w:rPr>
                <w:rFonts w:ascii="宋体" w:cs="仿宋_GB2312"/>
                <w:color w:val="000000"/>
                <w:sz w:val="24"/>
              </w:rPr>
            </w:pPr>
          </w:p>
        </w:tc>
        <w:tc>
          <w:tcPr>
            <w:tcW w:w="1333" w:type="dxa"/>
            <w:tcBorders>
              <w:left w:val="single" w:color="auto" w:sz="4" w:space="0"/>
            </w:tcBorders>
            <w:vAlign w:val="center"/>
          </w:tcPr>
          <w:p>
            <w:pPr>
              <w:autoSpaceDN w:val="0"/>
              <w:spacing w:line="400" w:lineRule="exact"/>
              <w:jc w:val="left"/>
              <w:textAlignment w:val="center"/>
              <w:rPr>
                <w:rFonts w:ascii="宋体" w:cs="仿宋_GB2312"/>
                <w:color w:val="000000"/>
                <w:sz w:val="24"/>
              </w:rPr>
            </w:pPr>
          </w:p>
        </w:tc>
        <w:tc>
          <w:tcPr>
            <w:tcW w:w="1450" w:type="dxa"/>
            <w:vAlign w:val="center"/>
          </w:tcPr>
          <w:p>
            <w:pPr>
              <w:autoSpaceDN w:val="0"/>
              <w:spacing w:line="400" w:lineRule="exact"/>
              <w:jc w:val="left"/>
              <w:textAlignment w:val="center"/>
              <w:rPr>
                <w:rFonts w:ascii="宋体" w:cs="仿宋_GB2312"/>
                <w:color w:val="000000"/>
                <w:sz w:val="24"/>
              </w:rPr>
            </w:pPr>
          </w:p>
        </w:tc>
        <w:tc>
          <w:tcPr>
            <w:tcW w:w="1617" w:type="dxa"/>
            <w:gridSpan w:val="3"/>
            <w:vAlign w:val="center"/>
          </w:tcPr>
          <w:p>
            <w:pPr>
              <w:autoSpaceDN w:val="0"/>
              <w:spacing w:line="400" w:lineRule="exact"/>
              <w:jc w:val="left"/>
              <w:textAlignment w:val="center"/>
              <w:rPr>
                <w:rFonts w:ascii="宋体" w:cs="仿宋_GB2312"/>
                <w:color w:val="000000"/>
                <w:sz w:val="24"/>
              </w:rPr>
            </w:pPr>
          </w:p>
        </w:tc>
        <w:tc>
          <w:tcPr>
            <w:tcW w:w="1816" w:type="dxa"/>
            <w:gridSpan w:val="3"/>
            <w:vAlign w:val="center"/>
          </w:tcPr>
          <w:p>
            <w:pPr>
              <w:autoSpaceDN w:val="0"/>
              <w:spacing w:line="400" w:lineRule="exact"/>
              <w:jc w:val="center"/>
              <w:textAlignment w:val="center"/>
              <w:rPr>
                <w:rFonts w:ascii="宋体" w:cs="仿宋_GB2312"/>
                <w:color w:val="000000"/>
                <w:sz w:val="24"/>
              </w:rPr>
            </w:pPr>
          </w:p>
        </w:tc>
        <w:tc>
          <w:tcPr>
            <w:tcW w:w="1434" w:type="dxa"/>
            <w:gridSpan w:val="3"/>
            <w:vAlign w:val="center"/>
          </w:tcPr>
          <w:p>
            <w:pPr>
              <w:autoSpaceDN w:val="0"/>
              <w:spacing w:line="400" w:lineRule="exact"/>
              <w:jc w:val="left"/>
              <w:textAlignment w:val="center"/>
              <w:rPr>
                <w:rFonts w:asci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0460" w:type="dxa"/>
            <w:gridSpan w:val="14"/>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Merge w:val="restart"/>
            <w:vAlign w:val="center"/>
          </w:tcPr>
          <w:p>
            <w:pPr>
              <w:snapToGrid w:val="0"/>
              <w:jc w:val="center"/>
              <w:rPr>
                <w:rFonts w:ascii="宋体" w:cs="仿宋_GB2312"/>
                <w:sz w:val="24"/>
              </w:rPr>
            </w:pPr>
            <w:r>
              <w:rPr>
                <w:rFonts w:hint="eastAsia" w:ascii="宋体" w:hAnsi="宋体" w:cs="仿宋_GB2312"/>
                <w:sz w:val="24"/>
              </w:rPr>
              <w:t>机构名称</w:t>
            </w:r>
          </w:p>
        </w:tc>
        <w:tc>
          <w:tcPr>
            <w:tcW w:w="1265" w:type="dxa"/>
            <w:gridSpan w:val="2"/>
            <w:vMerge w:val="restart"/>
            <w:tcBorders>
              <w:righ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支出合计</w:t>
            </w:r>
          </w:p>
        </w:tc>
        <w:tc>
          <w:tcPr>
            <w:tcW w:w="6450" w:type="dxa"/>
            <w:gridSpan w:val="9"/>
            <w:tcBorders>
              <w:left w:val="single" w:color="auto" w:sz="4" w:space="0"/>
              <w:righ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其中：</w:t>
            </w:r>
          </w:p>
        </w:tc>
        <w:tc>
          <w:tcPr>
            <w:tcW w:w="1200" w:type="dxa"/>
            <w:gridSpan w:val="2"/>
            <w:tcBorders>
              <w:lef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Merge w:val="continue"/>
            <w:vAlign w:val="center"/>
          </w:tcPr>
          <w:p>
            <w:pPr>
              <w:spacing w:line="400" w:lineRule="exact"/>
              <w:jc w:val="center"/>
              <w:rPr>
                <w:rFonts w:ascii="宋体" w:cs="仿宋_GB2312"/>
                <w:sz w:val="24"/>
              </w:rPr>
            </w:pPr>
          </w:p>
        </w:tc>
        <w:tc>
          <w:tcPr>
            <w:tcW w:w="1265" w:type="dxa"/>
            <w:gridSpan w:val="2"/>
            <w:vMerge w:val="continue"/>
            <w:tcBorders>
              <w:righ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1333" w:type="dxa"/>
            <w:vMerge w:val="restart"/>
            <w:tcBorders>
              <w:lef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基本支出</w:t>
            </w:r>
          </w:p>
        </w:tc>
        <w:tc>
          <w:tcPr>
            <w:tcW w:w="3551" w:type="dxa"/>
            <w:gridSpan w:val="5"/>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其中：</w:t>
            </w:r>
          </w:p>
        </w:tc>
        <w:tc>
          <w:tcPr>
            <w:tcW w:w="1566" w:type="dxa"/>
            <w:gridSpan w:val="3"/>
            <w:vMerge w:val="restart"/>
            <w:tcBorders>
              <w:righ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项目支出</w:t>
            </w:r>
          </w:p>
        </w:tc>
        <w:tc>
          <w:tcPr>
            <w:tcW w:w="600" w:type="dxa"/>
            <w:vMerge w:val="restart"/>
            <w:tcBorders>
              <w:left w:val="single" w:color="auto" w:sz="4" w:space="0"/>
            </w:tcBorders>
            <w:vAlign w:val="center"/>
          </w:tcPr>
          <w:p>
            <w:pPr>
              <w:spacing w:line="400" w:lineRule="exact"/>
              <w:jc w:val="center"/>
              <w:rPr>
                <w:rFonts w:ascii="宋体" w:cs="仿宋_GB2312"/>
                <w:color w:val="000000"/>
                <w:sz w:val="24"/>
              </w:rPr>
            </w:pPr>
            <w:r>
              <w:rPr>
                <w:rFonts w:hint="eastAsia" w:ascii="宋体" w:hAnsi="宋体" w:cs="仿宋_GB2312"/>
                <w:color w:val="000000"/>
                <w:sz w:val="24"/>
              </w:rPr>
              <w:t>当年结余</w:t>
            </w:r>
          </w:p>
        </w:tc>
        <w:tc>
          <w:tcPr>
            <w:tcW w:w="600" w:type="dxa"/>
            <w:vMerge w:val="restart"/>
            <w:tcBorders>
              <w:lef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Merge w:val="continue"/>
            <w:vAlign w:val="center"/>
          </w:tcPr>
          <w:p>
            <w:pPr>
              <w:spacing w:line="400" w:lineRule="exact"/>
              <w:jc w:val="center"/>
              <w:rPr>
                <w:rFonts w:ascii="宋体" w:cs="仿宋_GB2312"/>
                <w:sz w:val="24"/>
              </w:rPr>
            </w:pPr>
          </w:p>
        </w:tc>
        <w:tc>
          <w:tcPr>
            <w:tcW w:w="1265" w:type="dxa"/>
            <w:gridSpan w:val="2"/>
            <w:vMerge w:val="continue"/>
            <w:tcBorders>
              <w:righ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1333" w:type="dxa"/>
            <w:vMerge w:val="continue"/>
            <w:tcBorders>
              <w:lef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1751" w:type="dxa"/>
            <w:gridSpan w:val="3"/>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人员支出</w:t>
            </w:r>
          </w:p>
        </w:tc>
        <w:tc>
          <w:tcPr>
            <w:tcW w:w="1800" w:type="dxa"/>
            <w:gridSpan w:val="2"/>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公用支出</w:t>
            </w:r>
          </w:p>
        </w:tc>
        <w:tc>
          <w:tcPr>
            <w:tcW w:w="1566" w:type="dxa"/>
            <w:gridSpan w:val="3"/>
            <w:vMerge w:val="continue"/>
            <w:tcBorders>
              <w:righ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600" w:type="dxa"/>
            <w:vMerge w:val="continue"/>
            <w:tcBorders>
              <w:left w:val="single" w:color="auto" w:sz="4" w:space="0"/>
            </w:tcBorders>
            <w:vAlign w:val="center"/>
          </w:tcPr>
          <w:p>
            <w:pPr>
              <w:spacing w:line="400" w:lineRule="exact"/>
              <w:jc w:val="center"/>
              <w:rPr>
                <w:rFonts w:ascii="宋体" w:cs="仿宋_GB2312"/>
                <w:color w:val="000000"/>
                <w:sz w:val="24"/>
              </w:rPr>
            </w:pPr>
          </w:p>
        </w:tc>
        <w:tc>
          <w:tcPr>
            <w:tcW w:w="600" w:type="dxa"/>
            <w:vMerge w:val="continue"/>
            <w:tcBorders>
              <w:left w:val="single" w:color="auto" w:sz="4" w:space="0"/>
            </w:tcBorders>
            <w:vAlign w:val="center"/>
          </w:tcPr>
          <w:p>
            <w:pPr>
              <w:autoSpaceDN w:val="0"/>
              <w:spacing w:line="400" w:lineRule="exact"/>
              <w:jc w:val="center"/>
              <w:textAlignment w:val="center"/>
              <w:rPr>
                <w:rFonts w:asci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Align w:val="center"/>
          </w:tcPr>
          <w:p>
            <w:pPr>
              <w:spacing w:line="400" w:lineRule="exact"/>
              <w:jc w:val="left"/>
              <w:rPr>
                <w:rFonts w:ascii="宋体" w:cs="仿宋_GB2312"/>
                <w:sz w:val="24"/>
              </w:rPr>
            </w:pPr>
            <w:r>
              <w:rPr>
                <w:rFonts w:hint="eastAsia" w:ascii="宋体" w:hAnsi="宋体" w:cs="仿宋_GB2312"/>
                <w:color w:val="000000"/>
                <w:sz w:val="24"/>
              </w:rPr>
              <w:t>局机关及二级机构汇总</w:t>
            </w:r>
          </w:p>
        </w:tc>
        <w:tc>
          <w:tcPr>
            <w:tcW w:w="1265" w:type="dxa"/>
            <w:gridSpan w:val="2"/>
            <w:tcBorders>
              <w:righ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sz w:val="24"/>
              </w:rPr>
              <w:t>9685.85</w:t>
            </w:r>
          </w:p>
        </w:tc>
        <w:tc>
          <w:tcPr>
            <w:tcW w:w="1333" w:type="dxa"/>
            <w:tcBorders>
              <w:lef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sz w:val="24"/>
              </w:rPr>
              <w:t>1021.47</w:t>
            </w:r>
          </w:p>
        </w:tc>
        <w:tc>
          <w:tcPr>
            <w:tcW w:w="1751" w:type="dxa"/>
            <w:gridSpan w:val="3"/>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687.4</w:t>
            </w:r>
          </w:p>
        </w:tc>
        <w:tc>
          <w:tcPr>
            <w:tcW w:w="1800" w:type="dxa"/>
            <w:gridSpan w:val="2"/>
            <w:vAlign w:val="center"/>
          </w:tcPr>
          <w:p>
            <w:pPr>
              <w:autoSpaceDN w:val="0"/>
              <w:spacing w:line="400" w:lineRule="exact"/>
              <w:ind w:firstLine="720" w:firstLineChars="300"/>
              <w:textAlignment w:val="center"/>
              <w:rPr>
                <w:rFonts w:ascii="宋体" w:cs="仿宋_GB2312"/>
                <w:color w:val="000000"/>
                <w:sz w:val="24"/>
              </w:rPr>
            </w:pPr>
            <w:r>
              <w:rPr>
                <w:rFonts w:hint="eastAsia" w:ascii="宋体" w:hAnsi="宋体" w:cs="仿宋_GB2312"/>
                <w:color w:val="000000"/>
                <w:sz w:val="24"/>
              </w:rPr>
              <w:t>334.07</w:t>
            </w:r>
          </w:p>
        </w:tc>
        <w:tc>
          <w:tcPr>
            <w:tcW w:w="1566" w:type="dxa"/>
            <w:gridSpan w:val="3"/>
            <w:vAlign w:val="center"/>
          </w:tcPr>
          <w:p>
            <w:pPr>
              <w:autoSpaceDN w:val="0"/>
              <w:spacing w:line="400" w:lineRule="exact"/>
              <w:jc w:val="center"/>
              <w:textAlignment w:val="center"/>
              <w:rPr>
                <w:rFonts w:ascii="宋体" w:cs="仿宋_GB2312"/>
                <w:color w:val="000000"/>
                <w:sz w:val="24"/>
              </w:rPr>
            </w:pPr>
            <w:r>
              <w:rPr>
                <w:rFonts w:hint="eastAsia" w:ascii="宋体" w:cs="仿宋_GB2312"/>
                <w:color w:val="000000"/>
                <w:sz w:val="24"/>
              </w:rPr>
              <w:t>8664.38</w:t>
            </w:r>
          </w:p>
        </w:tc>
        <w:tc>
          <w:tcPr>
            <w:tcW w:w="600" w:type="dxa"/>
            <w:vAlign w:val="center"/>
          </w:tcPr>
          <w:p>
            <w:pPr>
              <w:autoSpaceDN w:val="0"/>
              <w:spacing w:line="400" w:lineRule="exact"/>
              <w:jc w:val="center"/>
              <w:textAlignment w:val="center"/>
              <w:rPr>
                <w:rFonts w:ascii="宋体" w:cs="仿宋_GB2312"/>
                <w:color w:val="000000"/>
                <w:sz w:val="24"/>
              </w:rPr>
            </w:pPr>
            <w:r>
              <w:rPr>
                <w:rFonts w:ascii="宋体" w:cs="仿宋_GB2312"/>
                <w:color w:val="000000"/>
                <w:sz w:val="24"/>
              </w:rPr>
              <w:t>0</w:t>
            </w:r>
          </w:p>
        </w:tc>
        <w:tc>
          <w:tcPr>
            <w:tcW w:w="600" w:type="dxa"/>
            <w:vAlign w:val="center"/>
          </w:tcPr>
          <w:p>
            <w:pPr>
              <w:autoSpaceDN w:val="0"/>
              <w:spacing w:line="400" w:lineRule="exact"/>
              <w:jc w:val="center"/>
              <w:textAlignment w:val="center"/>
              <w:rPr>
                <w:rFonts w:asci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Align w:val="center"/>
          </w:tcPr>
          <w:p>
            <w:pPr>
              <w:spacing w:line="400" w:lineRule="exact"/>
              <w:jc w:val="left"/>
              <w:rPr>
                <w:rFonts w:ascii="宋体" w:cs="仿宋_GB2312"/>
                <w:color w:val="000000"/>
                <w:sz w:val="24"/>
              </w:rPr>
            </w:pPr>
            <w:r>
              <w:rPr>
                <w:rFonts w:ascii="宋体" w:hAnsi="宋体" w:cs="仿宋_GB2312"/>
                <w:sz w:val="24"/>
              </w:rPr>
              <w:t>1</w:t>
            </w:r>
            <w:r>
              <w:rPr>
                <w:rFonts w:hint="eastAsia" w:ascii="宋体" w:hAnsi="宋体" w:cs="仿宋_GB2312"/>
                <w:sz w:val="24"/>
              </w:rPr>
              <w:t>、局机关</w:t>
            </w:r>
          </w:p>
        </w:tc>
        <w:tc>
          <w:tcPr>
            <w:tcW w:w="1265" w:type="dxa"/>
            <w:gridSpan w:val="2"/>
            <w:tcBorders>
              <w:righ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sz w:val="24"/>
              </w:rPr>
              <w:t>9685.85</w:t>
            </w:r>
          </w:p>
        </w:tc>
        <w:tc>
          <w:tcPr>
            <w:tcW w:w="1333" w:type="dxa"/>
            <w:tcBorders>
              <w:lef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sz w:val="24"/>
              </w:rPr>
              <w:t>1021.47</w:t>
            </w:r>
          </w:p>
        </w:tc>
        <w:tc>
          <w:tcPr>
            <w:tcW w:w="1751" w:type="dxa"/>
            <w:gridSpan w:val="3"/>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687.4</w:t>
            </w:r>
          </w:p>
        </w:tc>
        <w:tc>
          <w:tcPr>
            <w:tcW w:w="1800" w:type="dxa"/>
            <w:gridSpan w:val="2"/>
            <w:vAlign w:val="center"/>
          </w:tcPr>
          <w:p>
            <w:pPr>
              <w:autoSpaceDN w:val="0"/>
              <w:spacing w:line="400" w:lineRule="exact"/>
              <w:ind w:firstLine="720" w:firstLineChars="300"/>
              <w:textAlignment w:val="center"/>
              <w:rPr>
                <w:rFonts w:ascii="宋体" w:cs="仿宋_GB2312"/>
                <w:color w:val="000000"/>
                <w:sz w:val="24"/>
              </w:rPr>
            </w:pPr>
            <w:r>
              <w:rPr>
                <w:rFonts w:hint="eastAsia" w:ascii="宋体" w:hAnsi="宋体" w:cs="仿宋_GB2312"/>
                <w:color w:val="000000"/>
                <w:sz w:val="24"/>
              </w:rPr>
              <w:t>334.07</w:t>
            </w:r>
          </w:p>
        </w:tc>
        <w:tc>
          <w:tcPr>
            <w:tcW w:w="1566" w:type="dxa"/>
            <w:gridSpan w:val="3"/>
            <w:vAlign w:val="center"/>
          </w:tcPr>
          <w:p>
            <w:pPr>
              <w:autoSpaceDN w:val="0"/>
              <w:spacing w:line="400" w:lineRule="exact"/>
              <w:jc w:val="center"/>
              <w:textAlignment w:val="center"/>
              <w:rPr>
                <w:rFonts w:ascii="宋体" w:cs="仿宋_GB2312"/>
                <w:color w:val="000000"/>
                <w:sz w:val="24"/>
              </w:rPr>
            </w:pPr>
            <w:r>
              <w:rPr>
                <w:rFonts w:hint="eastAsia" w:ascii="宋体" w:cs="仿宋_GB2312"/>
                <w:color w:val="000000"/>
                <w:sz w:val="24"/>
              </w:rPr>
              <w:t>8664.38</w:t>
            </w:r>
          </w:p>
        </w:tc>
        <w:tc>
          <w:tcPr>
            <w:tcW w:w="600" w:type="dxa"/>
            <w:vAlign w:val="center"/>
          </w:tcPr>
          <w:p>
            <w:pPr>
              <w:autoSpaceDN w:val="0"/>
              <w:spacing w:line="400" w:lineRule="exact"/>
              <w:jc w:val="center"/>
              <w:textAlignment w:val="center"/>
              <w:rPr>
                <w:rFonts w:ascii="宋体" w:cs="仿宋_GB2312"/>
                <w:color w:val="000000"/>
                <w:sz w:val="24"/>
              </w:rPr>
            </w:pPr>
            <w:r>
              <w:rPr>
                <w:rFonts w:ascii="宋体" w:cs="仿宋_GB2312"/>
                <w:color w:val="000000"/>
                <w:sz w:val="24"/>
              </w:rPr>
              <w:t>0</w:t>
            </w:r>
          </w:p>
        </w:tc>
        <w:tc>
          <w:tcPr>
            <w:tcW w:w="600" w:type="dxa"/>
            <w:vAlign w:val="center"/>
          </w:tcPr>
          <w:p>
            <w:pPr>
              <w:autoSpaceDN w:val="0"/>
              <w:spacing w:line="400" w:lineRule="exact"/>
              <w:jc w:val="center"/>
              <w:textAlignment w:val="center"/>
              <w:rPr>
                <w:rFonts w:asci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Align w:val="center"/>
          </w:tcPr>
          <w:p>
            <w:pPr>
              <w:spacing w:line="400" w:lineRule="exact"/>
              <w:jc w:val="left"/>
              <w:rPr>
                <w:rFonts w:ascii="宋体" w:cs="仿宋_GB2312"/>
                <w:color w:val="000000"/>
                <w:sz w:val="24"/>
              </w:rPr>
            </w:pPr>
            <w:r>
              <w:rPr>
                <w:rFonts w:ascii="宋体" w:hAnsi="宋体" w:cs="仿宋_GB2312"/>
                <w:sz w:val="24"/>
              </w:rPr>
              <w:t>2</w:t>
            </w:r>
            <w:r>
              <w:rPr>
                <w:rFonts w:hint="eastAsia" w:ascii="宋体" w:hAnsi="宋体" w:cs="仿宋_GB2312"/>
                <w:sz w:val="24"/>
              </w:rPr>
              <w:t>、二级机构</w:t>
            </w:r>
            <w:r>
              <w:rPr>
                <w:rFonts w:ascii="宋体" w:hAnsi="宋体" w:cs="仿宋_GB2312"/>
                <w:sz w:val="24"/>
              </w:rPr>
              <w:t>1</w:t>
            </w:r>
          </w:p>
        </w:tc>
        <w:tc>
          <w:tcPr>
            <w:tcW w:w="1265" w:type="dxa"/>
            <w:gridSpan w:val="2"/>
            <w:tcBorders>
              <w:righ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1333" w:type="dxa"/>
            <w:tcBorders>
              <w:lef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1751" w:type="dxa"/>
            <w:gridSpan w:val="3"/>
            <w:vAlign w:val="center"/>
          </w:tcPr>
          <w:p>
            <w:pPr>
              <w:autoSpaceDN w:val="0"/>
              <w:spacing w:line="400" w:lineRule="exact"/>
              <w:jc w:val="center"/>
              <w:textAlignment w:val="center"/>
              <w:rPr>
                <w:rFonts w:ascii="宋体" w:cs="仿宋_GB2312"/>
                <w:color w:val="000000"/>
                <w:sz w:val="24"/>
              </w:rPr>
            </w:pPr>
          </w:p>
        </w:tc>
        <w:tc>
          <w:tcPr>
            <w:tcW w:w="1800" w:type="dxa"/>
            <w:gridSpan w:val="2"/>
            <w:vAlign w:val="center"/>
          </w:tcPr>
          <w:p>
            <w:pPr>
              <w:autoSpaceDN w:val="0"/>
              <w:spacing w:line="400" w:lineRule="exact"/>
              <w:jc w:val="center"/>
              <w:textAlignment w:val="center"/>
              <w:rPr>
                <w:rFonts w:ascii="宋体" w:cs="仿宋_GB2312"/>
                <w:color w:val="000000"/>
                <w:sz w:val="24"/>
              </w:rPr>
            </w:pPr>
          </w:p>
        </w:tc>
        <w:tc>
          <w:tcPr>
            <w:tcW w:w="1566" w:type="dxa"/>
            <w:gridSpan w:val="3"/>
            <w:vAlign w:val="center"/>
          </w:tcPr>
          <w:p>
            <w:pPr>
              <w:autoSpaceDN w:val="0"/>
              <w:spacing w:line="400" w:lineRule="exact"/>
              <w:jc w:val="center"/>
              <w:textAlignment w:val="center"/>
              <w:rPr>
                <w:rFonts w:ascii="宋体" w:cs="仿宋_GB2312"/>
                <w:color w:val="000000"/>
                <w:sz w:val="24"/>
              </w:rPr>
            </w:pPr>
          </w:p>
        </w:tc>
        <w:tc>
          <w:tcPr>
            <w:tcW w:w="600" w:type="dxa"/>
            <w:vAlign w:val="center"/>
          </w:tcPr>
          <w:p>
            <w:pPr>
              <w:autoSpaceDN w:val="0"/>
              <w:spacing w:line="400" w:lineRule="exact"/>
              <w:jc w:val="center"/>
              <w:textAlignment w:val="center"/>
              <w:rPr>
                <w:rFonts w:ascii="宋体" w:cs="仿宋_GB2312"/>
                <w:color w:val="000000"/>
                <w:sz w:val="24"/>
              </w:rPr>
            </w:pPr>
          </w:p>
        </w:tc>
        <w:tc>
          <w:tcPr>
            <w:tcW w:w="600" w:type="dxa"/>
            <w:vAlign w:val="center"/>
          </w:tcPr>
          <w:p>
            <w:pPr>
              <w:autoSpaceDN w:val="0"/>
              <w:spacing w:line="400" w:lineRule="exact"/>
              <w:jc w:val="center"/>
              <w:textAlignment w:val="center"/>
              <w:rPr>
                <w:rFonts w:asci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Align w:val="center"/>
          </w:tcPr>
          <w:p>
            <w:pPr>
              <w:spacing w:line="400" w:lineRule="exact"/>
              <w:jc w:val="left"/>
              <w:rPr>
                <w:rFonts w:ascii="宋体" w:cs="仿宋_GB2312"/>
                <w:color w:val="000000"/>
                <w:sz w:val="24"/>
              </w:rPr>
            </w:pPr>
            <w:r>
              <w:rPr>
                <w:rFonts w:ascii="宋体" w:hAnsi="宋体" w:cs="仿宋_GB2312"/>
                <w:sz w:val="24"/>
              </w:rPr>
              <w:t>3</w:t>
            </w:r>
            <w:r>
              <w:rPr>
                <w:rFonts w:hint="eastAsia" w:ascii="宋体" w:hAnsi="宋体" w:cs="仿宋_GB2312"/>
                <w:sz w:val="24"/>
              </w:rPr>
              <w:t>、二级机构</w:t>
            </w:r>
            <w:r>
              <w:rPr>
                <w:rFonts w:ascii="宋体" w:hAnsi="宋体" w:cs="仿宋_GB2312"/>
                <w:sz w:val="24"/>
              </w:rPr>
              <w:t>2</w:t>
            </w:r>
          </w:p>
        </w:tc>
        <w:tc>
          <w:tcPr>
            <w:tcW w:w="1265" w:type="dxa"/>
            <w:gridSpan w:val="2"/>
            <w:tcBorders>
              <w:righ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1333" w:type="dxa"/>
            <w:tcBorders>
              <w:lef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1751" w:type="dxa"/>
            <w:gridSpan w:val="3"/>
            <w:vAlign w:val="center"/>
          </w:tcPr>
          <w:p>
            <w:pPr>
              <w:autoSpaceDN w:val="0"/>
              <w:spacing w:line="400" w:lineRule="exact"/>
              <w:jc w:val="center"/>
              <w:textAlignment w:val="center"/>
              <w:rPr>
                <w:rFonts w:ascii="宋体" w:cs="仿宋_GB2312"/>
                <w:color w:val="000000"/>
                <w:sz w:val="24"/>
              </w:rPr>
            </w:pPr>
          </w:p>
        </w:tc>
        <w:tc>
          <w:tcPr>
            <w:tcW w:w="1800" w:type="dxa"/>
            <w:gridSpan w:val="2"/>
            <w:vAlign w:val="center"/>
          </w:tcPr>
          <w:p>
            <w:pPr>
              <w:autoSpaceDN w:val="0"/>
              <w:spacing w:line="400" w:lineRule="exact"/>
              <w:jc w:val="center"/>
              <w:textAlignment w:val="center"/>
              <w:rPr>
                <w:rFonts w:ascii="宋体" w:cs="仿宋_GB2312"/>
                <w:color w:val="000000"/>
                <w:sz w:val="24"/>
              </w:rPr>
            </w:pPr>
          </w:p>
        </w:tc>
        <w:tc>
          <w:tcPr>
            <w:tcW w:w="1566" w:type="dxa"/>
            <w:gridSpan w:val="3"/>
            <w:vAlign w:val="center"/>
          </w:tcPr>
          <w:p>
            <w:pPr>
              <w:autoSpaceDN w:val="0"/>
              <w:spacing w:line="400" w:lineRule="exact"/>
              <w:jc w:val="center"/>
              <w:textAlignment w:val="center"/>
              <w:rPr>
                <w:rFonts w:ascii="宋体" w:cs="仿宋_GB2312"/>
                <w:color w:val="000000"/>
                <w:sz w:val="24"/>
              </w:rPr>
            </w:pPr>
          </w:p>
        </w:tc>
        <w:tc>
          <w:tcPr>
            <w:tcW w:w="600" w:type="dxa"/>
            <w:vAlign w:val="center"/>
          </w:tcPr>
          <w:p>
            <w:pPr>
              <w:autoSpaceDN w:val="0"/>
              <w:spacing w:line="400" w:lineRule="exact"/>
              <w:jc w:val="center"/>
              <w:textAlignment w:val="center"/>
              <w:rPr>
                <w:rFonts w:ascii="宋体" w:cs="仿宋_GB2312"/>
                <w:color w:val="000000"/>
                <w:sz w:val="24"/>
              </w:rPr>
            </w:pPr>
          </w:p>
        </w:tc>
        <w:tc>
          <w:tcPr>
            <w:tcW w:w="600" w:type="dxa"/>
            <w:vAlign w:val="center"/>
          </w:tcPr>
          <w:p>
            <w:pPr>
              <w:autoSpaceDN w:val="0"/>
              <w:spacing w:line="400" w:lineRule="exact"/>
              <w:jc w:val="center"/>
              <w:textAlignment w:val="center"/>
              <w:rPr>
                <w:rFonts w:asci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Merge w:val="restart"/>
            <w:vAlign w:val="center"/>
          </w:tcPr>
          <w:p>
            <w:pPr>
              <w:spacing w:line="400" w:lineRule="exact"/>
              <w:jc w:val="center"/>
              <w:rPr>
                <w:rFonts w:ascii="宋体" w:cs="仿宋_GB2312"/>
                <w:sz w:val="24"/>
              </w:rPr>
            </w:pPr>
            <w:r>
              <w:rPr>
                <w:rFonts w:hint="eastAsia" w:ascii="宋体" w:hAnsi="宋体" w:cs="仿宋_GB2312"/>
                <w:sz w:val="24"/>
              </w:rPr>
              <w:t>机构名称</w:t>
            </w:r>
          </w:p>
        </w:tc>
        <w:tc>
          <w:tcPr>
            <w:tcW w:w="1265" w:type="dxa"/>
            <w:gridSpan w:val="2"/>
            <w:vMerge w:val="restart"/>
            <w:tcBorders>
              <w:right w:val="single" w:color="auto" w:sz="4" w:space="0"/>
            </w:tcBorders>
            <w:vAlign w:val="center"/>
          </w:tcPr>
          <w:p>
            <w:pPr>
              <w:autoSpaceDN w:val="0"/>
              <w:spacing w:line="400" w:lineRule="exact"/>
              <w:jc w:val="center"/>
              <w:textAlignment w:val="center"/>
              <w:rPr>
                <w:rFonts w:ascii="宋体" w:cs="仿宋_GB2312"/>
                <w:color w:val="000000"/>
                <w:sz w:val="24"/>
              </w:rPr>
            </w:pPr>
            <w:bookmarkStart w:id="1" w:name="_GoBack"/>
            <w:r>
              <w:rPr>
                <w:rFonts w:hint="eastAsia" w:ascii="宋体" w:hAnsi="宋体" w:cs="仿宋_GB2312"/>
                <w:color w:val="000000"/>
                <w:sz w:val="24"/>
              </w:rPr>
              <w:t>三公</w:t>
            </w:r>
            <w:bookmarkEnd w:id="1"/>
            <w:r>
              <w:rPr>
                <w:rFonts w:hint="eastAsia" w:ascii="宋体" w:hAnsi="宋体" w:cs="仿宋_GB2312"/>
                <w:color w:val="000000"/>
                <w:sz w:val="24"/>
              </w:rPr>
              <w:t>经费</w:t>
            </w:r>
          </w:p>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合计</w:t>
            </w:r>
          </w:p>
        </w:tc>
        <w:tc>
          <w:tcPr>
            <w:tcW w:w="7650" w:type="dxa"/>
            <w:gridSpan w:val="11"/>
            <w:tcBorders>
              <w:lef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Merge w:val="continue"/>
            <w:vAlign w:val="center"/>
          </w:tcPr>
          <w:p>
            <w:pPr>
              <w:spacing w:line="400" w:lineRule="exact"/>
              <w:jc w:val="center"/>
              <w:rPr>
                <w:rFonts w:ascii="宋体" w:cs="仿宋_GB2312"/>
                <w:sz w:val="24"/>
              </w:rPr>
            </w:pPr>
          </w:p>
        </w:tc>
        <w:tc>
          <w:tcPr>
            <w:tcW w:w="1265" w:type="dxa"/>
            <w:gridSpan w:val="2"/>
            <w:vMerge w:val="continue"/>
            <w:tcBorders>
              <w:righ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1333" w:type="dxa"/>
            <w:tcBorders>
              <w:lef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公务接待费</w:t>
            </w:r>
          </w:p>
        </w:tc>
        <w:tc>
          <w:tcPr>
            <w:tcW w:w="1751" w:type="dxa"/>
            <w:gridSpan w:val="3"/>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公务用车运维费</w:t>
            </w:r>
          </w:p>
        </w:tc>
        <w:tc>
          <w:tcPr>
            <w:tcW w:w="1800" w:type="dxa"/>
            <w:gridSpan w:val="2"/>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公务用车购置费</w:t>
            </w:r>
          </w:p>
        </w:tc>
        <w:tc>
          <w:tcPr>
            <w:tcW w:w="2766" w:type="dxa"/>
            <w:gridSpan w:val="5"/>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Align w:val="center"/>
          </w:tcPr>
          <w:p>
            <w:pPr>
              <w:spacing w:line="400" w:lineRule="exact"/>
              <w:jc w:val="left"/>
              <w:rPr>
                <w:rFonts w:ascii="宋体" w:cs="仿宋_GB2312"/>
                <w:sz w:val="24"/>
              </w:rPr>
            </w:pPr>
            <w:r>
              <w:rPr>
                <w:rFonts w:hint="eastAsia" w:ascii="宋体" w:hAnsi="宋体" w:cs="仿宋_GB2312"/>
                <w:color w:val="000000"/>
                <w:sz w:val="24"/>
              </w:rPr>
              <w:t>局机关及二级机构汇总</w:t>
            </w:r>
          </w:p>
        </w:tc>
        <w:tc>
          <w:tcPr>
            <w:tcW w:w="1265" w:type="dxa"/>
            <w:gridSpan w:val="2"/>
            <w:tcBorders>
              <w:righ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0.89</w:t>
            </w:r>
          </w:p>
        </w:tc>
        <w:tc>
          <w:tcPr>
            <w:tcW w:w="1333" w:type="dxa"/>
            <w:tcBorders>
              <w:lef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0.89</w:t>
            </w:r>
          </w:p>
        </w:tc>
        <w:tc>
          <w:tcPr>
            <w:tcW w:w="1751" w:type="dxa"/>
            <w:gridSpan w:val="3"/>
            <w:vAlign w:val="center"/>
          </w:tcPr>
          <w:p>
            <w:pPr>
              <w:autoSpaceDN w:val="0"/>
              <w:spacing w:line="400" w:lineRule="exact"/>
              <w:ind w:firstLine="720" w:firstLineChars="300"/>
              <w:textAlignment w:val="center"/>
              <w:rPr>
                <w:rFonts w:ascii="宋体" w:cs="仿宋_GB2312"/>
                <w:color w:val="000000"/>
                <w:sz w:val="24"/>
              </w:rPr>
            </w:pPr>
          </w:p>
        </w:tc>
        <w:tc>
          <w:tcPr>
            <w:tcW w:w="1800" w:type="dxa"/>
            <w:gridSpan w:val="2"/>
            <w:vAlign w:val="center"/>
          </w:tcPr>
          <w:p>
            <w:pPr>
              <w:autoSpaceDN w:val="0"/>
              <w:spacing w:line="400" w:lineRule="exact"/>
              <w:jc w:val="center"/>
              <w:textAlignment w:val="center"/>
              <w:rPr>
                <w:rFonts w:ascii="宋体" w:cs="仿宋_GB2312"/>
                <w:color w:val="000000"/>
                <w:sz w:val="24"/>
              </w:rPr>
            </w:pPr>
            <w:r>
              <w:rPr>
                <w:rFonts w:ascii="宋体" w:cs="仿宋_GB2312"/>
                <w:color w:val="000000"/>
                <w:sz w:val="24"/>
              </w:rPr>
              <w:t>0</w:t>
            </w:r>
          </w:p>
        </w:tc>
        <w:tc>
          <w:tcPr>
            <w:tcW w:w="2766" w:type="dxa"/>
            <w:gridSpan w:val="5"/>
            <w:vAlign w:val="center"/>
          </w:tcPr>
          <w:p>
            <w:pPr>
              <w:autoSpaceDN w:val="0"/>
              <w:spacing w:line="400" w:lineRule="exact"/>
              <w:jc w:val="center"/>
              <w:textAlignment w:val="center"/>
              <w:rPr>
                <w:rFonts w:ascii="宋体" w:cs="仿宋_GB2312"/>
                <w:color w:val="000000"/>
                <w:sz w:val="24"/>
              </w:rPr>
            </w:pPr>
            <w:r>
              <w:rPr>
                <w:rFonts w:ascii="宋体"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Align w:val="center"/>
          </w:tcPr>
          <w:p>
            <w:pPr>
              <w:spacing w:line="400" w:lineRule="exact"/>
              <w:jc w:val="left"/>
              <w:rPr>
                <w:rFonts w:ascii="宋体" w:cs="仿宋_GB2312"/>
                <w:sz w:val="24"/>
              </w:rPr>
            </w:pPr>
            <w:r>
              <w:rPr>
                <w:rFonts w:ascii="宋体" w:hAnsi="宋体" w:cs="仿宋_GB2312"/>
                <w:sz w:val="24"/>
              </w:rPr>
              <w:t>1</w:t>
            </w:r>
            <w:r>
              <w:rPr>
                <w:rFonts w:hint="eastAsia" w:ascii="宋体" w:hAnsi="宋体" w:cs="仿宋_GB2312"/>
                <w:sz w:val="24"/>
              </w:rPr>
              <w:t>、局机关</w:t>
            </w:r>
          </w:p>
        </w:tc>
        <w:tc>
          <w:tcPr>
            <w:tcW w:w="1265" w:type="dxa"/>
            <w:gridSpan w:val="2"/>
            <w:tcBorders>
              <w:righ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0.89</w:t>
            </w:r>
          </w:p>
        </w:tc>
        <w:tc>
          <w:tcPr>
            <w:tcW w:w="1333" w:type="dxa"/>
            <w:tcBorders>
              <w:lef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0.89</w:t>
            </w:r>
          </w:p>
        </w:tc>
        <w:tc>
          <w:tcPr>
            <w:tcW w:w="1751" w:type="dxa"/>
            <w:gridSpan w:val="3"/>
            <w:vAlign w:val="center"/>
          </w:tcPr>
          <w:p>
            <w:pPr>
              <w:autoSpaceDN w:val="0"/>
              <w:spacing w:line="400" w:lineRule="exact"/>
              <w:jc w:val="center"/>
              <w:textAlignment w:val="center"/>
              <w:rPr>
                <w:rFonts w:ascii="宋体" w:cs="仿宋_GB2312"/>
                <w:color w:val="000000"/>
                <w:sz w:val="24"/>
              </w:rPr>
            </w:pPr>
          </w:p>
        </w:tc>
        <w:tc>
          <w:tcPr>
            <w:tcW w:w="1800" w:type="dxa"/>
            <w:gridSpan w:val="2"/>
            <w:vAlign w:val="center"/>
          </w:tcPr>
          <w:p>
            <w:pPr>
              <w:autoSpaceDN w:val="0"/>
              <w:spacing w:line="400" w:lineRule="exact"/>
              <w:jc w:val="center"/>
              <w:textAlignment w:val="center"/>
              <w:rPr>
                <w:rFonts w:ascii="宋体" w:cs="仿宋_GB2312"/>
                <w:color w:val="000000"/>
                <w:sz w:val="24"/>
              </w:rPr>
            </w:pPr>
            <w:r>
              <w:rPr>
                <w:rFonts w:ascii="宋体" w:cs="仿宋_GB2312"/>
                <w:color w:val="000000"/>
                <w:sz w:val="24"/>
              </w:rPr>
              <w:t>0</w:t>
            </w:r>
          </w:p>
        </w:tc>
        <w:tc>
          <w:tcPr>
            <w:tcW w:w="2766" w:type="dxa"/>
            <w:gridSpan w:val="5"/>
            <w:vAlign w:val="center"/>
          </w:tcPr>
          <w:p>
            <w:pPr>
              <w:autoSpaceDN w:val="0"/>
              <w:spacing w:line="400" w:lineRule="exact"/>
              <w:jc w:val="center"/>
              <w:textAlignment w:val="center"/>
              <w:rPr>
                <w:rFonts w:ascii="宋体" w:cs="仿宋_GB2312"/>
                <w:color w:val="000000"/>
                <w:sz w:val="24"/>
              </w:rPr>
            </w:pPr>
            <w:r>
              <w:rPr>
                <w:rFonts w:ascii="宋体"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7" w:hRule="atLeast"/>
          <w:jc w:val="center"/>
        </w:trPr>
        <w:tc>
          <w:tcPr>
            <w:tcW w:w="1545" w:type="dxa"/>
            <w:vAlign w:val="center"/>
          </w:tcPr>
          <w:p>
            <w:pPr>
              <w:spacing w:line="400" w:lineRule="exact"/>
              <w:jc w:val="left"/>
              <w:rPr>
                <w:rFonts w:ascii="宋体" w:cs="仿宋_GB2312"/>
                <w:sz w:val="24"/>
              </w:rPr>
            </w:pPr>
            <w:r>
              <w:rPr>
                <w:rFonts w:ascii="宋体" w:hAnsi="宋体" w:cs="仿宋_GB2312"/>
                <w:sz w:val="24"/>
              </w:rPr>
              <w:t>2</w:t>
            </w:r>
            <w:r>
              <w:rPr>
                <w:rFonts w:hint="eastAsia" w:ascii="宋体" w:hAnsi="宋体" w:cs="仿宋_GB2312"/>
                <w:sz w:val="24"/>
              </w:rPr>
              <w:t>、二级机构</w:t>
            </w:r>
            <w:r>
              <w:rPr>
                <w:rFonts w:ascii="宋体" w:hAnsi="宋体" w:cs="仿宋_GB2312"/>
                <w:sz w:val="24"/>
              </w:rPr>
              <w:t>1</w:t>
            </w:r>
          </w:p>
        </w:tc>
        <w:tc>
          <w:tcPr>
            <w:tcW w:w="1265" w:type="dxa"/>
            <w:gridSpan w:val="2"/>
            <w:tcBorders>
              <w:righ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1333" w:type="dxa"/>
            <w:tcBorders>
              <w:lef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1751" w:type="dxa"/>
            <w:gridSpan w:val="3"/>
            <w:vAlign w:val="center"/>
          </w:tcPr>
          <w:p>
            <w:pPr>
              <w:autoSpaceDN w:val="0"/>
              <w:spacing w:line="400" w:lineRule="exact"/>
              <w:jc w:val="center"/>
              <w:textAlignment w:val="center"/>
              <w:rPr>
                <w:rFonts w:ascii="宋体" w:cs="仿宋_GB2312"/>
                <w:color w:val="000000"/>
                <w:sz w:val="24"/>
              </w:rPr>
            </w:pPr>
          </w:p>
        </w:tc>
        <w:tc>
          <w:tcPr>
            <w:tcW w:w="1800" w:type="dxa"/>
            <w:gridSpan w:val="2"/>
            <w:vAlign w:val="center"/>
          </w:tcPr>
          <w:p>
            <w:pPr>
              <w:autoSpaceDN w:val="0"/>
              <w:spacing w:line="400" w:lineRule="exact"/>
              <w:jc w:val="center"/>
              <w:textAlignment w:val="center"/>
              <w:rPr>
                <w:rFonts w:ascii="宋体" w:cs="仿宋_GB2312"/>
                <w:color w:val="000000"/>
                <w:sz w:val="24"/>
              </w:rPr>
            </w:pPr>
          </w:p>
        </w:tc>
        <w:tc>
          <w:tcPr>
            <w:tcW w:w="2766" w:type="dxa"/>
            <w:gridSpan w:val="5"/>
            <w:vAlign w:val="center"/>
          </w:tcPr>
          <w:p>
            <w:pPr>
              <w:autoSpaceDN w:val="0"/>
              <w:spacing w:line="400" w:lineRule="exact"/>
              <w:jc w:val="center"/>
              <w:textAlignment w:val="center"/>
              <w:rPr>
                <w:rFonts w:asci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Align w:val="center"/>
          </w:tcPr>
          <w:p>
            <w:pPr>
              <w:spacing w:line="400" w:lineRule="exact"/>
              <w:jc w:val="left"/>
              <w:rPr>
                <w:rFonts w:ascii="宋体" w:cs="仿宋_GB2312"/>
                <w:sz w:val="24"/>
              </w:rPr>
            </w:pPr>
            <w:r>
              <w:rPr>
                <w:rFonts w:ascii="宋体" w:hAnsi="宋体" w:cs="仿宋_GB2312"/>
                <w:sz w:val="24"/>
              </w:rPr>
              <w:t>3</w:t>
            </w:r>
            <w:r>
              <w:rPr>
                <w:rFonts w:hint="eastAsia" w:ascii="宋体" w:hAnsi="宋体" w:cs="仿宋_GB2312"/>
                <w:sz w:val="24"/>
              </w:rPr>
              <w:t>、二级机构</w:t>
            </w:r>
            <w:r>
              <w:rPr>
                <w:rFonts w:ascii="宋体" w:hAnsi="宋体" w:cs="仿宋_GB2312"/>
                <w:sz w:val="24"/>
              </w:rPr>
              <w:t>2</w:t>
            </w:r>
          </w:p>
        </w:tc>
        <w:tc>
          <w:tcPr>
            <w:tcW w:w="1265" w:type="dxa"/>
            <w:gridSpan w:val="2"/>
            <w:tcBorders>
              <w:righ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1333" w:type="dxa"/>
            <w:tcBorders>
              <w:lef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1751" w:type="dxa"/>
            <w:gridSpan w:val="3"/>
            <w:vAlign w:val="center"/>
          </w:tcPr>
          <w:p>
            <w:pPr>
              <w:autoSpaceDN w:val="0"/>
              <w:spacing w:line="400" w:lineRule="exact"/>
              <w:jc w:val="center"/>
              <w:textAlignment w:val="center"/>
              <w:rPr>
                <w:rFonts w:ascii="宋体" w:cs="仿宋_GB2312"/>
                <w:color w:val="000000"/>
                <w:sz w:val="24"/>
              </w:rPr>
            </w:pPr>
          </w:p>
        </w:tc>
        <w:tc>
          <w:tcPr>
            <w:tcW w:w="1800" w:type="dxa"/>
            <w:gridSpan w:val="2"/>
            <w:vAlign w:val="center"/>
          </w:tcPr>
          <w:p>
            <w:pPr>
              <w:autoSpaceDN w:val="0"/>
              <w:spacing w:line="400" w:lineRule="exact"/>
              <w:jc w:val="center"/>
              <w:textAlignment w:val="center"/>
              <w:rPr>
                <w:rFonts w:ascii="宋体" w:cs="仿宋_GB2312"/>
                <w:color w:val="000000"/>
                <w:sz w:val="24"/>
              </w:rPr>
            </w:pPr>
          </w:p>
        </w:tc>
        <w:tc>
          <w:tcPr>
            <w:tcW w:w="2766" w:type="dxa"/>
            <w:gridSpan w:val="5"/>
            <w:vAlign w:val="center"/>
          </w:tcPr>
          <w:p>
            <w:pPr>
              <w:autoSpaceDN w:val="0"/>
              <w:spacing w:line="400" w:lineRule="exact"/>
              <w:jc w:val="center"/>
              <w:textAlignment w:val="center"/>
              <w:rPr>
                <w:rFonts w:asci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Merge w:val="restart"/>
            <w:vAlign w:val="center"/>
          </w:tcPr>
          <w:p>
            <w:pPr>
              <w:spacing w:line="400" w:lineRule="exact"/>
              <w:jc w:val="center"/>
              <w:rPr>
                <w:rFonts w:ascii="宋体" w:cs="仿宋_GB2312"/>
                <w:sz w:val="24"/>
              </w:rPr>
            </w:pPr>
            <w:r>
              <w:rPr>
                <w:rFonts w:hint="eastAsia" w:ascii="宋体" w:hAnsi="宋体" w:cs="仿宋_GB2312"/>
                <w:sz w:val="24"/>
              </w:rPr>
              <w:t>机构名称</w:t>
            </w:r>
          </w:p>
        </w:tc>
        <w:tc>
          <w:tcPr>
            <w:tcW w:w="1265" w:type="dxa"/>
            <w:gridSpan w:val="2"/>
            <w:vMerge w:val="restart"/>
            <w:tcBorders>
              <w:righ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固定资产</w:t>
            </w:r>
          </w:p>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合计</w:t>
            </w:r>
          </w:p>
        </w:tc>
        <w:tc>
          <w:tcPr>
            <w:tcW w:w="6450" w:type="dxa"/>
            <w:gridSpan w:val="9"/>
            <w:tcBorders>
              <w:left w:val="single" w:color="auto" w:sz="4" w:space="0"/>
              <w:righ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其中：</w:t>
            </w:r>
          </w:p>
        </w:tc>
        <w:tc>
          <w:tcPr>
            <w:tcW w:w="1200" w:type="dxa"/>
            <w:gridSpan w:val="2"/>
            <w:vMerge w:val="restart"/>
            <w:tcBorders>
              <w:lef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Merge w:val="continue"/>
            <w:vAlign w:val="center"/>
          </w:tcPr>
          <w:p>
            <w:pPr>
              <w:spacing w:line="400" w:lineRule="exact"/>
              <w:jc w:val="center"/>
              <w:rPr>
                <w:rFonts w:ascii="宋体" w:cs="仿宋_GB2312"/>
                <w:sz w:val="24"/>
              </w:rPr>
            </w:pPr>
          </w:p>
        </w:tc>
        <w:tc>
          <w:tcPr>
            <w:tcW w:w="1265" w:type="dxa"/>
            <w:gridSpan w:val="2"/>
            <w:vMerge w:val="continue"/>
            <w:tcBorders>
              <w:righ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3084" w:type="dxa"/>
            <w:gridSpan w:val="4"/>
            <w:tcBorders>
              <w:lef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在用固定资产</w:t>
            </w:r>
          </w:p>
        </w:tc>
        <w:tc>
          <w:tcPr>
            <w:tcW w:w="3366" w:type="dxa"/>
            <w:gridSpan w:val="5"/>
            <w:tcBorders>
              <w:righ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出租固定资产</w:t>
            </w:r>
          </w:p>
        </w:tc>
        <w:tc>
          <w:tcPr>
            <w:tcW w:w="1200" w:type="dxa"/>
            <w:gridSpan w:val="2"/>
            <w:vMerge w:val="continue"/>
            <w:tcBorders>
              <w:left w:val="single" w:color="auto" w:sz="4" w:space="0"/>
            </w:tcBorders>
            <w:vAlign w:val="center"/>
          </w:tcPr>
          <w:p>
            <w:pPr>
              <w:autoSpaceDN w:val="0"/>
              <w:spacing w:line="400" w:lineRule="exact"/>
              <w:jc w:val="center"/>
              <w:textAlignment w:val="center"/>
              <w:rPr>
                <w:rFonts w:asci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Align w:val="center"/>
          </w:tcPr>
          <w:p>
            <w:pPr>
              <w:spacing w:line="400" w:lineRule="exact"/>
              <w:jc w:val="left"/>
              <w:rPr>
                <w:rFonts w:ascii="宋体" w:cs="仿宋_GB2312"/>
                <w:sz w:val="24"/>
              </w:rPr>
            </w:pPr>
            <w:r>
              <w:rPr>
                <w:rFonts w:hint="eastAsia" w:ascii="宋体" w:hAnsi="宋体" w:cs="仿宋_GB2312"/>
                <w:color w:val="000000"/>
                <w:sz w:val="24"/>
              </w:rPr>
              <w:t>局机关及二级机构汇总</w:t>
            </w:r>
          </w:p>
        </w:tc>
        <w:tc>
          <w:tcPr>
            <w:tcW w:w="1265" w:type="dxa"/>
            <w:gridSpan w:val="2"/>
            <w:tcBorders>
              <w:righ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237</w:t>
            </w:r>
          </w:p>
        </w:tc>
        <w:tc>
          <w:tcPr>
            <w:tcW w:w="3084" w:type="dxa"/>
            <w:gridSpan w:val="4"/>
            <w:tcBorders>
              <w:lef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237</w:t>
            </w:r>
          </w:p>
        </w:tc>
        <w:tc>
          <w:tcPr>
            <w:tcW w:w="3366" w:type="dxa"/>
            <w:gridSpan w:val="5"/>
            <w:vAlign w:val="center"/>
          </w:tcPr>
          <w:p>
            <w:pPr>
              <w:autoSpaceDN w:val="0"/>
              <w:spacing w:line="400" w:lineRule="exact"/>
              <w:jc w:val="center"/>
              <w:textAlignment w:val="center"/>
              <w:rPr>
                <w:rFonts w:ascii="宋体" w:cs="仿宋_GB2312"/>
                <w:color w:val="000000"/>
                <w:sz w:val="24"/>
              </w:rPr>
            </w:pPr>
            <w:r>
              <w:rPr>
                <w:rFonts w:ascii="宋体" w:cs="仿宋_GB2312"/>
                <w:color w:val="000000"/>
                <w:sz w:val="24"/>
              </w:rPr>
              <w:t>0</w:t>
            </w:r>
          </w:p>
        </w:tc>
        <w:tc>
          <w:tcPr>
            <w:tcW w:w="1200" w:type="dxa"/>
            <w:gridSpan w:val="2"/>
            <w:vAlign w:val="center"/>
          </w:tcPr>
          <w:p>
            <w:pPr>
              <w:autoSpaceDN w:val="0"/>
              <w:spacing w:line="400" w:lineRule="exact"/>
              <w:jc w:val="center"/>
              <w:textAlignment w:val="center"/>
              <w:rPr>
                <w:rFonts w:ascii="宋体" w:cs="仿宋_GB2312"/>
                <w:color w:val="000000"/>
                <w:sz w:val="24"/>
              </w:rPr>
            </w:pPr>
            <w:r>
              <w:rPr>
                <w:rFonts w:ascii="宋体"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Align w:val="center"/>
          </w:tcPr>
          <w:p>
            <w:pPr>
              <w:spacing w:line="400" w:lineRule="exact"/>
              <w:jc w:val="left"/>
              <w:rPr>
                <w:rFonts w:ascii="宋体" w:cs="仿宋_GB2312"/>
                <w:sz w:val="24"/>
              </w:rPr>
            </w:pPr>
            <w:r>
              <w:rPr>
                <w:rFonts w:ascii="宋体" w:hAnsi="宋体" w:cs="仿宋_GB2312"/>
                <w:sz w:val="24"/>
              </w:rPr>
              <w:t>1</w:t>
            </w:r>
            <w:r>
              <w:rPr>
                <w:rFonts w:hint="eastAsia" w:ascii="宋体" w:hAnsi="宋体" w:cs="仿宋_GB2312"/>
                <w:sz w:val="24"/>
              </w:rPr>
              <w:t>、局机关</w:t>
            </w:r>
          </w:p>
        </w:tc>
        <w:tc>
          <w:tcPr>
            <w:tcW w:w="1265" w:type="dxa"/>
            <w:gridSpan w:val="2"/>
            <w:tcBorders>
              <w:righ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237</w:t>
            </w:r>
          </w:p>
        </w:tc>
        <w:tc>
          <w:tcPr>
            <w:tcW w:w="3084" w:type="dxa"/>
            <w:gridSpan w:val="4"/>
            <w:tcBorders>
              <w:left w:val="single" w:color="auto"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237</w:t>
            </w:r>
          </w:p>
        </w:tc>
        <w:tc>
          <w:tcPr>
            <w:tcW w:w="3366" w:type="dxa"/>
            <w:gridSpan w:val="5"/>
            <w:vAlign w:val="center"/>
          </w:tcPr>
          <w:p>
            <w:pPr>
              <w:autoSpaceDN w:val="0"/>
              <w:spacing w:line="400" w:lineRule="exact"/>
              <w:jc w:val="center"/>
              <w:textAlignment w:val="center"/>
              <w:rPr>
                <w:rFonts w:ascii="宋体" w:cs="仿宋_GB2312"/>
                <w:color w:val="000000"/>
                <w:sz w:val="24"/>
              </w:rPr>
            </w:pPr>
            <w:r>
              <w:rPr>
                <w:rFonts w:ascii="宋体" w:cs="仿宋_GB2312"/>
                <w:color w:val="000000"/>
                <w:sz w:val="24"/>
              </w:rPr>
              <w:t>0</w:t>
            </w:r>
          </w:p>
        </w:tc>
        <w:tc>
          <w:tcPr>
            <w:tcW w:w="1200" w:type="dxa"/>
            <w:gridSpan w:val="2"/>
            <w:vAlign w:val="center"/>
          </w:tcPr>
          <w:p>
            <w:pPr>
              <w:autoSpaceDN w:val="0"/>
              <w:spacing w:line="400" w:lineRule="exact"/>
              <w:jc w:val="center"/>
              <w:textAlignment w:val="center"/>
              <w:rPr>
                <w:rFonts w:ascii="宋体" w:cs="仿宋_GB2312"/>
                <w:color w:val="000000"/>
                <w:sz w:val="24"/>
              </w:rPr>
            </w:pPr>
            <w:r>
              <w:rPr>
                <w:rFonts w:ascii="宋体"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Align w:val="center"/>
          </w:tcPr>
          <w:p>
            <w:pPr>
              <w:spacing w:line="400" w:lineRule="exact"/>
              <w:jc w:val="left"/>
              <w:rPr>
                <w:rFonts w:ascii="宋体" w:cs="仿宋_GB2312"/>
                <w:sz w:val="24"/>
              </w:rPr>
            </w:pPr>
            <w:r>
              <w:rPr>
                <w:rFonts w:ascii="宋体" w:hAnsi="宋体" w:cs="仿宋_GB2312"/>
                <w:sz w:val="24"/>
              </w:rPr>
              <w:t>2</w:t>
            </w:r>
            <w:r>
              <w:rPr>
                <w:rFonts w:hint="eastAsia" w:ascii="宋体" w:hAnsi="宋体" w:cs="仿宋_GB2312"/>
                <w:sz w:val="24"/>
              </w:rPr>
              <w:t>、二级机构</w:t>
            </w:r>
            <w:r>
              <w:rPr>
                <w:rFonts w:ascii="宋体" w:hAnsi="宋体" w:cs="仿宋_GB2312"/>
                <w:sz w:val="24"/>
              </w:rPr>
              <w:t>1</w:t>
            </w:r>
          </w:p>
        </w:tc>
        <w:tc>
          <w:tcPr>
            <w:tcW w:w="1265" w:type="dxa"/>
            <w:gridSpan w:val="2"/>
            <w:tcBorders>
              <w:righ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3084" w:type="dxa"/>
            <w:gridSpan w:val="4"/>
            <w:tcBorders>
              <w:lef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3366" w:type="dxa"/>
            <w:gridSpan w:val="5"/>
            <w:vAlign w:val="center"/>
          </w:tcPr>
          <w:p>
            <w:pPr>
              <w:autoSpaceDN w:val="0"/>
              <w:spacing w:line="400" w:lineRule="exact"/>
              <w:jc w:val="center"/>
              <w:textAlignment w:val="center"/>
              <w:rPr>
                <w:rFonts w:ascii="宋体" w:cs="仿宋_GB2312"/>
                <w:color w:val="000000"/>
                <w:sz w:val="24"/>
              </w:rPr>
            </w:pPr>
          </w:p>
        </w:tc>
        <w:tc>
          <w:tcPr>
            <w:tcW w:w="1200" w:type="dxa"/>
            <w:gridSpan w:val="2"/>
            <w:vAlign w:val="center"/>
          </w:tcPr>
          <w:p>
            <w:pPr>
              <w:autoSpaceDN w:val="0"/>
              <w:spacing w:line="400" w:lineRule="exact"/>
              <w:jc w:val="center"/>
              <w:textAlignment w:val="center"/>
              <w:rPr>
                <w:rFonts w:asci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45" w:type="dxa"/>
            <w:vAlign w:val="center"/>
          </w:tcPr>
          <w:p>
            <w:pPr>
              <w:spacing w:line="400" w:lineRule="exact"/>
              <w:jc w:val="left"/>
              <w:rPr>
                <w:rFonts w:ascii="宋体" w:cs="仿宋_GB2312"/>
                <w:sz w:val="24"/>
              </w:rPr>
            </w:pPr>
            <w:r>
              <w:rPr>
                <w:rFonts w:ascii="宋体" w:hAnsi="宋体" w:cs="仿宋_GB2312"/>
                <w:sz w:val="24"/>
              </w:rPr>
              <w:t>3</w:t>
            </w:r>
            <w:r>
              <w:rPr>
                <w:rFonts w:hint="eastAsia" w:ascii="宋体" w:hAnsi="宋体" w:cs="仿宋_GB2312"/>
                <w:sz w:val="24"/>
              </w:rPr>
              <w:t>、二级机构</w:t>
            </w:r>
            <w:r>
              <w:rPr>
                <w:rFonts w:ascii="宋体" w:hAnsi="宋体" w:cs="仿宋_GB2312"/>
                <w:sz w:val="24"/>
              </w:rPr>
              <w:t>2</w:t>
            </w:r>
          </w:p>
        </w:tc>
        <w:tc>
          <w:tcPr>
            <w:tcW w:w="1265" w:type="dxa"/>
            <w:gridSpan w:val="2"/>
            <w:tcBorders>
              <w:righ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3084" w:type="dxa"/>
            <w:gridSpan w:val="4"/>
            <w:tcBorders>
              <w:left w:val="single" w:color="auto" w:sz="4" w:space="0"/>
            </w:tcBorders>
            <w:vAlign w:val="center"/>
          </w:tcPr>
          <w:p>
            <w:pPr>
              <w:autoSpaceDN w:val="0"/>
              <w:spacing w:line="400" w:lineRule="exact"/>
              <w:jc w:val="center"/>
              <w:textAlignment w:val="center"/>
              <w:rPr>
                <w:rFonts w:ascii="宋体" w:cs="仿宋_GB2312"/>
                <w:color w:val="000000"/>
                <w:sz w:val="24"/>
              </w:rPr>
            </w:pPr>
          </w:p>
        </w:tc>
        <w:tc>
          <w:tcPr>
            <w:tcW w:w="3366" w:type="dxa"/>
            <w:gridSpan w:val="5"/>
            <w:vAlign w:val="center"/>
          </w:tcPr>
          <w:p>
            <w:pPr>
              <w:autoSpaceDN w:val="0"/>
              <w:spacing w:line="400" w:lineRule="exact"/>
              <w:jc w:val="center"/>
              <w:textAlignment w:val="center"/>
              <w:rPr>
                <w:rFonts w:ascii="宋体" w:cs="仿宋_GB2312"/>
                <w:color w:val="000000"/>
                <w:sz w:val="24"/>
              </w:rPr>
            </w:pPr>
          </w:p>
        </w:tc>
        <w:tc>
          <w:tcPr>
            <w:tcW w:w="1200" w:type="dxa"/>
            <w:gridSpan w:val="2"/>
            <w:vAlign w:val="center"/>
          </w:tcPr>
          <w:p>
            <w:pPr>
              <w:autoSpaceDN w:val="0"/>
              <w:spacing w:line="400" w:lineRule="exact"/>
              <w:jc w:val="center"/>
              <w:textAlignment w:val="center"/>
              <w:rPr>
                <w:rFonts w:asci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460" w:type="dxa"/>
            <w:gridSpan w:val="14"/>
            <w:tcBorders>
              <w:left w:val="nil"/>
            </w:tcBorders>
            <w:vAlign w:val="center"/>
          </w:tcPr>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873"/>
              <w:gridCol w:w="477"/>
              <w:gridCol w:w="1072"/>
              <w:gridCol w:w="1417"/>
              <w:gridCol w:w="1977"/>
              <w:gridCol w:w="732"/>
              <w:gridCol w:w="1242"/>
              <w:gridCol w:w="1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335" w:type="dxa"/>
                  <w:gridSpan w:val="8"/>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b/>
                      <w:color w:val="000000"/>
                      <w:sz w:val="24"/>
                    </w:rPr>
                  </w:pPr>
                  <w:r>
                    <w:rPr>
                      <w:rFonts w:hint="eastAsia" w:ascii="宋体" w:hAnsi="宋体" w:cs="黑体"/>
                      <w:b/>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7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整体支出绩效定性目标及实施计划完成情况</w:t>
                  </w:r>
                </w:p>
              </w:tc>
              <w:tc>
                <w:tcPr>
                  <w:tcW w:w="4943"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预期目标</w:t>
                  </w:r>
                </w:p>
              </w:tc>
              <w:tc>
                <w:tcPr>
                  <w:tcW w:w="3519"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36"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4943"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left"/>
                    <w:textAlignment w:val="center"/>
                    <w:rPr>
                      <w:rFonts w:ascii="宋体" w:cs="仿宋_GB2312"/>
                      <w:color w:val="000000"/>
                      <w:sz w:val="24"/>
                    </w:rPr>
                  </w:pPr>
                  <w:r>
                    <w:rPr>
                      <w:rFonts w:hint="eastAsia" w:ascii="宋体" w:hAnsi="宋体" w:cs="仿宋_GB2312"/>
                      <w:color w:val="000000"/>
                      <w:sz w:val="24"/>
                    </w:rPr>
                    <w:t>任务</w:t>
                  </w:r>
                  <w:r>
                    <w:rPr>
                      <w:rFonts w:ascii="宋体" w:hAnsi="宋体" w:cs="仿宋_GB2312"/>
                      <w:color w:val="000000"/>
                      <w:sz w:val="24"/>
                    </w:rPr>
                    <w:t>1</w:t>
                  </w:r>
                  <w:r>
                    <w:rPr>
                      <w:rFonts w:hint="eastAsia" w:ascii="宋体" w:hAnsi="宋体" w:cs="仿宋_GB2312"/>
                      <w:color w:val="000000"/>
                      <w:sz w:val="24"/>
                    </w:rPr>
                    <w:t>：完成好重点交通项目建设协调工作；</w:t>
                  </w:r>
                </w:p>
                <w:p>
                  <w:pPr>
                    <w:autoSpaceDN w:val="0"/>
                    <w:spacing w:line="400" w:lineRule="exact"/>
                    <w:jc w:val="left"/>
                    <w:textAlignment w:val="center"/>
                    <w:rPr>
                      <w:rFonts w:ascii="宋体" w:cs="仿宋_GB2312"/>
                      <w:color w:val="000000"/>
                      <w:sz w:val="24"/>
                    </w:rPr>
                  </w:pPr>
                  <w:r>
                    <w:rPr>
                      <w:rFonts w:hint="eastAsia" w:ascii="宋体" w:hAnsi="宋体" w:cs="仿宋_GB2312"/>
                      <w:color w:val="000000"/>
                      <w:sz w:val="24"/>
                    </w:rPr>
                    <w:t>任务</w:t>
                  </w:r>
                  <w:r>
                    <w:rPr>
                      <w:rFonts w:ascii="宋体" w:hAnsi="宋体" w:cs="仿宋_GB2312"/>
                      <w:color w:val="000000"/>
                      <w:sz w:val="24"/>
                    </w:rPr>
                    <w:t>2</w:t>
                  </w:r>
                  <w:r>
                    <w:rPr>
                      <w:rFonts w:hint="eastAsia" w:ascii="宋体" w:hAnsi="宋体" w:cs="仿宋_GB2312"/>
                      <w:color w:val="000000"/>
                      <w:sz w:val="24"/>
                    </w:rPr>
                    <w:t>：完成好年度省下达民生实事实施工作；</w:t>
                  </w:r>
                </w:p>
                <w:p>
                  <w:pPr>
                    <w:autoSpaceDN w:val="0"/>
                    <w:spacing w:line="400" w:lineRule="exact"/>
                    <w:jc w:val="left"/>
                    <w:textAlignment w:val="center"/>
                    <w:rPr>
                      <w:rFonts w:ascii="宋体" w:cs="仿宋_GB2312"/>
                      <w:color w:val="000000"/>
                      <w:sz w:val="24"/>
                    </w:rPr>
                  </w:pPr>
                  <w:r>
                    <w:rPr>
                      <w:rFonts w:hint="eastAsia" w:ascii="宋体" w:hAnsi="宋体" w:cs="仿宋_GB2312"/>
                      <w:color w:val="000000"/>
                      <w:sz w:val="24"/>
                    </w:rPr>
                    <w:t>任务</w:t>
                  </w:r>
                  <w:r>
                    <w:rPr>
                      <w:rFonts w:ascii="宋体" w:hAnsi="宋体" w:cs="仿宋_GB2312"/>
                      <w:color w:val="000000"/>
                      <w:sz w:val="24"/>
                    </w:rPr>
                    <w:t>3</w:t>
                  </w:r>
                  <w:r>
                    <w:rPr>
                      <w:rFonts w:hint="eastAsia" w:ascii="宋体" w:hAnsi="宋体" w:cs="仿宋_GB2312"/>
                      <w:color w:val="000000"/>
                      <w:sz w:val="24"/>
                    </w:rPr>
                    <w:t>：落实好道路水路交通安全和市场监管责任；</w:t>
                  </w:r>
                </w:p>
                <w:p>
                  <w:pPr>
                    <w:autoSpaceDN w:val="0"/>
                    <w:spacing w:line="400" w:lineRule="exact"/>
                    <w:jc w:val="left"/>
                    <w:textAlignment w:val="center"/>
                    <w:rPr>
                      <w:rFonts w:ascii="宋体" w:cs="仿宋_GB2312"/>
                      <w:color w:val="000000"/>
                      <w:sz w:val="24"/>
                    </w:rPr>
                  </w:pPr>
                  <w:r>
                    <w:rPr>
                      <w:rFonts w:hint="eastAsia" w:ascii="宋体" w:hAnsi="宋体" w:cs="仿宋_GB2312"/>
                      <w:color w:val="000000"/>
                      <w:sz w:val="24"/>
                    </w:rPr>
                    <w:t>任务</w:t>
                  </w:r>
                  <w:r>
                    <w:rPr>
                      <w:rFonts w:ascii="宋体" w:hAnsi="宋体" w:cs="仿宋_GB2312"/>
                      <w:color w:val="000000"/>
                      <w:sz w:val="24"/>
                    </w:rPr>
                    <w:t>4</w:t>
                  </w:r>
                  <w:r>
                    <w:rPr>
                      <w:rFonts w:hint="eastAsia" w:ascii="宋体" w:hAnsi="宋体" w:cs="仿宋_GB2312"/>
                      <w:color w:val="000000"/>
                      <w:sz w:val="24"/>
                    </w:rPr>
                    <w:t>：其他日常工作事务及临时性工作。</w:t>
                  </w:r>
                </w:p>
              </w:tc>
              <w:tc>
                <w:tcPr>
                  <w:tcW w:w="3519"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ascii="宋体" w:cs="仿宋_GB2312"/>
                      <w:color w:val="000000"/>
                      <w:sz w:val="24"/>
                    </w:rPr>
                  </w:pPr>
                  <w:r>
                    <w:rPr>
                      <w:rFonts w:hint="eastAsia" w:ascii="宋体" w:hAnsi="宋体" w:cs="仿宋_GB2312"/>
                      <w:color w:val="000000"/>
                      <w:sz w:val="24"/>
                    </w:rPr>
                    <w:t>岳望高速、</w:t>
                  </w:r>
                  <w:r>
                    <w:rPr>
                      <w:rFonts w:ascii="宋体" w:hAnsi="宋体" w:cs="仿宋_GB2312"/>
                      <w:color w:val="000000"/>
                      <w:sz w:val="24"/>
                    </w:rPr>
                    <w:t>G240</w:t>
                  </w:r>
                  <w:r>
                    <w:rPr>
                      <w:rFonts w:hint="eastAsia" w:ascii="宋体" w:hAnsi="宋体" w:cs="仿宋_GB2312"/>
                      <w:color w:val="000000"/>
                      <w:sz w:val="24"/>
                    </w:rPr>
                    <w:t>岳阳县段建设取得阶段性进展，均已通车；年度民生实事项目通过省市验收；道路水路安全和市场形势稳定。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7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整体支出</w:t>
                  </w:r>
                </w:p>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绩效定量目标及实施计划完成情况</w:t>
                  </w:r>
                </w:p>
              </w:tc>
              <w:tc>
                <w:tcPr>
                  <w:tcW w:w="2966"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评价内容</w:t>
                  </w:r>
                </w:p>
              </w:tc>
              <w:tc>
                <w:tcPr>
                  <w:tcW w:w="2709"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绩效内容</w:t>
                  </w:r>
                </w:p>
              </w:tc>
              <w:tc>
                <w:tcPr>
                  <w:tcW w:w="1242"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绩效</w:t>
                  </w:r>
                </w:p>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目标值</w:t>
                  </w:r>
                </w:p>
              </w:tc>
              <w:tc>
                <w:tcPr>
                  <w:tcW w:w="154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产出目标</w:t>
                  </w:r>
                </w:p>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（部门工作实绩，即绩效办制定的单位年度考核计分办法中考核的部门工作实绩内容）</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质量指标</w:t>
                  </w:r>
                </w:p>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（指标</w:t>
                  </w:r>
                  <w:r>
                    <w:rPr>
                      <w:rFonts w:ascii="宋体" w:hAnsi="宋体" w:cs="仿宋_GB2312"/>
                      <w:color w:val="000000"/>
                      <w:sz w:val="24"/>
                    </w:rPr>
                    <w:t xml:space="preserve"> </w:t>
                  </w:r>
                  <w:r>
                    <w:rPr>
                      <w:rFonts w:hint="eastAsia" w:ascii="宋体" w:hAnsi="宋体" w:cs="仿宋_GB2312"/>
                      <w:color w:val="000000"/>
                      <w:sz w:val="24"/>
                    </w:rPr>
                    <w:t>）</w:t>
                  </w: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2"/>
                      <w:szCs w:val="22"/>
                    </w:rPr>
                  </w:pPr>
                  <w:r>
                    <w:rPr>
                      <w:rFonts w:hint="eastAsia" w:ascii="宋体" w:hAnsi="宋体"/>
                      <w:sz w:val="22"/>
                      <w:szCs w:val="22"/>
                    </w:rPr>
                    <w:t>“三公经费”变动率≤</w:t>
                  </w:r>
                  <w:r>
                    <w:rPr>
                      <w:rFonts w:ascii="宋体" w:hAnsi="宋体"/>
                      <w:sz w:val="22"/>
                      <w:szCs w:val="22"/>
                    </w:rPr>
                    <w:t>5%</w:t>
                  </w: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ascii="宋体" w:hAnsi="宋体"/>
                    </w:rPr>
                    <w:t>100%</w:t>
                  </w:r>
                  <w:r>
                    <w:rPr>
                      <w:rFonts w:hint="eastAsia" w:ascii="宋体" w:hAnsi="宋体"/>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cs="仿宋_GB2312"/>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2"/>
                      <w:szCs w:val="22"/>
                    </w:rPr>
                  </w:pPr>
                  <w:r>
                    <w:rPr>
                      <w:rFonts w:hint="eastAsia" w:ascii="宋体" w:hAnsi="宋体"/>
                      <w:sz w:val="22"/>
                      <w:szCs w:val="22"/>
                    </w:rPr>
                    <w:t>重点项目支出安排率</w:t>
                  </w:r>
                  <w:r>
                    <w:rPr>
                      <w:rFonts w:hint="eastAsia" w:ascii="宋体" w:cs="Arial"/>
                      <w:sz w:val="22"/>
                      <w:szCs w:val="22"/>
                    </w:rPr>
                    <w:t>≧</w:t>
                  </w:r>
                  <w:r>
                    <w:rPr>
                      <w:rFonts w:ascii="宋体" w:hAnsi="宋体" w:cs="Arial"/>
                      <w:sz w:val="22"/>
                      <w:szCs w:val="22"/>
                    </w:rPr>
                    <w:t>100%</w:t>
                  </w: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ascii="宋体" w:hAnsi="宋体"/>
                    </w:rPr>
                    <w:t>100%</w:t>
                  </w:r>
                  <w:r>
                    <w:rPr>
                      <w:rFonts w:hint="eastAsia" w:ascii="宋体" w:hAnsi="宋体"/>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cs="仿宋_GB2312"/>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2"/>
                      <w:szCs w:val="22"/>
                    </w:rPr>
                  </w:pPr>
                  <w:r>
                    <w:rPr>
                      <w:rFonts w:hint="eastAsia" w:ascii="宋体" w:hAnsi="宋体"/>
                      <w:sz w:val="22"/>
                      <w:szCs w:val="22"/>
                    </w:rPr>
                    <w:t>预算调整率≤</w:t>
                  </w:r>
                  <w:r>
                    <w:rPr>
                      <w:rFonts w:ascii="宋体"/>
                      <w:sz w:val="22"/>
                      <w:szCs w:val="22"/>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ascii="宋体" w:hAnsi="宋体"/>
                    </w:rPr>
                    <w:t>100%</w:t>
                  </w:r>
                  <w:r>
                    <w:rPr>
                      <w:rFonts w:hint="eastAsia" w:ascii="宋体" w:hAnsi="宋体"/>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cs="仿宋_GB2312"/>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s="宋体"/>
                      <w:sz w:val="22"/>
                      <w:szCs w:val="22"/>
                    </w:rPr>
                  </w:pPr>
                  <w:r>
                    <w:rPr>
                      <w:rFonts w:hint="eastAsia" w:ascii="宋体" w:hAnsi="宋体"/>
                      <w:sz w:val="22"/>
                      <w:szCs w:val="22"/>
                    </w:rPr>
                    <w:t>数据误差率≤</w:t>
                  </w:r>
                  <w:r>
                    <w:rPr>
                      <w:rFonts w:ascii="宋体" w:hAnsi="宋体"/>
                      <w:sz w:val="22"/>
                      <w:szCs w:val="22"/>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ascii="宋体" w:hAnsi="宋体"/>
                    </w:rPr>
                    <w:t>100%</w:t>
                  </w:r>
                  <w:r>
                    <w:rPr>
                      <w:rFonts w:hint="eastAsia" w:ascii="宋体" w:hAnsi="宋体"/>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cs="仿宋_GB2312"/>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s="宋体"/>
                      <w:sz w:val="22"/>
                      <w:szCs w:val="22"/>
                    </w:rPr>
                  </w:pPr>
                  <w:r>
                    <w:rPr>
                      <w:rFonts w:hint="eastAsia" w:ascii="宋体" w:hAnsi="宋体"/>
                      <w:sz w:val="22"/>
                      <w:szCs w:val="22"/>
                    </w:rPr>
                    <w:t>“三公经费”控制率≤</w:t>
                  </w:r>
                  <w:r>
                    <w:rPr>
                      <w:rFonts w:ascii="宋体" w:hAnsi="宋体"/>
                      <w:sz w:val="22"/>
                      <w:szCs w:val="22"/>
                    </w:rPr>
                    <w:t>100%</w:t>
                  </w: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ascii="宋体" w:hAnsi="宋体"/>
                    </w:rPr>
                    <w:t>100%</w:t>
                  </w:r>
                  <w:r>
                    <w:rPr>
                      <w:rFonts w:hint="eastAsia" w:ascii="宋体" w:hAnsi="宋体"/>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cs="仿宋_GB2312"/>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s="宋体"/>
                      <w:sz w:val="22"/>
                      <w:szCs w:val="22"/>
                    </w:rPr>
                  </w:pPr>
                  <w:r>
                    <w:rPr>
                      <w:rFonts w:hint="eastAsia" w:ascii="宋体" w:hAnsi="宋体"/>
                      <w:sz w:val="22"/>
                      <w:szCs w:val="22"/>
                    </w:rPr>
                    <w:t>公务卡刷卡率</w:t>
                  </w:r>
                  <w:r>
                    <w:rPr>
                      <w:rFonts w:hint="eastAsia" w:ascii="宋体" w:cs="Arial"/>
                      <w:sz w:val="22"/>
                      <w:szCs w:val="22"/>
                    </w:rPr>
                    <w:t>≧</w:t>
                  </w:r>
                  <w:r>
                    <w:rPr>
                      <w:rFonts w:ascii="宋体" w:hAnsi="宋体"/>
                      <w:sz w:val="22"/>
                      <w:szCs w:val="22"/>
                    </w:rPr>
                    <w:t>40%</w:t>
                  </w: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ascii="宋体" w:hAnsi="宋体"/>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cs="仿宋_GB2312"/>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s="宋体"/>
                      <w:sz w:val="22"/>
                      <w:szCs w:val="22"/>
                    </w:rPr>
                  </w:pPr>
                  <w:r>
                    <w:rPr>
                      <w:rFonts w:hint="eastAsia" w:ascii="宋体" w:hAnsi="宋体"/>
                      <w:sz w:val="22"/>
                      <w:szCs w:val="22"/>
                    </w:rPr>
                    <w:t>固定资产利用率</w:t>
                  </w:r>
                  <w:r>
                    <w:rPr>
                      <w:rFonts w:ascii="宋体" w:hAnsi="宋体"/>
                      <w:sz w:val="22"/>
                      <w:szCs w:val="22"/>
                    </w:rPr>
                    <w:t>=100%</w:t>
                  </w: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ascii="宋体" w:hAnsi="宋体"/>
                    </w:rPr>
                    <w:t>100%</w:t>
                  </w:r>
                  <w:r>
                    <w:rPr>
                      <w:rFonts w:hint="eastAsia" w:ascii="宋体" w:hAnsi="宋体"/>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7"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cs="仿宋_GB2312"/>
                      <w:sz w:val="24"/>
                    </w:rPr>
                  </w:pP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数量指标</w:t>
                  </w: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s="宋体"/>
                      <w:sz w:val="22"/>
                      <w:szCs w:val="22"/>
                    </w:rPr>
                  </w:pPr>
                  <w:r>
                    <w:rPr>
                      <w:rFonts w:ascii="宋体" w:hAnsi="宋体"/>
                      <w:sz w:val="22"/>
                      <w:szCs w:val="22"/>
                    </w:rPr>
                    <w:t>100%</w:t>
                  </w:r>
                  <w:r>
                    <w:rPr>
                      <w:rFonts w:hint="eastAsia" w:ascii="宋体" w:hAnsi="宋体"/>
                      <w:sz w:val="22"/>
                      <w:szCs w:val="22"/>
                    </w:rPr>
                    <w:t>完成</w:t>
                  </w: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2"/>
                      <w:szCs w:val="22"/>
                    </w:rPr>
                  </w:pPr>
                  <w:r>
                    <w:rPr>
                      <w:rFonts w:ascii="宋体" w:hAnsi="宋体"/>
                      <w:sz w:val="22"/>
                      <w:szCs w:val="22"/>
                    </w:rPr>
                    <w:t>100%</w:t>
                  </w:r>
                  <w:r>
                    <w:rPr>
                      <w:rFonts w:hint="eastAsia" w:ascii="宋体" w:hAnsi="宋体"/>
                      <w:sz w:val="22"/>
                      <w:szCs w:val="2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cs="仿宋_GB2312"/>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s="宋体"/>
                      <w:sz w:val="22"/>
                      <w:szCs w:val="22"/>
                    </w:rPr>
                  </w:pPr>
                  <w:r>
                    <w:rPr>
                      <w:rFonts w:ascii="宋体" w:hAnsi="宋体"/>
                      <w:sz w:val="22"/>
                      <w:szCs w:val="22"/>
                    </w:rPr>
                    <w:t>100%</w:t>
                  </w:r>
                  <w:r>
                    <w:rPr>
                      <w:rFonts w:hint="eastAsia" w:ascii="宋体" w:hAnsi="宋体"/>
                      <w:sz w:val="22"/>
                      <w:szCs w:val="22"/>
                    </w:rPr>
                    <w:t>完成</w:t>
                  </w: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2"/>
                      <w:szCs w:val="22"/>
                    </w:rPr>
                  </w:pPr>
                  <w:r>
                    <w:rPr>
                      <w:rFonts w:ascii="宋体" w:hAnsi="宋体"/>
                      <w:sz w:val="22"/>
                      <w:szCs w:val="22"/>
                    </w:rPr>
                    <w:t>100%</w:t>
                  </w:r>
                  <w:r>
                    <w:rPr>
                      <w:rFonts w:hint="eastAsia" w:ascii="宋体" w:hAnsi="宋体"/>
                      <w:sz w:val="22"/>
                      <w:szCs w:val="2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cs="仿宋_GB2312"/>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s="宋体"/>
                      <w:sz w:val="22"/>
                      <w:szCs w:val="22"/>
                    </w:rPr>
                  </w:pP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2"/>
                      <w:szCs w:val="22"/>
                    </w:rPr>
                  </w:pPr>
                  <w:r>
                    <w:rPr>
                      <w:rFonts w:ascii="宋体" w:hAnsi="宋体"/>
                      <w:sz w:val="22"/>
                      <w:szCs w:val="22"/>
                    </w:rPr>
                    <w:t>100%</w:t>
                  </w:r>
                  <w:r>
                    <w:rPr>
                      <w:rFonts w:hint="eastAsia" w:ascii="宋体" w:hAnsi="宋体"/>
                      <w:sz w:val="22"/>
                      <w:szCs w:val="2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cs="仿宋_GB2312"/>
                      <w:sz w:val="24"/>
                    </w:rPr>
                  </w:pP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成本指标</w:t>
                  </w: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FF0000"/>
                      <w:sz w:val="24"/>
                    </w:rPr>
                  </w:pPr>
                  <w:r>
                    <w:rPr>
                      <w:rFonts w:hint="eastAsia" w:ascii="宋体" w:hAnsi="宋体"/>
                    </w:rPr>
                    <w:t>控制在预算内</w:t>
                  </w:r>
                </w:p>
              </w:tc>
              <w:tc>
                <w:tcPr>
                  <w:tcW w:w="154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b/>
                      <w:color w:val="000000"/>
                      <w:sz w:val="24"/>
                    </w:rPr>
                  </w:pPr>
                  <w:r>
                    <w:rPr>
                      <w:rFonts w:ascii="宋体" w:hAnsi="宋体"/>
                      <w:sz w:val="22"/>
                      <w:szCs w:val="22"/>
                    </w:rPr>
                    <w:t>100%</w:t>
                  </w:r>
                  <w:r>
                    <w:rPr>
                      <w:rFonts w:hint="eastAsia" w:ascii="宋体" w:hAnsi="宋体"/>
                      <w:sz w:val="22"/>
                      <w:szCs w:val="2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cs="仿宋_GB2312"/>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sz w:val="24"/>
                    </w:rPr>
                  </w:pP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p>
              </w:tc>
              <w:tc>
                <w:tcPr>
                  <w:tcW w:w="154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效益目标</w:t>
                  </w:r>
                </w:p>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（预期实现的效益）</w:t>
                  </w:r>
                </w:p>
              </w:tc>
              <w:tc>
                <w:tcPr>
                  <w:tcW w:w="1417"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社会效益</w:t>
                  </w: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sz w:val="20"/>
                      <w:szCs w:val="20"/>
                    </w:rPr>
                  </w:pPr>
                  <w:r>
                    <w:rPr>
                      <w:rFonts w:hint="eastAsia" w:ascii="宋体" w:hAnsi="宋体" w:cs="仿宋_GB2312"/>
                      <w:sz w:val="24"/>
                    </w:rPr>
                    <w:t>确保道路运输安全及城区交通秩序持续好转，群众满意度不断提升。</w:t>
                  </w: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sz w:val="24"/>
                    </w:rPr>
                    <w:t>社会效益明显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1"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cs="仿宋_GB2312"/>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经济效益</w:t>
                  </w: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为城镇居民经济增长创造条件，助推乡村旅游产业发展</w:t>
                  </w: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sz w:val="24"/>
                    </w:rPr>
                    <w:t>经济效益明显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cs="仿宋_GB2312"/>
                      <w:sz w:val="24"/>
                    </w:rPr>
                  </w:pP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生态效益</w:t>
                  </w: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降噪降阻</w:t>
                  </w:r>
                </w:p>
              </w:tc>
              <w:tc>
                <w:tcPr>
                  <w:tcW w:w="154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b/>
                      <w:color w:val="000000"/>
                      <w:sz w:val="24"/>
                    </w:rPr>
                  </w:pPr>
                  <w:r>
                    <w:rPr>
                      <w:rFonts w:hint="eastAsia" w:ascii="宋体" w:hAnsi="宋体" w:cs="仿宋_GB2312"/>
                      <w:b/>
                      <w:color w:val="000000"/>
                      <w:sz w:val="24"/>
                    </w:rPr>
                    <w:t>生态效益明显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cs="仿宋_GB2312"/>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sz w:val="24"/>
                    </w:rPr>
                  </w:pP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p>
              </w:tc>
              <w:tc>
                <w:tcPr>
                  <w:tcW w:w="154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cs="仿宋_GB2312"/>
                      <w:sz w:val="24"/>
                    </w:rPr>
                  </w:pP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社会公众或服务对象满意度</w:t>
                  </w: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sz w:val="24"/>
                    </w:rPr>
                    <w:t>服务对象满意度</w:t>
                  </w:r>
                </w:p>
              </w:tc>
              <w:tc>
                <w:tcPr>
                  <w:tcW w:w="154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b/>
                      <w:color w:val="000000"/>
                      <w:sz w:val="24"/>
                    </w:rPr>
                  </w:pPr>
                  <w:r>
                    <w:rPr>
                      <w:rFonts w:ascii="宋体" w:hAnsi="宋体"/>
                      <w:sz w:val="24"/>
                    </w:rPr>
                    <w:t>95%</w:t>
                  </w:r>
                  <w:r>
                    <w:rPr>
                      <w:rFonts w:hint="eastAsia" w:ascii="宋体" w:hAnsi="宋体"/>
                      <w:sz w:val="24"/>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仿宋_GB2312"/>
                      <w:sz w:val="24"/>
                    </w:rPr>
                  </w:pPr>
                </w:p>
              </w:tc>
              <w:tc>
                <w:tcPr>
                  <w:tcW w:w="1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cs="仿宋_GB2312"/>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sz w:val="24"/>
                    </w:rPr>
                  </w:pPr>
                </w:p>
              </w:tc>
              <w:tc>
                <w:tcPr>
                  <w:tcW w:w="395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满意度</w:t>
                  </w:r>
                  <w:r>
                    <w:rPr>
                      <w:rFonts w:ascii="宋体" w:hAnsi="宋体" w:cs="仿宋_GB2312"/>
                      <w:color w:val="000000"/>
                      <w:sz w:val="24"/>
                    </w:rPr>
                    <w:t>95%</w:t>
                  </w:r>
                  <w:r>
                    <w:rPr>
                      <w:rFonts w:hint="eastAsia" w:ascii="宋体" w:hAnsi="宋体" w:cs="仿宋_GB2312"/>
                      <w:color w:val="000000"/>
                      <w:sz w:val="24"/>
                    </w:rPr>
                    <w:t>以上</w:t>
                  </w:r>
                </w:p>
              </w:tc>
              <w:tc>
                <w:tcPr>
                  <w:tcW w:w="154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b/>
                      <w:color w:val="000000"/>
                      <w:sz w:val="24"/>
                    </w:rPr>
                  </w:pPr>
                  <w:r>
                    <w:rPr>
                      <w:rFonts w:hint="eastAsia" w:ascii="宋体" w:hAnsi="宋体" w:cs="仿宋_GB2312"/>
                      <w:b/>
                      <w:color w:val="000000"/>
                      <w:sz w:val="24"/>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42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绩效自评综合得分</w:t>
                  </w:r>
                </w:p>
              </w:tc>
              <w:tc>
                <w:tcPr>
                  <w:tcW w:w="6913" w:type="dxa"/>
                  <w:gridSpan w:val="5"/>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ascii="宋体" w:hAnsi="宋体" w:cs="仿宋_GB2312"/>
                      <w:color w:val="000000"/>
                      <w:sz w:val="24"/>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42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评价等次</w:t>
                  </w:r>
                </w:p>
              </w:tc>
              <w:tc>
                <w:tcPr>
                  <w:tcW w:w="6913" w:type="dxa"/>
                  <w:gridSpan w:val="5"/>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0335" w:type="dxa"/>
                  <w:gridSpan w:val="8"/>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b/>
                      <w:color w:val="000000"/>
                      <w:sz w:val="24"/>
                    </w:rPr>
                  </w:pPr>
                  <w:r>
                    <w:rPr>
                      <w:rFonts w:hint="eastAsia" w:ascii="宋体" w:hAnsi="宋体" w:cs="黑体"/>
                      <w:b/>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3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姓</w:t>
                  </w:r>
                  <w:r>
                    <w:rPr>
                      <w:rFonts w:ascii="宋体" w:hAnsi="宋体" w:cs="仿宋_GB2312"/>
                      <w:color w:val="000000"/>
                      <w:sz w:val="24"/>
                    </w:rPr>
                    <w:t xml:space="preserve">  </w:t>
                  </w:r>
                  <w:r>
                    <w:rPr>
                      <w:rFonts w:hint="eastAsia" w:ascii="宋体" w:hAnsi="宋体" w:cs="仿宋_GB2312"/>
                      <w:color w:val="000000"/>
                      <w:sz w:val="24"/>
                    </w:rPr>
                    <w:t>名</w:t>
                  </w:r>
                </w:p>
              </w:tc>
              <w:tc>
                <w:tcPr>
                  <w:tcW w:w="4466"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职务</w:t>
                  </w:r>
                  <w:r>
                    <w:rPr>
                      <w:rFonts w:ascii="宋体" w:hAnsi="宋体" w:cs="仿宋_GB2312"/>
                      <w:color w:val="000000"/>
                      <w:sz w:val="24"/>
                    </w:rPr>
                    <w:t>/</w:t>
                  </w:r>
                  <w:r>
                    <w:rPr>
                      <w:rFonts w:hint="eastAsia" w:ascii="宋体" w:hAnsi="宋体" w:cs="仿宋_GB2312"/>
                      <w:color w:val="000000"/>
                      <w:sz w:val="24"/>
                    </w:rPr>
                    <w:t>职称</w:t>
                  </w:r>
                </w:p>
              </w:tc>
              <w:tc>
                <w:tcPr>
                  <w:tcW w:w="197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单</w:t>
                  </w:r>
                  <w:r>
                    <w:rPr>
                      <w:rFonts w:ascii="宋体" w:hAnsi="宋体" w:cs="仿宋_GB2312"/>
                      <w:color w:val="000000"/>
                      <w:sz w:val="24"/>
                    </w:rPr>
                    <w:t xml:space="preserve">  </w:t>
                  </w:r>
                  <w:r>
                    <w:rPr>
                      <w:rFonts w:hint="eastAsia" w:ascii="宋体" w:hAnsi="宋体" w:cs="仿宋_GB2312"/>
                      <w:color w:val="000000"/>
                      <w:sz w:val="24"/>
                    </w:rPr>
                    <w:t>位</w:t>
                  </w:r>
                </w:p>
              </w:tc>
              <w:tc>
                <w:tcPr>
                  <w:tcW w:w="154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签</w:t>
                  </w:r>
                  <w:r>
                    <w:rPr>
                      <w:rFonts w:ascii="宋体" w:hAnsi="宋体" w:cs="仿宋_GB2312"/>
                      <w:color w:val="000000"/>
                      <w:sz w:val="24"/>
                    </w:rPr>
                    <w:t xml:space="preserve">  </w:t>
                  </w:r>
                  <w:r>
                    <w:rPr>
                      <w:rFonts w:hint="eastAsia" w:ascii="宋体" w:hAnsi="宋体"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23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黎</w:t>
                  </w:r>
                  <w:r>
                    <w:rPr>
                      <w:rFonts w:ascii="宋体" w:hAnsi="宋体" w:cs="仿宋_GB2312"/>
                      <w:color w:val="000000"/>
                      <w:sz w:val="24"/>
                    </w:rPr>
                    <w:t xml:space="preserve">  </w:t>
                  </w:r>
                  <w:r>
                    <w:rPr>
                      <w:rFonts w:hint="eastAsia" w:ascii="宋体" w:hAnsi="宋体" w:cs="仿宋_GB2312"/>
                      <w:color w:val="000000"/>
                      <w:sz w:val="24"/>
                    </w:rPr>
                    <w:t>明</w:t>
                  </w:r>
                </w:p>
              </w:tc>
              <w:tc>
                <w:tcPr>
                  <w:tcW w:w="4466"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副局长</w:t>
                  </w:r>
                </w:p>
              </w:tc>
              <w:tc>
                <w:tcPr>
                  <w:tcW w:w="197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bookmarkStart w:id="0" w:name="OLE_LINK1"/>
                  <w:r>
                    <w:rPr>
                      <w:rFonts w:hint="eastAsia" w:ascii="宋体" w:hAnsi="宋体" w:cs="仿宋_GB2312"/>
                      <w:color w:val="000000"/>
                      <w:sz w:val="24"/>
                    </w:rPr>
                    <w:t>岳阳县交通运输局</w:t>
                  </w:r>
                  <w:bookmarkEnd w:id="0"/>
                </w:p>
              </w:tc>
              <w:tc>
                <w:tcPr>
                  <w:tcW w:w="154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23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李爱萍</w:t>
                  </w:r>
                </w:p>
              </w:tc>
              <w:tc>
                <w:tcPr>
                  <w:tcW w:w="4466"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财务股长</w:t>
                  </w:r>
                </w:p>
              </w:tc>
              <w:tc>
                <w:tcPr>
                  <w:tcW w:w="197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岳阳县交通运输局</w:t>
                  </w:r>
                </w:p>
              </w:tc>
              <w:tc>
                <w:tcPr>
                  <w:tcW w:w="154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23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陈</w:t>
                  </w:r>
                  <w:r>
                    <w:rPr>
                      <w:rFonts w:ascii="宋体" w:hAnsi="宋体" w:cs="仿宋_GB2312"/>
                      <w:color w:val="000000"/>
                      <w:sz w:val="24"/>
                    </w:rPr>
                    <w:t xml:space="preserve">  </w:t>
                  </w:r>
                  <w:r>
                    <w:rPr>
                      <w:rFonts w:hint="eastAsia" w:ascii="宋体" w:hAnsi="宋体" w:cs="仿宋_GB2312"/>
                      <w:color w:val="000000"/>
                      <w:sz w:val="24"/>
                    </w:rPr>
                    <w:t>芳</w:t>
                  </w:r>
                </w:p>
              </w:tc>
              <w:tc>
                <w:tcPr>
                  <w:tcW w:w="4466"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会计</w:t>
                  </w:r>
                </w:p>
              </w:tc>
              <w:tc>
                <w:tcPr>
                  <w:tcW w:w="197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r>
                    <w:rPr>
                      <w:rFonts w:hint="eastAsia" w:ascii="宋体" w:hAnsi="宋体" w:cs="仿宋_GB2312"/>
                      <w:color w:val="000000"/>
                      <w:sz w:val="24"/>
                    </w:rPr>
                    <w:t>岳阳县交通运输局</w:t>
                  </w:r>
                </w:p>
              </w:tc>
              <w:tc>
                <w:tcPr>
                  <w:tcW w:w="154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23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p>
              </w:tc>
              <w:tc>
                <w:tcPr>
                  <w:tcW w:w="4466"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p>
              </w:tc>
              <w:tc>
                <w:tcPr>
                  <w:tcW w:w="197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p>
              </w:tc>
              <w:tc>
                <w:tcPr>
                  <w:tcW w:w="154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asci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98" w:hRule="atLeast"/>
                <w:jc w:val="center"/>
              </w:trPr>
              <w:tc>
                <w:tcPr>
                  <w:tcW w:w="10335" w:type="dxa"/>
                  <w:gridSpan w:val="8"/>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left"/>
                    <w:textAlignment w:val="center"/>
                    <w:rPr>
                      <w:rFonts w:ascii="宋体" w:cs="仿宋_GB2312"/>
                      <w:color w:val="000000"/>
                      <w:sz w:val="24"/>
                    </w:rPr>
                  </w:pPr>
                  <w:r>
                    <w:rPr>
                      <w:rFonts w:hint="eastAsia" w:ascii="宋体" w:hAnsi="宋体" w:cs="仿宋_GB2312"/>
                      <w:color w:val="000000"/>
                      <w:sz w:val="24"/>
                    </w:rPr>
                    <w:t>评价组组长（签字）：</w:t>
                  </w:r>
                </w:p>
                <w:p>
                  <w:pPr>
                    <w:autoSpaceDN w:val="0"/>
                    <w:spacing w:line="400" w:lineRule="exact"/>
                    <w:jc w:val="left"/>
                    <w:textAlignment w:val="center"/>
                    <w:rPr>
                      <w:rFonts w:ascii="宋体" w:cs="仿宋_GB2312"/>
                      <w:color w:val="000000"/>
                      <w:sz w:val="24"/>
                    </w:rPr>
                  </w:pPr>
                </w:p>
                <w:p>
                  <w:pPr>
                    <w:autoSpaceDN w:val="0"/>
                    <w:spacing w:line="400" w:lineRule="exact"/>
                    <w:jc w:val="left"/>
                    <w:textAlignment w:val="center"/>
                    <w:rPr>
                      <w:rFonts w:ascii="宋体" w:cs="仿宋_GB2312"/>
                      <w:color w:val="000000"/>
                      <w:sz w:val="24"/>
                    </w:rPr>
                  </w:pPr>
                </w:p>
                <w:p>
                  <w:pPr>
                    <w:autoSpaceDN w:val="0"/>
                    <w:spacing w:line="400" w:lineRule="exact"/>
                    <w:jc w:val="left"/>
                    <w:textAlignment w:val="center"/>
                    <w:rPr>
                      <w:rFonts w:ascii="宋体" w:cs="仿宋_GB2312"/>
                      <w:color w:val="000000"/>
                      <w:sz w:val="24"/>
                    </w:rPr>
                  </w:pPr>
                </w:p>
                <w:p>
                  <w:pPr>
                    <w:autoSpaceDN w:val="0"/>
                    <w:spacing w:line="400" w:lineRule="exact"/>
                    <w:jc w:val="left"/>
                    <w:textAlignment w:val="center"/>
                    <w:rPr>
                      <w:rFonts w:ascii="宋体" w:cs="仿宋_GB2312"/>
                      <w:color w:val="000000"/>
                      <w:sz w:val="24"/>
                    </w:rPr>
                  </w:pPr>
                </w:p>
                <w:p>
                  <w:pPr>
                    <w:autoSpaceDN w:val="0"/>
                    <w:spacing w:line="400" w:lineRule="exact"/>
                    <w:jc w:val="left"/>
                    <w:textAlignment w:val="center"/>
                    <w:rPr>
                      <w:rFonts w:ascii="宋体" w:cs="仿宋_GB2312"/>
                      <w:color w:val="000000"/>
                      <w:sz w:val="24"/>
                    </w:rPr>
                  </w:pPr>
                </w:p>
                <w:p>
                  <w:pPr>
                    <w:autoSpaceDN w:val="0"/>
                    <w:spacing w:line="400" w:lineRule="exact"/>
                    <w:jc w:val="left"/>
                    <w:textAlignment w:val="center"/>
                    <w:rPr>
                      <w:rFonts w:ascii="宋体" w:cs="仿宋_GB2312"/>
                      <w:color w:val="000000"/>
                      <w:sz w:val="24"/>
                    </w:rPr>
                  </w:pPr>
                </w:p>
                <w:p>
                  <w:pPr>
                    <w:autoSpaceDN w:val="0"/>
                    <w:spacing w:line="400" w:lineRule="exact"/>
                    <w:jc w:val="left"/>
                    <w:textAlignment w:val="center"/>
                    <w:rPr>
                      <w:rFonts w:ascii="宋体" w:cs="仿宋_GB2312"/>
                      <w:color w:val="000000"/>
                      <w:sz w:val="24"/>
                    </w:rPr>
                  </w:pPr>
                  <w:r>
                    <w:rPr>
                      <w:rFonts w:ascii="宋体" w:hAnsi="宋体" w:cs="仿宋_GB2312"/>
                      <w:color w:val="000000"/>
                      <w:sz w:val="24"/>
                    </w:rPr>
                    <w:t xml:space="preserve">                                                                     </w:t>
                  </w:r>
                  <w:r>
                    <w:rPr>
                      <w:rFonts w:hint="eastAsia" w:ascii="宋体" w:hAnsi="宋体" w:cs="仿宋_GB2312"/>
                      <w:color w:val="000000"/>
                      <w:sz w:val="24"/>
                    </w:rPr>
                    <w:t>年</w:t>
                  </w:r>
                  <w:r>
                    <w:rPr>
                      <w:rFonts w:ascii="宋体" w:hAnsi="宋体" w:cs="仿宋_GB2312"/>
                      <w:color w:val="000000"/>
                      <w:sz w:val="24"/>
                    </w:rPr>
                    <w:t xml:space="preserve">    </w:t>
                  </w:r>
                  <w:r>
                    <w:rPr>
                      <w:rFonts w:hint="eastAsia" w:ascii="宋体" w:hAnsi="宋体" w:cs="仿宋_GB2312"/>
                      <w:color w:val="000000"/>
                      <w:sz w:val="24"/>
                    </w:rPr>
                    <w:t>月</w:t>
                  </w:r>
                  <w:r>
                    <w:rPr>
                      <w:rFonts w:ascii="宋体" w:hAnsi="宋体" w:cs="仿宋_GB2312"/>
                      <w:color w:val="000000"/>
                      <w:sz w:val="24"/>
                    </w:rPr>
                    <w:t xml:space="preserve">    </w:t>
                  </w:r>
                  <w:r>
                    <w:rPr>
                      <w:rFonts w:hint="eastAsia" w:ascii="宋体" w:hAnsi="宋体"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23" w:hRule="atLeast"/>
                <w:jc w:val="center"/>
              </w:trPr>
              <w:tc>
                <w:tcPr>
                  <w:tcW w:w="10335" w:type="dxa"/>
                  <w:gridSpan w:val="8"/>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left"/>
                    <w:textAlignment w:val="center"/>
                    <w:rPr>
                      <w:rFonts w:ascii="宋体" w:cs="仿宋_GB2312"/>
                      <w:color w:val="000000"/>
                      <w:sz w:val="24"/>
                    </w:rPr>
                  </w:pPr>
                  <w:r>
                    <w:rPr>
                      <w:rFonts w:hint="eastAsia" w:ascii="宋体" w:hAnsi="宋体" w:cs="仿宋_GB2312"/>
                      <w:color w:val="000000"/>
                      <w:sz w:val="24"/>
                    </w:rPr>
                    <w:t>部门（单位）意见：</w:t>
                  </w:r>
                </w:p>
                <w:p>
                  <w:pPr>
                    <w:autoSpaceDN w:val="0"/>
                    <w:spacing w:line="400" w:lineRule="exact"/>
                    <w:jc w:val="left"/>
                    <w:textAlignment w:val="center"/>
                    <w:rPr>
                      <w:rFonts w:ascii="宋体" w:cs="仿宋_GB2312"/>
                      <w:color w:val="000000"/>
                      <w:sz w:val="24"/>
                    </w:rPr>
                  </w:pPr>
                </w:p>
                <w:p>
                  <w:pPr>
                    <w:autoSpaceDN w:val="0"/>
                    <w:spacing w:line="400" w:lineRule="exact"/>
                    <w:jc w:val="left"/>
                    <w:textAlignment w:val="center"/>
                    <w:rPr>
                      <w:rFonts w:ascii="宋体" w:cs="仿宋_GB2312"/>
                      <w:color w:val="000000"/>
                      <w:sz w:val="24"/>
                    </w:rPr>
                  </w:pPr>
                </w:p>
                <w:p>
                  <w:pPr>
                    <w:autoSpaceDN w:val="0"/>
                    <w:spacing w:line="400" w:lineRule="exact"/>
                    <w:jc w:val="left"/>
                    <w:textAlignment w:val="center"/>
                    <w:rPr>
                      <w:rFonts w:ascii="宋体" w:cs="仿宋_GB2312"/>
                      <w:color w:val="000000"/>
                      <w:sz w:val="24"/>
                    </w:rPr>
                  </w:pPr>
                </w:p>
                <w:p>
                  <w:pPr>
                    <w:autoSpaceDN w:val="0"/>
                    <w:spacing w:line="400" w:lineRule="exact"/>
                    <w:jc w:val="left"/>
                    <w:textAlignment w:val="center"/>
                    <w:rPr>
                      <w:rFonts w:ascii="宋体" w:cs="仿宋_GB2312"/>
                      <w:color w:val="000000"/>
                      <w:sz w:val="24"/>
                    </w:rPr>
                  </w:pPr>
                </w:p>
                <w:p>
                  <w:pPr>
                    <w:autoSpaceDN w:val="0"/>
                    <w:spacing w:line="400" w:lineRule="exact"/>
                    <w:jc w:val="left"/>
                    <w:textAlignment w:val="center"/>
                    <w:rPr>
                      <w:rFonts w:ascii="宋体" w:cs="仿宋_GB2312"/>
                      <w:color w:val="000000"/>
                      <w:sz w:val="24"/>
                    </w:rPr>
                  </w:pPr>
                </w:p>
                <w:p>
                  <w:pPr>
                    <w:autoSpaceDN w:val="0"/>
                    <w:spacing w:line="400" w:lineRule="exact"/>
                    <w:jc w:val="left"/>
                    <w:textAlignment w:val="center"/>
                    <w:rPr>
                      <w:rFonts w:ascii="宋体" w:cs="仿宋_GB2312"/>
                      <w:color w:val="000000"/>
                      <w:sz w:val="24"/>
                    </w:rPr>
                  </w:pPr>
                </w:p>
                <w:p>
                  <w:pPr>
                    <w:autoSpaceDN w:val="0"/>
                    <w:spacing w:line="400" w:lineRule="exact"/>
                    <w:jc w:val="left"/>
                    <w:textAlignment w:val="center"/>
                    <w:rPr>
                      <w:rFonts w:ascii="宋体" w:cs="仿宋_GB2312"/>
                      <w:color w:val="000000"/>
                      <w:sz w:val="24"/>
                    </w:rPr>
                  </w:pPr>
                </w:p>
                <w:p>
                  <w:pPr>
                    <w:autoSpaceDN w:val="0"/>
                    <w:spacing w:line="400" w:lineRule="exact"/>
                    <w:jc w:val="left"/>
                    <w:textAlignment w:val="center"/>
                    <w:rPr>
                      <w:rFonts w:ascii="宋体" w:cs="仿宋_GB2312"/>
                      <w:color w:val="000000"/>
                      <w:sz w:val="24"/>
                    </w:rPr>
                  </w:pPr>
                  <w:r>
                    <w:rPr>
                      <w:rFonts w:ascii="宋体" w:hAnsi="宋体" w:cs="仿宋_GB2312"/>
                      <w:color w:val="000000"/>
                      <w:sz w:val="24"/>
                    </w:rPr>
                    <w:t xml:space="preserve">                                         </w:t>
                  </w:r>
                  <w:r>
                    <w:rPr>
                      <w:rFonts w:hint="eastAsia" w:ascii="宋体" w:hAnsi="宋体" w:cs="仿宋_GB2312"/>
                      <w:color w:val="000000"/>
                      <w:sz w:val="24"/>
                    </w:rPr>
                    <w:t>部门（单位）负责人（签字）：</w:t>
                  </w:r>
                </w:p>
                <w:p>
                  <w:pPr>
                    <w:autoSpaceDN w:val="0"/>
                    <w:spacing w:line="400" w:lineRule="exact"/>
                    <w:jc w:val="left"/>
                    <w:textAlignment w:val="center"/>
                    <w:rPr>
                      <w:rFonts w:ascii="宋体" w:cs="仿宋_GB2312"/>
                      <w:color w:val="000000"/>
                      <w:sz w:val="24"/>
                    </w:rPr>
                  </w:pPr>
                </w:p>
                <w:p>
                  <w:pPr>
                    <w:autoSpaceDN w:val="0"/>
                    <w:spacing w:line="400" w:lineRule="exact"/>
                    <w:jc w:val="left"/>
                    <w:textAlignment w:val="center"/>
                    <w:rPr>
                      <w:rFonts w:ascii="宋体" w:cs="仿宋_GB2312"/>
                      <w:color w:val="000000"/>
                      <w:sz w:val="24"/>
                    </w:rPr>
                  </w:pPr>
                  <w:r>
                    <w:rPr>
                      <w:rFonts w:ascii="宋体" w:hAnsi="宋体" w:cs="仿宋_GB2312"/>
                      <w:color w:val="000000"/>
                      <w:sz w:val="24"/>
                    </w:rPr>
                    <w:t xml:space="preserve">                                                                     </w:t>
                  </w:r>
                  <w:r>
                    <w:rPr>
                      <w:rFonts w:hint="eastAsia" w:ascii="宋体" w:hAnsi="宋体" w:cs="仿宋_GB2312"/>
                      <w:color w:val="000000"/>
                      <w:sz w:val="24"/>
                    </w:rPr>
                    <w:t>年</w:t>
                  </w:r>
                  <w:r>
                    <w:rPr>
                      <w:rFonts w:ascii="宋体" w:hAnsi="宋体" w:cs="仿宋_GB2312"/>
                      <w:color w:val="000000"/>
                      <w:sz w:val="24"/>
                    </w:rPr>
                    <w:t xml:space="preserve">    </w:t>
                  </w:r>
                  <w:r>
                    <w:rPr>
                      <w:rFonts w:hint="eastAsia" w:ascii="宋体" w:hAnsi="宋体" w:cs="仿宋_GB2312"/>
                      <w:color w:val="000000"/>
                      <w:sz w:val="24"/>
                    </w:rPr>
                    <w:t>月</w:t>
                  </w:r>
                  <w:r>
                    <w:rPr>
                      <w:rFonts w:ascii="宋体" w:hAnsi="宋体" w:cs="仿宋_GB2312"/>
                      <w:color w:val="000000"/>
                      <w:sz w:val="24"/>
                    </w:rPr>
                    <w:t xml:space="preserve">    </w:t>
                  </w:r>
                  <w:r>
                    <w:rPr>
                      <w:rFonts w:hint="eastAsia" w:ascii="宋体" w:hAnsi="宋体" w:cs="仿宋_GB2312"/>
                      <w:color w:val="000000"/>
                      <w:sz w:val="24"/>
                    </w:rPr>
                    <w:t>日</w:t>
                  </w:r>
                </w:p>
                <w:p>
                  <w:pPr>
                    <w:autoSpaceDN w:val="0"/>
                    <w:spacing w:line="400" w:lineRule="exact"/>
                    <w:jc w:val="left"/>
                    <w:textAlignment w:val="center"/>
                    <w:rPr>
                      <w:rFonts w:asci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23" w:hRule="atLeast"/>
                <w:jc w:val="center"/>
              </w:trPr>
              <w:tc>
                <w:tcPr>
                  <w:tcW w:w="10335" w:type="dxa"/>
                  <w:gridSpan w:val="8"/>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sz w:val="24"/>
                    </w:rPr>
                  </w:pPr>
                  <w:r>
                    <w:rPr>
                      <w:rFonts w:hint="eastAsia" w:ascii="宋体" w:hAnsi="宋体"/>
                      <w:sz w:val="24"/>
                    </w:rPr>
                    <w:t>财政部门归口业务股室意见：</w:t>
                  </w:r>
                </w:p>
                <w:p>
                  <w:pPr>
                    <w:spacing w:line="320" w:lineRule="exact"/>
                    <w:rPr>
                      <w:rFonts w:ascii="宋体"/>
                      <w:sz w:val="24"/>
                    </w:rPr>
                  </w:pPr>
                </w:p>
                <w:p>
                  <w:pPr>
                    <w:spacing w:line="320" w:lineRule="exact"/>
                    <w:rPr>
                      <w:rFonts w:ascii="宋体"/>
                      <w:sz w:val="24"/>
                    </w:rPr>
                  </w:pPr>
                </w:p>
                <w:p>
                  <w:pPr>
                    <w:spacing w:line="320" w:lineRule="exact"/>
                    <w:rPr>
                      <w:rFonts w:ascii="宋体"/>
                      <w:sz w:val="24"/>
                    </w:rPr>
                  </w:pPr>
                </w:p>
                <w:p>
                  <w:pPr>
                    <w:spacing w:line="320" w:lineRule="exact"/>
                    <w:rPr>
                      <w:rFonts w:ascii="宋体"/>
                      <w:sz w:val="24"/>
                    </w:rPr>
                  </w:pPr>
                </w:p>
                <w:p>
                  <w:pPr>
                    <w:spacing w:line="320" w:lineRule="exact"/>
                    <w:rPr>
                      <w:rFonts w:ascii="宋体"/>
                      <w:sz w:val="24"/>
                    </w:rPr>
                  </w:pPr>
                  <w:r>
                    <w:rPr>
                      <w:rFonts w:ascii="宋体" w:hAnsi="宋体"/>
                      <w:sz w:val="24"/>
                    </w:rPr>
                    <w:t xml:space="preserve">                                  </w:t>
                  </w:r>
                  <w:r>
                    <w:rPr>
                      <w:rFonts w:hint="eastAsia" w:ascii="宋体" w:hAnsi="宋体"/>
                      <w:sz w:val="24"/>
                    </w:rPr>
                    <w:t>财政部门归口业务股室负责人（签章）：</w:t>
                  </w:r>
                </w:p>
                <w:p>
                  <w:pPr>
                    <w:autoSpaceDN w:val="0"/>
                    <w:spacing w:line="400" w:lineRule="exact"/>
                    <w:jc w:val="left"/>
                    <w:textAlignment w:val="center"/>
                    <w:rPr>
                      <w:rFonts w:ascii="宋体" w:cs="仿宋_GB2312"/>
                      <w:color w:val="000000"/>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rPr>
                <w:rFonts w:ascii="宋体" w:cs="仿宋_GB2312"/>
                <w:b/>
                <w:color w:val="000000"/>
                <w:sz w:val="24"/>
              </w:rPr>
            </w:pPr>
            <w:r>
              <w:rPr>
                <w:rFonts w:hint="eastAsia" w:ascii="宋体" w:hAnsi="宋体" w:cs="仿宋_GB2312"/>
                <w:bCs/>
                <w:sz w:val="28"/>
                <w:szCs w:val="28"/>
              </w:rPr>
              <w:t>填报人（签名）：</w:t>
            </w:r>
            <w:r>
              <w:rPr>
                <w:rFonts w:ascii="宋体" w:hAnsi="宋体" w:cs="仿宋_GB2312"/>
                <w:bCs/>
                <w:sz w:val="28"/>
                <w:szCs w:val="28"/>
              </w:rPr>
              <w:t xml:space="preserve"> </w:t>
            </w:r>
            <w:r>
              <w:rPr>
                <w:rFonts w:hint="eastAsia" w:ascii="宋体" w:hAnsi="宋体" w:cs="仿宋_GB2312"/>
                <w:bCs/>
                <w:sz w:val="28"/>
                <w:szCs w:val="28"/>
              </w:rPr>
              <w:t>陈</w:t>
            </w:r>
            <w:r>
              <w:rPr>
                <w:rFonts w:ascii="宋体" w:hAnsi="宋体" w:cs="仿宋_GB2312"/>
                <w:bCs/>
                <w:sz w:val="28"/>
                <w:szCs w:val="28"/>
              </w:rPr>
              <w:t xml:space="preserve">  </w:t>
            </w:r>
            <w:r>
              <w:rPr>
                <w:rFonts w:hint="eastAsia" w:ascii="宋体" w:hAnsi="宋体" w:cs="仿宋_GB2312"/>
                <w:bCs/>
                <w:sz w:val="28"/>
                <w:szCs w:val="28"/>
              </w:rPr>
              <w:t>芳</w:t>
            </w:r>
            <w:r>
              <w:rPr>
                <w:rFonts w:ascii="宋体" w:hAnsi="宋体" w:cs="仿宋_GB2312"/>
                <w:bCs/>
                <w:sz w:val="28"/>
                <w:szCs w:val="28"/>
              </w:rPr>
              <w:t xml:space="preserve">                         </w:t>
            </w:r>
            <w:r>
              <w:rPr>
                <w:rFonts w:hint="eastAsia" w:ascii="宋体" w:hAnsi="宋体" w:cs="仿宋_GB2312"/>
                <w:bCs/>
                <w:sz w:val="28"/>
                <w:szCs w:val="28"/>
              </w:rPr>
              <w:t>联系电话：</w:t>
            </w:r>
            <w:r>
              <w:rPr>
                <w:rFonts w:ascii="宋体" w:hAnsi="宋体" w:cs="仿宋_GB2312"/>
                <w:bCs/>
                <w:sz w:val="28"/>
                <w:szCs w:val="28"/>
              </w:rPr>
              <w:t>19873066669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460" w:type="dxa"/>
            <w:gridSpan w:val="14"/>
            <w:tcBorders>
              <w:top w:val="single" w:color="000000" w:sz="4" w:space="0"/>
              <w:left w:val="nil"/>
              <w:bottom w:val="single" w:color="000000" w:sz="4" w:space="0"/>
              <w:right w:val="single" w:color="000000" w:sz="4" w:space="0"/>
            </w:tcBorders>
            <w:vAlign w:val="center"/>
          </w:tcPr>
          <w:p>
            <w:pPr>
              <w:jc w:val="center"/>
              <w:rPr>
                <w:rFonts w:ascii="宋体"/>
                <w:b/>
                <w:sz w:val="30"/>
                <w:szCs w:val="30"/>
                <w:shd w:val="clear" w:color="auto" w:fill="FFFFFF"/>
              </w:rPr>
            </w:pPr>
            <w:r>
              <w:rPr>
                <w:rFonts w:hint="eastAsia" w:ascii="宋体" w:hAnsi="宋体" w:cs="黑体"/>
                <w:b/>
                <w:bCs/>
                <w:sz w:val="30"/>
                <w:szCs w:val="30"/>
              </w:rPr>
              <w:t>评价报告综述（文字部分）</w:t>
            </w:r>
          </w:p>
          <w:p>
            <w:pPr>
              <w:rPr>
                <w:rFonts w:ascii="宋体"/>
                <w:b/>
                <w:sz w:val="30"/>
                <w:szCs w:val="30"/>
                <w:shd w:val="clear" w:color="auto" w:fill="FFFFFF"/>
              </w:rPr>
            </w:pPr>
            <w:r>
              <w:rPr>
                <w:rFonts w:hint="eastAsia" w:ascii="宋体" w:hAnsi="宋体"/>
                <w:b/>
                <w:sz w:val="30"/>
                <w:szCs w:val="30"/>
                <w:shd w:val="clear" w:color="auto" w:fill="FFFFFF"/>
              </w:rPr>
              <w:t>一、单位概述</w:t>
            </w:r>
          </w:p>
          <w:p>
            <w:pPr>
              <w:spacing w:beforeLines="50" w:line="520" w:lineRule="exact"/>
              <w:ind w:left="481" w:leftChars="229" w:firstLine="148" w:firstLineChars="49"/>
              <w:rPr>
                <w:rFonts w:ascii="宋体"/>
                <w:b/>
                <w:sz w:val="30"/>
                <w:szCs w:val="30"/>
                <w:shd w:val="clear" w:color="auto" w:fill="FFFFFF"/>
              </w:rPr>
            </w:pPr>
            <w:r>
              <w:rPr>
                <w:rFonts w:hint="eastAsia" w:ascii="宋体" w:hAnsi="宋体"/>
                <w:b/>
                <w:sz w:val="30"/>
                <w:szCs w:val="30"/>
                <w:shd w:val="clear" w:color="auto" w:fill="FFFFFF"/>
              </w:rPr>
              <w:t>（一）基本情况</w:t>
            </w:r>
          </w:p>
          <w:p>
            <w:pPr>
              <w:spacing w:beforeLines="50" w:line="520" w:lineRule="exact"/>
              <w:ind w:firstLine="600" w:firstLineChars="200"/>
              <w:rPr>
                <w:rFonts w:ascii="宋体"/>
                <w:sz w:val="30"/>
                <w:szCs w:val="30"/>
                <w:shd w:val="clear" w:color="auto" w:fill="FFFFFF"/>
              </w:rPr>
            </w:pPr>
            <w:r>
              <w:rPr>
                <w:rFonts w:hint="eastAsia" w:ascii="宋体" w:hAnsi="宋体"/>
                <w:sz w:val="30"/>
                <w:szCs w:val="30"/>
                <w:shd w:val="clear" w:color="auto" w:fill="FFFFFF"/>
              </w:rPr>
              <w:t>岳阳县交通运输局是岳阳县人民政府组成工作部门，为全额财政拨款行政单位。</w:t>
            </w:r>
          </w:p>
          <w:p>
            <w:pPr>
              <w:spacing w:beforeLines="50" w:line="520" w:lineRule="exact"/>
              <w:ind w:firstLine="602" w:firstLineChars="200"/>
              <w:rPr>
                <w:rFonts w:ascii="宋体"/>
                <w:b/>
                <w:sz w:val="30"/>
                <w:szCs w:val="30"/>
                <w:shd w:val="clear" w:color="auto" w:fill="FFFFFF"/>
              </w:rPr>
            </w:pPr>
            <w:r>
              <w:rPr>
                <w:rFonts w:hint="eastAsia" w:ascii="宋体" w:hAnsi="宋体"/>
                <w:b/>
                <w:sz w:val="30"/>
                <w:szCs w:val="30"/>
                <w:shd w:val="clear" w:color="auto" w:fill="FFFFFF"/>
              </w:rPr>
              <w:t>（二）主要工作职能：</w:t>
            </w:r>
          </w:p>
          <w:p>
            <w:pPr>
              <w:pStyle w:val="4"/>
              <w:shd w:val="clear" w:color="auto" w:fill="FFFFFF"/>
              <w:spacing w:before="0" w:beforeAutospacing="0" w:after="0" w:afterAutospacing="0" w:line="572" w:lineRule="exact"/>
              <w:ind w:firstLine="726" w:firstLineChars="242"/>
              <w:rPr>
                <w:rFonts w:cs="仿宋_GB2312"/>
                <w:color w:val="333333"/>
                <w:kern w:val="2"/>
                <w:sz w:val="30"/>
                <w:szCs w:val="30"/>
              </w:rPr>
            </w:pPr>
            <w:r>
              <w:rPr>
                <w:rFonts w:hint="eastAsia" w:cs="仿宋_GB2312"/>
                <w:color w:val="333333"/>
                <w:kern w:val="2"/>
                <w:sz w:val="30"/>
                <w:szCs w:val="30"/>
                <w:shd w:val="clear" w:color="auto" w:fill="FFFFFF"/>
              </w:rPr>
              <w:t>1.承担涉及综合运输体系的规划协调工作，会同有关部门组织编制全县综合运输体系规划，指导交通运输枢纽规划和管理。</w:t>
            </w:r>
          </w:p>
          <w:p>
            <w:pPr>
              <w:pStyle w:val="4"/>
              <w:shd w:val="clear" w:color="auto" w:fill="FFFFFF"/>
              <w:spacing w:before="0" w:beforeAutospacing="0" w:after="0" w:afterAutospacing="0" w:line="572" w:lineRule="exact"/>
              <w:ind w:firstLine="726" w:firstLineChars="242"/>
              <w:rPr>
                <w:rFonts w:cs="仿宋_GB2312"/>
                <w:color w:val="333333"/>
                <w:kern w:val="2"/>
                <w:sz w:val="30"/>
                <w:szCs w:val="30"/>
              </w:rPr>
            </w:pPr>
            <w:r>
              <w:rPr>
                <w:rFonts w:hint="eastAsia" w:cs="仿宋_GB2312"/>
                <w:color w:val="333333"/>
                <w:kern w:val="2"/>
                <w:sz w:val="30"/>
                <w:szCs w:val="30"/>
                <w:shd w:val="clear" w:color="auto" w:fill="FFFFFF"/>
              </w:rPr>
              <w:t>2.组织拟订并监督实施全县公路、水路等行业规划、政策和标准。负责交通运输执法检查和监督。参与拟订物流业发展战略和规划，拟订有关政策并监督实施。负责全县公路、水路行业有关体制改革工作。</w:t>
            </w:r>
          </w:p>
          <w:p>
            <w:pPr>
              <w:pStyle w:val="4"/>
              <w:shd w:val="clear" w:color="auto" w:fill="FFFFFF"/>
              <w:spacing w:before="0" w:beforeAutospacing="0" w:after="0" w:afterAutospacing="0" w:line="572" w:lineRule="exact"/>
              <w:ind w:firstLine="726" w:firstLineChars="242"/>
              <w:rPr>
                <w:rFonts w:cs="仿宋_GB2312"/>
                <w:color w:val="333333"/>
                <w:kern w:val="2"/>
                <w:sz w:val="30"/>
                <w:szCs w:val="30"/>
              </w:rPr>
            </w:pPr>
            <w:r>
              <w:rPr>
                <w:rFonts w:hint="eastAsia" w:cs="仿宋_GB2312"/>
                <w:color w:val="333333"/>
                <w:kern w:val="2"/>
                <w:sz w:val="30"/>
                <w:szCs w:val="30"/>
                <w:shd w:val="clear" w:color="auto" w:fill="FFFFFF"/>
              </w:rPr>
              <w:t>3.承担道路、水路运输市场监管责任。组织制定全县道路、水路运输有关政策和运营规范并监督实施。负责全县城乡客运及有关设施规划和管理工作，负责城市公共客运交通管理工作。</w:t>
            </w:r>
          </w:p>
          <w:p>
            <w:pPr>
              <w:pStyle w:val="4"/>
              <w:shd w:val="clear" w:color="auto" w:fill="FFFFFF"/>
              <w:spacing w:before="0" w:beforeAutospacing="0" w:after="0" w:afterAutospacing="0" w:line="572" w:lineRule="exact"/>
              <w:ind w:firstLine="726" w:firstLineChars="242"/>
              <w:rPr>
                <w:rFonts w:cs="仿宋_GB2312"/>
                <w:color w:val="333333"/>
                <w:kern w:val="2"/>
                <w:sz w:val="30"/>
                <w:szCs w:val="30"/>
              </w:rPr>
            </w:pPr>
            <w:r>
              <w:rPr>
                <w:rFonts w:hint="eastAsia" w:cs="仿宋_GB2312"/>
                <w:color w:val="333333"/>
                <w:kern w:val="2"/>
                <w:sz w:val="30"/>
                <w:szCs w:val="30"/>
                <w:shd w:val="clear" w:color="auto" w:fill="FFFFFF"/>
              </w:rPr>
              <w:t>4.承担水上交通安全监管责任。负责全县港口、航道及航道设施的建设、维护、管理，负责水上交通管制、港航监督、船舶检验(不含渔船)、水上安全管理(包括民桥民渡及铁山库区安全监督)，负责船员管理有关工作，实施港航设施建设使用岸线和通航水域内各种建筑设施建设的行业管理。</w:t>
            </w:r>
          </w:p>
          <w:p>
            <w:pPr>
              <w:pStyle w:val="4"/>
              <w:shd w:val="clear" w:color="auto" w:fill="FFFFFF"/>
              <w:spacing w:before="0" w:beforeAutospacing="0" w:after="0" w:afterAutospacing="0" w:line="572" w:lineRule="exact"/>
              <w:ind w:firstLine="726" w:firstLineChars="242"/>
              <w:rPr>
                <w:rFonts w:cs="仿宋_GB2312"/>
                <w:color w:val="333333"/>
                <w:kern w:val="2"/>
                <w:sz w:val="30"/>
                <w:szCs w:val="30"/>
              </w:rPr>
            </w:pPr>
            <w:r>
              <w:rPr>
                <w:rFonts w:hint="eastAsia" w:cs="仿宋_GB2312"/>
                <w:color w:val="333333"/>
                <w:kern w:val="2"/>
                <w:sz w:val="30"/>
                <w:szCs w:val="30"/>
                <w:shd w:val="clear" w:color="auto" w:fill="FFFFFF"/>
              </w:rPr>
              <w:t>5.负责提出全县公路、水路固定资产投资规模和方向、县级财政性资金安排建议，按县政府规定权限审批、核准全县规划内和-度计划规模内固定资产投资项目。负责公路、桥梁、渡口、隧道的行业管理。提出有关财政、土地、价格等政策建议。</w:t>
            </w:r>
          </w:p>
          <w:p>
            <w:pPr>
              <w:pStyle w:val="4"/>
              <w:shd w:val="clear" w:color="auto" w:fill="FFFFFF"/>
              <w:spacing w:before="0" w:beforeAutospacing="0" w:after="0" w:afterAutospacing="0" w:line="572" w:lineRule="exact"/>
              <w:ind w:firstLine="726" w:firstLineChars="242"/>
              <w:rPr>
                <w:rFonts w:cs="仿宋_GB2312"/>
                <w:color w:val="333333"/>
                <w:kern w:val="2"/>
                <w:sz w:val="30"/>
                <w:szCs w:val="30"/>
              </w:rPr>
            </w:pPr>
            <w:r>
              <w:rPr>
                <w:rFonts w:hint="eastAsia" w:cs="仿宋_GB2312"/>
                <w:color w:val="333333"/>
                <w:kern w:val="2"/>
                <w:sz w:val="30"/>
                <w:szCs w:val="30"/>
                <w:shd w:val="clear" w:color="auto" w:fill="FFFFFF"/>
              </w:rPr>
              <w:t>6.实施公路路政管理，保护公路产权，协同有关部门规划公路沿线开发和各种建筑设施。</w:t>
            </w:r>
          </w:p>
          <w:p>
            <w:pPr>
              <w:pStyle w:val="4"/>
              <w:shd w:val="clear" w:color="auto" w:fill="FFFFFF"/>
              <w:spacing w:before="0" w:beforeAutospacing="0" w:after="0" w:afterAutospacing="0" w:line="572" w:lineRule="exact"/>
              <w:ind w:firstLine="726" w:firstLineChars="242"/>
              <w:rPr>
                <w:rFonts w:cs="仿宋_GB2312"/>
                <w:color w:val="333333"/>
                <w:kern w:val="2"/>
                <w:sz w:val="30"/>
                <w:szCs w:val="30"/>
              </w:rPr>
            </w:pPr>
            <w:r>
              <w:rPr>
                <w:rFonts w:hint="eastAsia" w:cs="仿宋_GB2312"/>
                <w:color w:val="333333"/>
                <w:kern w:val="2"/>
                <w:sz w:val="30"/>
                <w:szCs w:val="30"/>
                <w:shd w:val="clear" w:color="auto" w:fill="FFFFFF"/>
              </w:rPr>
              <w:t>7.承担公路、水路建设市场监管责任。拟订全县公路、水路工程建设相关政策、制度和技术标准并监督实施。组织实施国家、省、市、县重点和大中型公路、水路交通工程建设，负责公路、水路交通建设工程造价控制和工程质量、安全生产的监督管理。指导交通运输基础设施 管理和维护，承担有关重要设施的管理和维护。</w:t>
            </w:r>
          </w:p>
          <w:p>
            <w:pPr>
              <w:pStyle w:val="4"/>
              <w:shd w:val="clear" w:color="auto" w:fill="FFFFFF"/>
              <w:spacing w:before="0" w:beforeAutospacing="0" w:after="0" w:afterAutospacing="0" w:line="572" w:lineRule="exact"/>
              <w:ind w:firstLine="726" w:firstLineChars="242"/>
              <w:rPr>
                <w:rFonts w:cs="仿宋_GB2312"/>
                <w:color w:val="333333"/>
                <w:kern w:val="2"/>
                <w:sz w:val="30"/>
                <w:szCs w:val="30"/>
              </w:rPr>
            </w:pPr>
            <w:r>
              <w:rPr>
                <w:rFonts w:hint="eastAsia" w:cs="仿宋_GB2312"/>
                <w:color w:val="333333"/>
                <w:kern w:val="2"/>
                <w:sz w:val="30"/>
                <w:szCs w:val="30"/>
                <w:shd w:val="clear" w:color="auto" w:fill="FFFFFF"/>
              </w:rPr>
              <w:t>8.指导全县公路、水路行业安全生产和应急管理工作。按规定组织协调全县重点物资和紧急客货运输，负责全县干线路网运行监测和协调，负责全县国防交通战备工作。</w:t>
            </w:r>
          </w:p>
          <w:p>
            <w:pPr>
              <w:pStyle w:val="4"/>
              <w:shd w:val="clear" w:color="auto" w:fill="FFFFFF"/>
              <w:spacing w:before="0" w:beforeAutospacing="0" w:after="0" w:afterAutospacing="0" w:line="572" w:lineRule="exact"/>
              <w:ind w:firstLine="726" w:firstLineChars="242"/>
              <w:rPr>
                <w:rFonts w:cs="仿宋_GB2312"/>
                <w:color w:val="333333"/>
                <w:kern w:val="2"/>
                <w:sz w:val="30"/>
                <w:szCs w:val="30"/>
              </w:rPr>
            </w:pPr>
            <w:r>
              <w:rPr>
                <w:rFonts w:hint="eastAsia" w:cs="仿宋_GB2312"/>
                <w:color w:val="333333"/>
                <w:kern w:val="2"/>
                <w:sz w:val="30"/>
                <w:szCs w:val="30"/>
                <w:shd w:val="clear" w:color="auto" w:fill="FFFFFF"/>
              </w:rPr>
              <w:t>9.负责全县交通运输行业科技工作。指导全县交通运输信息化建设，监测分析运行情况，开展相关统计工作，发布有关信息。指导公路、水路行业环境保护和节能减排工作。</w:t>
            </w:r>
          </w:p>
          <w:p>
            <w:pPr>
              <w:pStyle w:val="4"/>
              <w:shd w:val="clear" w:color="auto" w:fill="FFFFFF"/>
              <w:spacing w:before="0" w:beforeAutospacing="0" w:after="0" w:afterAutospacing="0" w:line="572" w:lineRule="exact"/>
              <w:ind w:firstLine="726" w:firstLineChars="242"/>
              <w:rPr>
                <w:rFonts w:cs="仿宋_GB2312"/>
                <w:color w:val="333333"/>
                <w:kern w:val="2"/>
                <w:sz w:val="30"/>
                <w:szCs w:val="30"/>
              </w:rPr>
            </w:pPr>
            <w:r>
              <w:rPr>
                <w:rFonts w:hint="eastAsia" w:cs="仿宋_GB2312"/>
                <w:color w:val="333333"/>
                <w:kern w:val="2"/>
                <w:sz w:val="30"/>
                <w:szCs w:val="30"/>
                <w:shd w:val="clear" w:color="auto" w:fill="FFFFFF"/>
              </w:rPr>
              <w:t>10.负责局属单位国有资产、集体资产的监督管理，指导交通企业体制改革。</w:t>
            </w:r>
          </w:p>
          <w:p>
            <w:pPr>
              <w:pStyle w:val="4"/>
              <w:shd w:val="clear" w:color="auto" w:fill="FFFFFF"/>
              <w:spacing w:before="0" w:beforeAutospacing="0" w:after="0" w:afterAutospacing="0" w:line="572" w:lineRule="exact"/>
              <w:ind w:firstLine="726" w:firstLineChars="242"/>
              <w:rPr>
                <w:rFonts w:cs="仿宋_GB2312"/>
                <w:color w:val="333333"/>
                <w:kern w:val="2"/>
                <w:sz w:val="30"/>
                <w:szCs w:val="30"/>
              </w:rPr>
            </w:pPr>
            <w:r>
              <w:rPr>
                <w:rFonts w:hint="eastAsia" w:cs="仿宋_GB2312"/>
                <w:color w:val="333333"/>
                <w:kern w:val="2"/>
                <w:sz w:val="30"/>
                <w:szCs w:val="30"/>
                <w:shd w:val="clear" w:color="auto" w:fill="FFFFFF"/>
              </w:rPr>
              <w:t>11．指导交通运输行业开展对外交流合作和交通 外经外贸工作。</w:t>
            </w:r>
          </w:p>
          <w:p>
            <w:pPr>
              <w:pStyle w:val="4"/>
              <w:shd w:val="clear" w:color="auto" w:fill="FFFFFF"/>
              <w:spacing w:before="0" w:beforeAutospacing="0" w:after="0" w:afterAutospacing="0" w:line="572" w:lineRule="exact"/>
              <w:ind w:firstLine="726" w:firstLineChars="242"/>
              <w:rPr>
                <w:rFonts w:cs="仿宋_GB2312"/>
                <w:color w:val="333333"/>
                <w:kern w:val="2"/>
                <w:sz w:val="30"/>
                <w:szCs w:val="30"/>
              </w:rPr>
            </w:pPr>
            <w:r>
              <w:rPr>
                <w:rFonts w:hint="eastAsia"/>
                <w:kern w:val="2"/>
                <w:sz w:val="30"/>
                <w:szCs w:val="30"/>
                <w:shd w:val="clear" w:color="auto" w:fill="FFFFFF"/>
              </w:rPr>
              <w:t>12.承办县委、县人民政府交办的其他事项。</w:t>
            </w:r>
          </w:p>
          <w:p>
            <w:pPr>
              <w:spacing w:beforeLines="50" w:line="520" w:lineRule="exact"/>
              <w:ind w:firstLine="602" w:firstLineChars="200"/>
              <w:rPr>
                <w:rFonts w:ascii="宋体"/>
                <w:b/>
                <w:sz w:val="30"/>
                <w:szCs w:val="30"/>
                <w:shd w:val="clear" w:color="auto" w:fill="FFFFFF"/>
              </w:rPr>
            </w:pPr>
            <w:r>
              <w:rPr>
                <w:rFonts w:hint="eastAsia" w:ascii="宋体" w:hAnsi="宋体"/>
                <w:b/>
                <w:sz w:val="30"/>
                <w:szCs w:val="30"/>
                <w:shd w:val="clear" w:color="auto" w:fill="FFFFFF"/>
              </w:rPr>
              <w:t>（三）机构设置和人员情况：</w:t>
            </w:r>
          </w:p>
          <w:p>
            <w:pPr>
              <w:pStyle w:val="4"/>
              <w:shd w:val="clear" w:color="auto" w:fill="FFFFFF"/>
              <w:spacing w:before="0" w:beforeAutospacing="0" w:after="0" w:afterAutospacing="0" w:line="572" w:lineRule="exact"/>
              <w:ind w:firstLine="726" w:firstLineChars="242"/>
              <w:rPr>
                <w:rFonts w:cs="仿宋_GB2312"/>
                <w:color w:val="333333"/>
                <w:kern w:val="2"/>
                <w:sz w:val="30"/>
                <w:szCs w:val="30"/>
                <w:shd w:val="clear" w:color="auto" w:fill="FFFFFF"/>
              </w:rPr>
            </w:pPr>
            <w:r>
              <w:rPr>
                <w:rFonts w:hint="eastAsia" w:cs="仿宋_GB2312"/>
                <w:color w:val="333333"/>
                <w:kern w:val="2"/>
                <w:sz w:val="30"/>
                <w:szCs w:val="30"/>
                <w:shd w:val="clear" w:color="auto" w:fill="FFFFFF"/>
              </w:rPr>
              <w:t>1.根据上述职责，县交通运输局设13个内设机构：办公室、人事股、财务审计股(财务核算中心)、计划股、基建股、运输管理股（战备股）、安全监督股、政策法规股、行政审批办公室、前期办、企管股、纪检(监察)、工、青、妇机构按有关规定设置，人员编制在机关总编制内解决。</w:t>
            </w:r>
          </w:p>
          <w:p>
            <w:pPr>
              <w:pStyle w:val="4"/>
              <w:shd w:val="clear" w:color="auto" w:fill="FFFFFF"/>
              <w:spacing w:before="0" w:beforeAutospacing="0" w:after="0" w:afterAutospacing="0" w:line="572" w:lineRule="exact"/>
              <w:ind w:firstLine="726" w:firstLineChars="242"/>
              <w:rPr>
                <w:rFonts w:cs="仿宋_GB2312"/>
                <w:color w:val="333333"/>
                <w:kern w:val="2"/>
                <w:sz w:val="30"/>
                <w:szCs w:val="30"/>
                <w:shd w:val="clear" w:color="auto" w:fill="FFFFFF"/>
              </w:rPr>
            </w:pPr>
            <w:r>
              <w:rPr>
                <w:rFonts w:hint="eastAsia" w:cs="仿宋_GB2312"/>
                <w:color w:val="333333"/>
                <w:kern w:val="2"/>
                <w:sz w:val="30"/>
                <w:szCs w:val="30"/>
                <w:shd w:val="clear" w:color="auto" w:fill="FFFFFF"/>
              </w:rPr>
              <w:t>2. 二级机构：①岳阳县道路运输管理所：为副科级行政支持类事业单位，核定自收自支事业编制74名，其中所长1名，副所长3名。</w:t>
            </w:r>
          </w:p>
          <w:p>
            <w:pPr>
              <w:pStyle w:val="4"/>
              <w:shd w:val="clear" w:color="auto" w:fill="FFFFFF"/>
              <w:spacing w:before="0" w:beforeAutospacing="0" w:after="0" w:afterAutospacing="0" w:line="572" w:lineRule="exact"/>
              <w:ind w:firstLine="420"/>
              <w:rPr>
                <w:rFonts w:cs="仿宋_GB2312"/>
                <w:color w:val="333333"/>
                <w:kern w:val="2"/>
                <w:sz w:val="30"/>
                <w:szCs w:val="30"/>
                <w:shd w:val="clear" w:color="auto" w:fill="FFFFFF"/>
              </w:rPr>
            </w:pPr>
            <w:r>
              <w:rPr>
                <w:rFonts w:hint="eastAsia" w:cs="仿宋_GB2312"/>
                <w:color w:val="333333"/>
                <w:kern w:val="2"/>
                <w:sz w:val="30"/>
                <w:szCs w:val="30"/>
                <w:shd w:val="clear" w:color="auto" w:fill="FFFFFF"/>
              </w:rPr>
              <w:t>②岳阳县港口航务管理所：为副科级纯公益类事业单位，核定自收自支事业编制43名，其中所长1名，副所长2名。</w:t>
            </w:r>
          </w:p>
          <w:p>
            <w:pPr>
              <w:pStyle w:val="4"/>
              <w:shd w:val="clear" w:color="auto" w:fill="FFFFFF"/>
              <w:spacing w:before="0" w:beforeAutospacing="0" w:after="0" w:afterAutospacing="0" w:line="572" w:lineRule="exact"/>
              <w:ind w:firstLine="420"/>
              <w:rPr>
                <w:rFonts w:cs="仿宋_GB2312"/>
                <w:color w:val="333333"/>
                <w:kern w:val="2"/>
                <w:sz w:val="30"/>
                <w:szCs w:val="30"/>
                <w:shd w:val="clear" w:color="auto" w:fill="FFFFFF"/>
              </w:rPr>
            </w:pPr>
            <w:r>
              <w:rPr>
                <w:rFonts w:hint="eastAsia" w:cs="仿宋_GB2312"/>
                <w:color w:val="333333"/>
                <w:kern w:val="2"/>
                <w:sz w:val="30"/>
                <w:szCs w:val="30"/>
                <w:shd w:val="clear" w:color="auto" w:fill="FFFFFF"/>
              </w:rPr>
              <w:t>③岳阳县农村公路管理所：为副科级行政支持类 事业单位，核定全额拨款事业编制30名，其中所长1名，副所长2名。</w:t>
            </w:r>
          </w:p>
          <w:p>
            <w:pPr>
              <w:pStyle w:val="4"/>
              <w:shd w:val="clear" w:color="auto" w:fill="FFFFFF"/>
              <w:spacing w:before="0" w:beforeAutospacing="0" w:after="0" w:afterAutospacing="0" w:line="572" w:lineRule="exact"/>
              <w:ind w:firstLine="420"/>
              <w:rPr>
                <w:rFonts w:cs="仿宋_GB2312"/>
                <w:color w:val="333333"/>
                <w:kern w:val="2"/>
                <w:sz w:val="30"/>
                <w:szCs w:val="30"/>
                <w:shd w:val="clear" w:color="auto" w:fill="FFFFFF"/>
              </w:rPr>
            </w:pPr>
            <w:r>
              <w:rPr>
                <w:rFonts w:hint="eastAsia" w:cs="仿宋_GB2312"/>
                <w:color w:val="333333"/>
                <w:kern w:val="2"/>
                <w:sz w:val="30"/>
                <w:szCs w:val="30"/>
                <w:shd w:val="clear" w:color="auto" w:fill="FFFFFF"/>
              </w:rPr>
              <w:t>④岳阳县农村公路路政执法大队：为副科级行政支持类事业单位，核定全额拨款事业编制12名，其中所长1名，副所长2名。</w:t>
            </w:r>
          </w:p>
          <w:p>
            <w:pPr>
              <w:pStyle w:val="4"/>
              <w:shd w:val="clear" w:color="auto" w:fill="FFFFFF"/>
              <w:spacing w:before="0" w:beforeAutospacing="0" w:after="0" w:afterAutospacing="0" w:line="572" w:lineRule="exact"/>
              <w:ind w:firstLine="420"/>
              <w:rPr>
                <w:rFonts w:cs="仿宋_GB2312"/>
                <w:color w:val="333333"/>
                <w:kern w:val="2"/>
                <w:sz w:val="30"/>
                <w:szCs w:val="30"/>
                <w:shd w:val="clear" w:color="auto" w:fill="FFFFFF"/>
              </w:rPr>
            </w:pPr>
            <w:r>
              <w:rPr>
                <w:rFonts w:hint="eastAsia" w:cs="仿宋_GB2312"/>
                <w:color w:val="333333"/>
                <w:kern w:val="2"/>
                <w:sz w:val="30"/>
                <w:szCs w:val="30"/>
                <w:shd w:val="clear" w:color="auto" w:fill="FFFFFF"/>
              </w:rPr>
              <w:t>⑤岳阳县交通工程质量和安全监督管理站：为正股级行政支持类事业单位，核定自收自支事业编制6名，其中站长1名，副站长1名。</w:t>
            </w:r>
          </w:p>
          <w:p>
            <w:pPr>
              <w:pStyle w:val="4"/>
              <w:shd w:val="clear" w:color="auto" w:fill="FFFFFF"/>
              <w:spacing w:before="0" w:beforeAutospacing="0" w:after="0" w:afterAutospacing="0" w:line="572" w:lineRule="exact"/>
              <w:ind w:firstLine="420"/>
              <w:rPr>
                <w:rFonts w:cs="仿宋_GB2312"/>
                <w:color w:val="333333"/>
                <w:kern w:val="2"/>
                <w:sz w:val="30"/>
                <w:szCs w:val="30"/>
                <w:shd w:val="clear" w:color="auto" w:fill="FFFFFF"/>
              </w:rPr>
            </w:pPr>
            <w:r>
              <w:rPr>
                <w:rFonts w:hint="eastAsia" w:cs="仿宋_GB2312"/>
                <w:color w:val="333333"/>
                <w:kern w:val="2"/>
                <w:sz w:val="30"/>
                <w:szCs w:val="30"/>
                <w:shd w:val="clear" w:color="auto" w:fill="FFFFFF"/>
              </w:rPr>
              <w:t>⑥岳阳县城市公共交通管理所(县城市公交执法大队)：为正股级行政支持类事业单位，核定差额拨款事业编制20名，其中所长1名，副所长2名。</w:t>
            </w:r>
          </w:p>
          <w:p>
            <w:pPr>
              <w:spacing w:line="520" w:lineRule="exact"/>
              <w:ind w:firstLine="635"/>
              <w:rPr>
                <w:rFonts w:ascii="宋体"/>
                <w:b/>
                <w:sz w:val="30"/>
                <w:szCs w:val="30"/>
              </w:rPr>
            </w:pPr>
            <w:r>
              <w:rPr>
                <w:rFonts w:hint="eastAsia" w:ascii="宋体" w:hAnsi="宋体"/>
                <w:b/>
                <w:sz w:val="30"/>
                <w:szCs w:val="30"/>
              </w:rPr>
              <w:t>二、单位整体支出管理及使用情况</w:t>
            </w:r>
          </w:p>
          <w:p>
            <w:pPr>
              <w:pStyle w:val="4"/>
              <w:spacing w:line="520" w:lineRule="exact"/>
              <w:ind w:firstLine="629"/>
              <w:jc w:val="both"/>
              <w:rPr>
                <w:rFonts w:cs="仿宋_GB2312"/>
                <w:kern w:val="2"/>
                <w:sz w:val="30"/>
                <w:szCs w:val="30"/>
              </w:rPr>
            </w:pPr>
            <w:r>
              <w:rPr>
                <w:rFonts w:hint="eastAsia"/>
                <w:kern w:val="2"/>
                <w:sz w:val="30"/>
                <w:szCs w:val="30"/>
              </w:rPr>
              <w:t>2021年岳阳县交通运输局严格按照中央“八项规定”和省、市、县有关文件精神，坚持“依章办事、服务大局、围绕中心、突出重点、求真务实”的工作方针，压缩非生产开支，进一步规范会计核算行为，成立了财务管理工作领导小组，制定了一系列财务管理制度，实行会计出纳分工管理。在资金使用上，我们一直按照国家财经法规和机关财务管理制度规定，以及有关专项资金管理办法的规定开支。资金结付有完整的审批程序和手续，按照财经制度的有关要求，做到专款专用，专人保管，单位分管领导对资金的使用进行全程监督，保证资金使用的合规性。资金使用无截留、挤占、挪用、虚列支出等情况。相关发票由财务室审核后，再由分管局领导审批、主要负责人签字同意报账后方可结算。加强预算管理和执行力度，确保资金安全，有效运行，积极服务本单位发展，实现了年度收支平衡。</w:t>
            </w:r>
          </w:p>
          <w:p>
            <w:pPr>
              <w:pStyle w:val="4"/>
              <w:numPr>
                <w:ilvl w:val="0"/>
                <w:numId w:val="1"/>
              </w:numPr>
              <w:spacing w:line="520" w:lineRule="exact"/>
              <w:ind w:firstLine="629"/>
              <w:jc w:val="both"/>
              <w:rPr>
                <w:rFonts w:cs="仿宋_GB2312"/>
                <w:bCs/>
                <w:kern w:val="2"/>
                <w:sz w:val="30"/>
                <w:szCs w:val="30"/>
              </w:rPr>
            </w:pPr>
            <w:r>
              <w:rPr>
                <w:rFonts w:hint="eastAsia" w:cs="仿宋_GB2312"/>
                <w:bCs/>
                <w:kern w:val="2"/>
                <w:sz w:val="30"/>
                <w:szCs w:val="30"/>
              </w:rPr>
              <w:t>基本支出</w:t>
            </w:r>
          </w:p>
          <w:p>
            <w:pPr>
              <w:pStyle w:val="4"/>
              <w:spacing w:line="520" w:lineRule="exact"/>
              <w:jc w:val="both"/>
              <w:rPr>
                <w:rFonts w:cs="仿宋_GB2312"/>
                <w:kern w:val="2"/>
                <w:sz w:val="30"/>
                <w:szCs w:val="30"/>
              </w:rPr>
            </w:pPr>
            <w:r>
              <w:rPr>
                <w:rFonts w:hint="eastAsia" w:cs="仿宋_GB2312"/>
                <w:bCs/>
                <w:kern w:val="2"/>
                <w:sz w:val="30"/>
                <w:szCs w:val="30"/>
              </w:rPr>
              <w:t xml:space="preserve">      2021年岳阳县交通运输局支出</w:t>
            </w:r>
            <w:r>
              <w:rPr>
                <w:rFonts w:hint="eastAsia" w:cs="仿宋_GB2312"/>
                <w:kern w:val="2"/>
              </w:rPr>
              <w:t>9685.85</w:t>
            </w:r>
            <w:r>
              <w:rPr>
                <w:rFonts w:hint="eastAsia" w:cs="仿宋_GB2312"/>
                <w:kern w:val="2"/>
                <w:sz w:val="30"/>
                <w:szCs w:val="30"/>
              </w:rPr>
              <w:t>万元，系保障我局行政运行各项支出。包括用于工资福利支出、一般商品和服务支出、对个人和家庭的补助等人员经费和日常公用经费以及公路养护专项经费与其他上级专项经费。总支出9685.85万元，基本支出1021.47万元。工资福利支出635.35万元，对个人和家庭补助支出52.05万元,对企业补助32.44万元，一般商品服务支出300.92万元。上级专项项目经费8664.38万元“三公”经费支出年初预算2.</w:t>
            </w:r>
            <w:r>
              <w:rPr>
                <w:rFonts w:hint="eastAsia" w:cs="仿宋_GB2312"/>
                <w:kern w:val="2"/>
                <w:sz w:val="30"/>
                <w:szCs w:val="30"/>
                <w:lang w:val="en-US" w:eastAsia="zh-CN"/>
              </w:rPr>
              <w:t>25</w:t>
            </w:r>
            <w:r>
              <w:rPr>
                <w:rFonts w:hint="eastAsia" w:cs="仿宋_GB2312"/>
                <w:kern w:val="2"/>
                <w:sz w:val="30"/>
                <w:szCs w:val="30"/>
              </w:rPr>
              <w:t>万元，本年度“三公”经费实际支出0.89</w:t>
            </w:r>
            <w:r>
              <w:rPr>
                <w:rFonts w:hint="eastAsia" w:cs="仿宋_GB2312"/>
                <w:kern w:val="2"/>
                <w:sz w:val="30"/>
                <w:szCs w:val="30"/>
              </w:rPr>
              <w:t>万元。</w:t>
            </w:r>
          </w:p>
          <w:p>
            <w:pPr>
              <w:pStyle w:val="4"/>
              <w:numPr>
                <w:ilvl w:val="0"/>
                <w:numId w:val="1"/>
              </w:numPr>
              <w:spacing w:line="520" w:lineRule="exact"/>
              <w:ind w:firstLine="629"/>
              <w:jc w:val="both"/>
              <w:rPr>
                <w:rFonts w:cs="仿宋_GB2312"/>
                <w:kern w:val="2"/>
                <w:sz w:val="30"/>
                <w:szCs w:val="30"/>
              </w:rPr>
            </w:pPr>
            <w:r>
              <w:rPr>
                <w:rFonts w:hint="eastAsia" w:cs="仿宋_GB2312"/>
                <w:kern w:val="2"/>
                <w:sz w:val="30"/>
                <w:szCs w:val="30"/>
              </w:rPr>
              <w:t>项目支出</w:t>
            </w:r>
          </w:p>
          <w:p>
            <w:pPr>
              <w:spacing w:line="560" w:lineRule="exact"/>
              <w:ind w:firstLine="600" w:firstLineChars="200"/>
              <w:rPr>
                <w:rFonts w:ascii="宋体" w:cs="仿宋_GB2312"/>
                <w:bCs/>
                <w:sz w:val="30"/>
                <w:szCs w:val="30"/>
              </w:rPr>
            </w:pPr>
            <w:r>
              <w:rPr>
                <w:rFonts w:hint="eastAsia" w:ascii="宋体" w:hAnsi="宋体" w:cs="仿宋_GB2312"/>
                <w:bCs/>
                <w:sz w:val="30"/>
                <w:szCs w:val="30"/>
              </w:rPr>
              <w:t>1、专项资金安排落实、总投入等情况分析</w:t>
            </w:r>
          </w:p>
          <w:p>
            <w:pPr>
              <w:spacing w:line="560" w:lineRule="exact"/>
              <w:ind w:firstLine="600" w:firstLineChars="200"/>
              <w:rPr>
                <w:rFonts w:ascii="宋体" w:cs="仿宋_GB2312"/>
                <w:bCs/>
                <w:sz w:val="30"/>
                <w:szCs w:val="30"/>
              </w:rPr>
            </w:pPr>
            <w:r>
              <w:rPr>
                <w:rFonts w:hint="eastAsia" w:ascii="宋体" w:hAnsi="宋体" w:cs="仿宋_GB2312"/>
                <w:bCs/>
                <w:sz w:val="30"/>
                <w:szCs w:val="30"/>
              </w:rPr>
              <w:t>2021年度县财政安排我</w:t>
            </w:r>
            <w:r>
              <w:rPr>
                <w:rFonts w:hint="eastAsia" w:ascii="宋体" w:hAnsi="宋体" w:cs="仿宋_GB2312"/>
                <w:sz w:val="30"/>
                <w:szCs w:val="30"/>
              </w:rPr>
              <w:t>局岳阳县公路养护专项经费700万元。</w:t>
            </w:r>
          </w:p>
          <w:p>
            <w:pPr>
              <w:numPr>
                <w:ilvl w:val="0"/>
                <w:numId w:val="2"/>
              </w:numPr>
              <w:spacing w:line="560" w:lineRule="exact"/>
              <w:ind w:firstLine="600" w:firstLineChars="200"/>
              <w:rPr>
                <w:rFonts w:ascii="宋体" w:cs="楷体_GB2312"/>
                <w:b/>
                <w:bCs/>
                <w:sz w:val="30"/>
                <w:szCs w:val="30"/>
                <w:shd w:val="clear" w:color="auto" w:fill="FFFFFF"/>
              </w:rPr>
            </w:pPr>
            <w:r>
              <w:rPr>
                <w:rFonts w:hint="eastAsia" w:ascii="宋体" w:hAnsi="宋体" w:cs="仿宋_GB2312"/>
                <w:bCs/>
                <w:sz w:val="30"/>
                <w:szCs w:val="30"/>
              </w:rPr>
              <w:t>专项资金实际使用情况分析</w:t>
            </w:r>
          </w:p>
          <w:p>
            <w:pPr>
              <w:ind w:firstLine="900" w:firstLineChars="300"/>
              <w:rPr>
                <w:rFonts w:ascii="仿宋" w:hAnsi="仿宋" w:eastAsia="仿宋" w:cs="仿宋"/>
                <w:sz w:val="32"/>
                <w:szCs w:val="32"/>
              </w:rPr>
            </w:pPr>
            <w:r>
              <w:rPr>
                <w:rFonts w:hint="eastAsia" w:ascii="宋体" w:hAnsi="宋体" w:cs="仿宋_GB2312"/>
                <w:bCs/>
                <w:sz w:val="30"/>
                <w:szCs w:val="30"/>
              </w:rPr>
              <w:t xml:space="preserve">    </w:t>
            </w:r>
            <w:r>
              <w:rPr>
                <w:rFonts w:hint="eastAsia" w:ascii="仿宋" w:hAnsi="仿宋" w:eastAsia="仿宋" w:cs="仿宋"/>
                <w:sz w:val="32"/>
                <w:szCs w:val="32"/>
              </w:rPr>
              <w:t>我县农村公路省、县级道路的建设和养护工作主要由岳阳县交通运输局二级机构农村公路养护中心负责，共管养农村公路里程2577.673公里（其中规划省道149.228公里、县道320.967公里、乡道571.808公里、村道1535.67公里）。乡、村级公路由14个乡镇政府、村委会负责管理养护。</w:t>
            </w:r>
          </w:p>
          <w:p>
            <w:pPr>
              <w:spacing w:line="560" w:lineRule="exact"/>
              <w:rPr>
                <w:rFonts w:ascii="宋体" w:cs="仿宋_GB2312"/>
                <w:sz w:val="30"/>
                <w:szCs w:val="30"/>
                <w:shd w:val="clear" w:color="auto" w:fill="FFFFFF"/>
              </w:rPr>
            </w:pPr>
            <w:r>
              <w:rPr>
                <w:rFonts w:hint="eastAsia" w:ascii="宋体" w:hAnsi="宋体" w:cs="仿宋_GB2312"/>
                <w:sz w:val="32"/>
                <w:szCs w:val="32"/>
              </w:rPr>
              <w:t>桥梁814座16411.29延米。为确保交通公路畅通，一是精心组织日常养护。我所进一步加大公路管养力度。先后对县道X118荣宝线沥青路（K0+000-K3+606）段、X145兰关线、X039刘凤线等主要道路路面及时进行挖补维修。砼路面挖补维修有宝青线、荣黄线、新黄线、柏祥</w:t>
            </w:r>
            <w:r>
              <w:rPr>
                <w:rFonts w:hint="eastAsia" w:ascii="宋体" w:cs="仿宋_GB2312"/>
                <w:sz w:val="32"/>
                <w:szCs w:val="32"/>
              </w:rPr>
              <w:t>-</w:t>
            </w:r>
            <w:r>
              <w:rPr>
                <w:rFonts w:hint="eastAsia" w:ascii="宋体" w:hAnsi="宋体" w:cs="仿宋_GB2312"/>
                <w:sz w:val="32"/>
                <w:szCs w:val="32"/>
              </w:rPr>
              <w:t>长湖线、长湖</w:t>
            </w:r>
            <w:r>
              <w:rPr>
                <w:rFonts w:hint="eastAsia" w:ascii="宋体" w:cs="仿宋_GB2312"/>
                <w:sz w:val="32"/>
                <w:szCs w:val="32"/>
              </w:rPr>
              <w:t>-</w:t>
            </w:r>
            <w:r>
              <w:rPr>
                <w:rFonts w:hint="eastAsia" w:ascii="宋体" w:hAnsi="宋体" w:cs="仿宋_GB2312"/>
                <w:sz w:val="32"/>
                <w:szCs w:val="32"/>
              </w:rPr>
              <w:t>黄沙街线、龙芭线。二是开展好农村公路活动，全面调查规划，认真做好“四好”农村公路建设和养护工作，开展县道维护工作，对兰关线等路段破损路面进行了维修。十月份积极落实上级政府交办的岳阳县农村公路提质改造工程项目，完成黄沙街茶香特色小镇Y348、C283、X005、Y329四条主路共计8.91Km的提质改造工程建设。我所加大了汛期水毁、冰雪灾害天气造成的危险路段、桥梁应急抢险费用投入，在领导现场指挥安排下，迅速抢通线路，确保了人民群众的安全出行。全年共完成养护资金700万元。</w:t>
            </w:r>
          </w:p>
          <w:p>
            <w:pPr>
              <w:pStyle w:val="4"/>
              <w:spacing w:line="520" w:lineRule="exact"/>
              <w:ind w:firstLine="630"/>
              <w:jc w:val="both"/>
              <w:rPr>
                <w:rFonts w:cs="黑体"/>
                <w:b/>
                <w:bCs/>
                <w:kern w:val="2"/>
                <w:sz w:val="30"/>
                <w:szCs w:val="30"/>
              </w:rPr>
            </w:pPr>
            <w:r>
              <w:rPr>
                <w:rFonts w:hint="eastAsia" w:cs="黑体"/>
                <w:b/>
                <w:bCs/>
                <w:kern w:val="2"/>
                <w:sz w:val="30"/>
                <w:szCs w:val="30"/>
              </w:rPr>
              <w:t>三、部门（单位）专项组织实施情况</w:t>
            </w:r>
          </w:p>
          <w:p>
            <w:pPr>
              <w:spacing w:line="560" w:lineRule="exact"/>
              <w:ind w:firstLine="600" w:firstLineChars="200"/>
              <w:rPr>
                <w:rFonts w:ascii="宋体" w:cs="仿宋_GB2312"/>
                <w:bCs/>
                <w:sz w:val="30"/>
                <w:szCs w:val="30"/>
              </w:rPr>
            </w:pPr>
            <w:r>
              <w:rPr>
                <w:rFonts w:hint="eastAsia" w:ascii="宋体" w:hAnsi="宋体" w:cs="仿宋_GB2312"/>
                <w:bCs/>
                <w:sz w:val="30"/>
                <w:szCs w:val="30"/>
              </w:rPr>
              <w:t>（一）专项组织情况分析</w:t>
            </w:r>
          </w:p>
          <w:p>
            <w:pPr>
              <w:spacing w:line="560" w:lineRule="exact"/>
              <w:ind w:firstLine="640" w:firstLineChars="200"/>
              <w:rPr>
                <w:rFonts w:ascii="宋体" w:cs="仿宋_GB2312"/>
                <w:bCs/>
                <w:sz w:val="30"/>
                <w:szCs w:val="30"/>
              </w:rPr>
            </w:pPr>
            <w:r>
              <w:rPr>
                <w:rFonts w:hint="eastAsia" w:ascii="宋体" w:hAnsi="宋体" w:cs="仿宋_GB2312"/>
                <w:sz w:val="32"/>
                <w:szCs w:val="32"/>
              </w:rPr>
              <w:t>按照 “有路必养”的原则，和省公路局提出的“七无三有”目标，我县以公路养护质量检查评定为标准，科学合理安排养护工作，坚持公路养护经常化、全面化、科学化，强化责任，勤管勤查。先后对县道、乡村道路肩进行整修培护，特别是针对上半年雨水天气多的情况，对桥梁、涵洞、排水沟全面进行了清理疏通。加大巡查督促力度和日常路面保洁力度，及时维修、扶正、加固各类公路附属设施。同时，对目前养护线路存在的问题，逐条线路进行登记，狠抓整改落实，路容路貌大有改观，养护质量明显提高。实现了养护线路常年保持路面平整，路肩整洁，无杂草，水沟通畅，桥涵构造完好，标志齐全。所养护的道路完好率达到88%以上。</w:t>
            </w:r>
          </w:p>
          <w:p>
            <w:pPr>
              <w:numPr>
                <w:ilvl w:val="0"/>
                <w:numId w:val="3"/>
              </w:numPr>
              <w:spacing w:line="560" w:lineRule="exact"/>
              <w:ind w:firstLine="600" w:firstLineChars="200"/>
              <w:rPr>
                <w:rFonts w:ascii="宋体" w:cs="仿宋_GB2312"/>
                <w:bCs/>
                <w:sz w:val="30"/>
                <w:szCs w:val="30"/>
              </w:rPr>
            </w:pPr>
            <w:r>
              <w:rPr>
                <w:rFonts w:hint="eastAsia" w:ascii="宋体" w:hAnsi="宋体" w:cs="仿宋_GB2312"/>
                <w:bCs/>
                <w:sz w:val="30"/>
                <w:szCs w:val="30"/>
              </w:rPr>
              <w:t>专项管理情况分析</w:t>
            </w:r>
          </w:p>
          <w:p>
            <w:pPr>
              <w:spacing w:line="560" w:lineRule="exact"/>
              <w:rPr>
                <w:rFonts w:ascii="宋体" w:cs="楷体_GB2312"/>
                <w:b/>
                <w:bCs/>
                <w:sz w:val="32"/>
                <w:szCs w:val="32"/>
                <w:shd w:val="clear" w:color="auto" w:fill="FFFFFF"/>
              </w:rPr>
            </w:pPr>
            <w:r>
              <w:rPr>
                <w:rFonts w:hint="eastAsia" w:ascii="宋体" w:hAnsi="宋体" w:cs="仿宋_GB2312"/>
                <w:b/>
                <w:bCs/>
                <w:sz w:val="30"/>
                <w:szCs w:val="30"/>
                <w:shd w:val="clear" w:color="auto" w:fill="FFFFFF"/>
              </w:rPr>
              <w:t xml:space="preserve">    </w:t>
            </w:r>
            <w:r>
              <w:rPr>
                <w:rFonts w:hint="eastAsia" w:ascii="宋体" w:hAnsi="宋体" w:cs="仿宋_GB2312"/>
                <w:sz w:val="32"/>
                <w:szCs w:val="32"/>
              </w:rPr>
              <w:t>为确保交通公路畅通，一是精心组织日常养护。我所进一步加大公路管养力度。先后对县道X118荣宝线沥青路（K0+000-K3+606）段、X145兰关线、X039刘凤线等主要道路路面及时进行挖补维修。砼路面挖补维修有宝青线、荣黄线、新黄线、柏祥</w:t>
            </w:r>
            <w:r>
              <w:rPr>
                <w:rFonts w:hint="eastAsia" w:ascii="宋体" w:cs="仿宋_GB2312"/>
                <w:sz w:val="32"/>
                <w:szCs w:val="32"/>
              </w:rPr>
              <w:t>-</w:t>
            </w:r>
            <w:r>
              <w:rPr>
                <w:rFonts w:hint="eastAsia" w:ascii="宋体" w:hAnsi="宋体" w:cs="仿宋_GB2312"/>
                <w:sz w:val="32"/>
                <w:szCs w:val="32"/>
              </w:rPr>
              <w:t>长湖线、长湖</w:t>
            </w:r>
            <w:r>
              <w:rPr>
                <w:rFonts w:hint="eastAsia" w:ascii="宋体" w:cs="仿宋_GB2312"/>
                <w:sz w:val="32"/>
                <w:szCs w:val="32"/>
              </w:rPr>
              <w:t>-</w:t>
            </w:r>
            <w:r>
              <w:rPr>
                <w:rFonts w:hint="eastAsia" w:ascii="宋体" w:hAnsi="宋体" w:cs="仿宋_GB2312"/>
                <w:sz w:val="32"/>
                <w:szCs w:val="32"/>
              </w:rPr>
              <w:t>黄沙街线、龙芭线。二是开展好农村公路活动，全面调查规划，认真做好“四好”农村公路建设和养护工作，开展县道维护工作，对兰关线等路段破损路面进行了维修。十月份积极落实上级政府交办的岳阳县农村公路提质改造工程项目，完成黄沙街茶香特色小镇Y348、C283、X005、Y329四条主路共计8.91Km的提质改造工程建设。我所加大了汛期水毁、冰雪灾害天气造成的危险路段、桥梁应急抢险费用投入，在领导现场指挥安排下，迅速抢通线路，确保了人民群众的安全出行。全年共完成养护资金700万元。</w:t>
            </w:r>
          </w:p>
          <w:p>
            <w:pPr>
              <w:spacing w:line="560" w:lineRule="exact"/>
              <w:rPr>
                <w:rFonts w:ascii="宋体" w:cs="仿宋_GB2312"/>
                <w:bCs/>
                <w:sz w:val="30"/>
                <w:szCs w:val="30"/>
              </w:rPr>
            </w:pPr>
          </w:p>
          <w:p>
            <w:pPr>
              <w:spacing w:line="560" w:lineRule="exact"/>
              <w:ind w:firstLine="753" w:firstLineChars="250"/>
              <w:rPr>
                <w:rFonts w:ascii="宋体" w:cs="黑体"/>
                <w:b/>
                <w:bCs/>
                <w:sz w:val="30"/>
                <w:szCs w:val="30"/>
              </w:rPr>
            </w:pPr>
            <w:r>
              <w:rPr>
                <w:rFonts w:hint="eastAsia" w:ascii="宋体" w:hAnsi="宋体" w:cs="黑体"/>
                <w:b/>
                <w:bCs/>
                <w:sz w:val="30"/>
                <w:szCs w:val="30"/>
              </w:rPr>
              <w:t>四、部门（单位）整体支出绩效情况</w:t>
            </w:r>
          </w:p>
          <w:p>
            <w:pPr>
              <w:pStyle w:val="4"/>
              <w:spacing w:line="520" w:lineRule="exact"/>
              <w:jc w:val="both"/>
              <w:rPr>
                <w:rFonts w:cs="仿宋_GB2312"/>
                <w:kern w:val="2"/>
                <w:sz w:val="30"/>
                <w:szCs w:val="30"/>
              </w:rPr>
            </w:pPr>
            <w:r>
              <w:rPr>
                <w:rFonts w:hint="eastAsia" w:cs="仿宋_GB2312"/>
                <w:kern w:val="2"/>
                <w:sz w:val="30"/>
                <w:szCs w:val="30"/>
              </w:rPr>
              <w:t xml:space="preserve">    </w:t>
            </w:r>
            <w:r>
              <w:rPr>
                <w:rFonts w:hint="eastAsia" w:cs="仿宋_GB2312"/>
                <w:bCs/>
                <w:kern w:val="2"/>
                <w:sz w:val="30"/>
                <w:szCs w:val="30"/>
              </w:rPr>
              <w:t xml:space="preserve"> 2021年岳阳县交通运输局支出</w:t>
            </w:r>
            <w:r>
              <w:rPr>
                <w:rFonts w:hint="eastAsia" w:cs="仿宋_GB2312"/>
                <w:kern w:val="2"/>
              </w:rPr>
              <w:t>9685.85</w:t>
            </w:r>
            <w:r>
              <w:rPr>
                <w:rFonts w:hint="eastAsia" w:cs="仿宋_GB2312"/>
                <w:kern w:val="2"/>
                <w:sz w:val="30"/>
                <w:szCs w:val="30"/>
              </w:rPr>
              <w:t>万元，系保障我局行政运行各项支出。包括用于工资福利支出、一般商品和服务支出、对个人和家庭的补助等人员经费和日常公用经费以及公路养护专项经费与其他上级专项经费。总支出9685.85万元，基本支出1021.47万元。工资福利支出635.35万元，对个人和家庭补助支出52.05万元,对企业补助32.44。一般商品服务支出300.92万元，其他上级专项项目经费8664.38万元，</w:t>
            </w:r>
            <w:r>
              <w:rPr>
                <w:rFonts w:hint="eastAsia"/>
                <w:kern w:val="2"/>
                <w:sz w:val="30"/>
                <w:szCs w:val="30"/>
              </w:rPr>
              <w:t>本年度“三公”经费实际支出0.89</w:t>
            </w:r>
            <w:r>
              <w:rPr>
                <w:rFonts w:hint="eastAsia" w:cs="仿宋_GB2312"/>
                <w:kern w:val="2"/>
                <w:sz w:val="30"/>
                <w:szCs w:val="30"/>
              </w:rPr>
              <w:t>万元，低于去年，系我局严格执行财务制度紧缩开支所致。分项为：因公出国(境)费支出0万元，比预算减少0万元，降低0%，</w:t>
            </w:r>
            <w:r>
              <w:rPr>
                <w:rFonts w:hint="eastAsia" w:cs="仿宋_GB2312"/>
                <w:color w:val="000000"/>
                <w:kern w:val="2"/>
                <w:sz w:val="30"/>
                <w:szCs w:val="30"/>
              </w:rPr>
              <w:t>公务接待共17批 153余人次。</w:t>
            </w:r>
          </w:p>
          <w:p>
            <w:pPr>
              <w:pStyle w:val="4"/>
              <w:spacing w:line="520" w:lineRule="exact"/>
              <w:ind w:firstLine="443" w:firstLineChars="147"/>
              <w:jc w:val="both"/>
              <w:rPr>
                <w:rFonts w:cs="仿宋_GB2312"/>
                <w:kern w:val="2"/>
                <w:sz w:val="30"/>
                <w:szCs w:val="30"/>
              </w:rPr>
            </w:pPr>
            <w:r>
              <w:rPr>
                <w:rFonts w:hint="eastAsia"/>
                <w:b/>
                <w:kern w:val="2"/>
                <w:sz w:val="30"/>
                <w:szCs w:val="30"/>
              </w:rPr>
              <w:t>（一）预算管理。</w:t>
            </w:r>
            <w:r>
              <w:rPr>
                <w:rFonts w:hint="eastAsia"/>
                <w:kern w:val="2"/>
                <w:sz w:val="30"/>
                <w:szCs w:val="30"/>
              </w:rPr>
              <w:t>1、控制日常公用经费开支。“三公”经费支出年初预算</w:t>
            </w:r>
            <w:r>
              <w:rPr>
                <w:rFonts w:hint="eastAsia"/>
                <w:kern w:val="2"/>
                <w:sz w:val="30"/>
                <w:szCs w:val="30"/>
                <w:lang w:val="en-US" w:eastAsia="zh-CN"/>
              </w:rPr>
              <w:t>2.25</w:t>
            </w:r>
            <w:r>
              <w:rPr>
                <w:rFonts w:hint="eastAsia"/>
                <w:kern w:val="2"/>
                <w:sz w:val="30"/>
                <w:szCs w:val="30"/>
              </w:rPr>
              <w:t>万元，本年度“三公”经费实际支出0.89万元，少于公开的部门预算数，系我局严格执行财务制度紧缩开支所致。分项为：因公出国(境)费支出0万元，比预算减少0万元，降低0%，</w:t>
            </w:r>
            <w:r>
              <w:rPr>
                <w:rFonts w:hint="eastAsia"/>
                <w:color w:val="000000"/>
                <w:kern w:val="2"/>
                <w:sz w:val="30"/>
                <w:szCs w:val="30"/>
              </w:rPr>
              <w:t>公务接待共17批 153余人次。</w:t>
            </w:r>
          </w:p>
          <w:p>
            <w:pPr>
              <w:spacing w:line="520" w:lineRule="exact"/>
              <w:rPr>
                <w:rFonts w:ascii="宋体"/>
                <w:b/>
                <w:sz w:val="30"/>
                <w:szCs w:val="30"/>
              </w:rPr>
            </w:pPr>
            <w:r>
              <w:rPr>
                <w:rFonts w:hint="eastAsia" w:ascii="宋体" w:hAnsi="宋体"/>
                <w:b/>
                <w:sz w:val="30"/>
                <w:szCs w:val="30"/>
              </w:rPr>
              <w:t xml:space="preserve">    （二）职责履行。</w:t>
            </w:r>
          </w:p>
          <w:p>
            <w:pPr>
              <w:ind w:firstLine="753" w:firstLineChars="250"/>
              <w:rPr>
                <w:rFonts w:ascii="宋体"/>
                <w:b/>
                <w:sz w:val="30"/>
                <w:szCs w:val="30"/>
              </w:rPr>
            </w:pPr>
            <w:r>
              <w:rPr>
                <w:rFonts w:hint="eastAsia" w:ascii="宋体" w:hAnsi="宋体"/>
                <w:b/>
                <w:sz w:val="30"/>
                <w:szCs w:val="30"/>
              </w:rPr>
              <w:t>1、奋力先行，倾力助推发展</w:t>
            </w:r>
          </w:p>
          <w:p>
            <w:pPr>
              <w:ind w:firstLine="600" w:firstLineChars="200"/>
              <w:rPr>
                <w:rFonts w:ascii="宋体"/>
                <w:sz w:val="30"/>
                <w:szCs w:val="30"/>
              </w:rPr>
            </w:pPr>
            <w:r>
              <w:rPr>
                <w:rFonts w:hint="eastAsia" w:ascii="宋体" w:hAnsi="宋体"/>
                <w:sz w:val="30"/>
                <w:szCs w:val="30"/>
              </w:rPr>
              <w:t>一方面全力推进重大项目建设。岳望高速是省重点建设项目，但因工程几经停工，历史遗留问题成堆，债务数额巨大、涉及人员众多、矛盾尖锐复杂，项目指挥部全力加强协调，并通过司法途径化解复杂债务纠纷，保障了工程顺利推进，全线于9月29日竣工通车。我县境内G240 于年初完成全线绿化、亮化工程，4月底完成跨岳望高速桥段600余米沥青路面施工，通过交工验收并正式投入使用。新通车的两大干线公路犹如两条蜿蜒长龙纵贯县境，为我县融入大岳阳城区、洞庭湖生态经济区和长江经济带连通了大动脉，为经济社会发展安装了助推器，按下了加速键。</w:t>
            </w:r>
          </w:p>
          <w:p>
            <w:pPr>
              <w:ind w:firstLine="600" w:firstLineChars="200"/>
              <w:rPr>
                <w:rFonts w:ascii="宋体"/>
                <w:sz w:val="30"/>
                <w:szCs w:val="30"/>
              </w:rPr>
            </w:pPr>
            <w:r>
              <w:rPr>
                <w:rFonts w:hint="eastAsia" w:ascii="宋体" w:hAnsi="宋体"/>
                <w:sz w:val="30"/>
                <w:szCs w:val="30"/>
              </w:rPr>
              <w:t>另一方面全力包装储备项目。鹿角汗水坡临港产业园码头是我县港口建设大会战的核心项目。我局将此作为重中之重，全力加强协调对接，目前已完成项目套物流协议签订、项目备案、经营合作协议 、用地证明、库房租赁，港区水流数学模型、港池工程泥沙问题分析、东洞庭湖生物多样性影响评价都通过了专家评审验收，并经市政府第21次常务会议审议纳入《岳阳港总体规划》。临港产业园意向引进湖南建丰建筑PC板材项目及江西赣中航运公司砂石（骨材）加工项目，计划投资4亿余元。全力推进S308月新线、XJ04麻黄线、S312中张线等一批重大干线项目前期工作，除国土用地等审批受政策制约一时难以完成外，其余项目前期工作基本完成。S308月新线项目工程已于3月20日开标，县建设协调指挥部成立并投入运转。</w:t>
            </w:r>
          </w:p>
          <w:p>
            <w:pPr>
              <w:ind w:firstLine="602" w:firstLineChars="200"/>
              <w:rPr>
                <w:rFonts w:ascii="宋体"/>
                <w:b/>
                <w:sz w:val="30"/>
                <w:szCs w:val="30"/>
              </w:rPr>
            </w:pPr>
            <w:r>
              <w:rPr>
                <w:rFonts w:hint="eastAsia" w:ascii="宋体" w:hAnsi="宋体"/>
                <w:b/>
                <w:sz w:val="30"/>
                <w:szCs w:val="30"/>
              </w:rPr>
              <w:t>2、主动担当，竭力服务大局</w:t>
            </w:r>
          </w:p>
          <w:p>
            <w:pPr>
              <w:ind w:firstLine="600" w:firstLineChars="200"/>
              <w:rPr>
                <w:rFonts w:ascii="宋体" w:cs="宋体"/>
                <w:sz w:val="30"/>
                <w:szCs w:val="30"/>
              </w:rPr>
            </w:pPr>
            <w:r>
              <w:rPr>
                <w:rFonts w:hint="eastAsia" w:ascii="宋体" w:hAnsi="宋体"/>
                <w:sz w:val="30"/>
                <w:szCs w:val="30"/>
              </w:rPr>
              <w:t>一是动真碰硬抓打非治违。摩托车非法营运是影响城市交通秩序的顽疾，也是制约全国文明县城创建的拦路石。8月2日我县召开打击非法营运集中整治动员会以来，工作人员不分日夜、雷霆出击，共查处非法营运摩托车241台、汽车24台，有效遏制了非法营运乱象，维护了城区道路交通秩序，保障了人民群众生命财产安全，为文明县城创建写下浓墨重彩的一笔。</w:t>
            </w:r>
          </w:p>
          <w:p>
            <w:pPr>
              <w:ind w:firstLine="600" w:firstLineChars="200"/>
              <w:rPr>
                <w:rFonts w:ascii="宋体" w:cs="宋体"/>
                <w:sz w:val="30"/>
                <w:szCs w:val="30"/>
              </w:rPr>
            </w:pPr>
            <w:r>
              <w:rPr>
                <w:rFonts w:hint="eastAsia" w:ascii="宋体" w:hAnsi="宋体"/>
                <w:sz w:val="30"/>
                <w:szCs w:val="30"/>
              </w:rPr>
              <w:t>二是全力以赴抓春运保障。春运是检验政府交通运输保障能力的一次大考。春运前夕，交通人克服冰雪严寒，排查并消除各类安全隐患850多个。春运期间，交通人24小时值班，协调处理矛盾，科学调度运力，组织各类客运车辆586台投入运营，开展“情满旅途”优质服务竞赛和“暖冬行动”志愿服务活动，确保旅客走得了、走得好、走得平安、走得满意，向党政和人民交上一份圆满的春运答卷。</w:t>
            </w:r>
          </w:p>
          <w:p>
            <w:pPr>
              <w:ind w:firstLine="600" w:firstLineChars="200"/>
              <w:rPr>
                <w:rFonts w:ascii="宋体" w:cs="宋体"/>
                <w:sz w:val="30"/>
                <w:szCs w:val="30"/>
              </w:rPr>
            </w:pPr>
            <w:r>
              <w:rPr>
                <w:rFonts w:hint="eastAsia" w:ascii="宋体" w:hAnsi="宋体"/>
                <w:sz w:val="30"/>
                <w:szCs w:val="30"/>
              </w:rPr>
              <w:t>三是攻坚克难抓环保整治。关停非法砂石码头、清理僵尸船、打击洗砂船、整治非法浮吊船，每一项环保整治任务都是一块难啃的硬骨头。我局港航所直面矛盾、迎难而上，对4处死灰复燃的砂石码头进行再次关停，完成23处非法砂石码头、堆场27.64万平方米复绿，将18艘僵尸船集中拖拽到安全水域集中停放，清理打击非法洗砂船5艘、浮吊船2艘。</w:t>
            </w:r>
          </w:p>
          <w:p>
            <w:pPr>
              <w:ind w:firstLine="602" w:firstLineChars="200"/>
              <w:rPr>
                <w:rFonts w:ascii="宋体"/>
                <w:b/>
                <w:sz w:val="30"/>
                <w:szCs w:val="30"/>
              </w:rPr>
            </w:pPr>
            <w:r>
              <w:rPr>
                <w:rFonts w:hint="eastAsia" w:ascii="宋体" w:hAnsi="宋体"/>
                <w:b/>
                <w:sz w:val="30"/>
                <w:szCs w:val="30"/>
              </w:rPr>
              <w:t>3、不忘初心，全力造福民生</w:t>
            </w:r>
          </w:p>
          <w:p>
            <w:pPr>
              <w:ind w:firstLine="600" w:firstLineChars="200"/>
              <w:rPr>
                <w:rFonts w:ascii="宋体"/>
                <w:sz w:val="30"/>
                <w:szCs w:val="30"/>
              </w:rPr>
            </w:pPr>
            <w:r>
              <w:rPr>
                <w:rFonts w:hint="eastAsia" w:ascii="宋体" w:hAnsi="宋体"/>
                <w:sz w:val="30"/>
                <w:szCs w:val="30"/>
              </w:rPr>
              <w:t>全力打造“四好”农村公路。坚持民生为本，建设、管理、养护、运营好农村公路，方便群众生产生活。今年来，我县投入8668万元，实施自然村通水泥路128公里，窄路加宽49公里, 危桥改造7座，农村道路安防工程281公里，新建客运招呼站55个。加强农村道路养护，探索实施“分片联管”及“生态养护”模式，投入120万元，对全县2570公里农村道路实行常态化养护，农村道路完好率达88%。加大治理超限超载力度，通过联合行动、日常巡查、重点蹲守、设置龙门架等措施，开展治超行动，共计出动执法人员465人次，执法车辆121台次，处罚超限车辆84台次，卸载1767.57吨货物，有效保护了农村公路免遭损毁。农村道路路网越来越密、路况越来越好。坚持政府主导、政策引导，优化整合农村客运资源，科学合理安排班线、车辆、班次，全县行政村通班率稳定在100%。农村基本实现“出门有路、提脚上车”。</w:t>
            </w:r>
          </w:p>
          <w:p>
            <w:pPr>
              <w:ind w:firstLine="600" w:firstLineChars="200"/>
              <w:rPr>
                <w:rFonts w:ascii="宋体"/>
                <w:sz w:val="30"/>
                <w:szCs w:val="30"/>
              </w:rPr>
            </w:pPr>
            <w:r>
              <w:rPr>
                <w:rFonts w:hint="eastAsia" w:ascii="宋体" w:hAnsi="宋体"/>
                <w:sz w:val="30"/>
                <w:szCs w:val="30"/>
              </w:rPr>
              <w:t>全力优化城市公交服务。增大公交运力，新能源公交车达53辆</w:t>
            </w:r>
            <w:r>
              <w:rPr>
                <w:rFonts w:hint="eastAsia" w:ascii="宋体"/>
                <w:sz w:val="30"/>
                <w:szCs w:val="30"/>
              </w:rPr>
              <w:t>,</w:t>
            </w:r>
            <w:r>
              <w:rPr>
                <w:rFonts w:hint="eastAsia" w:ascii="宋体" w:hAnsi="宋体"/>
                <w:sz w:val="30"/>
                <w:szCs w:val="30"/>
              </w:rPr>
              <w:t>县城共开辟5条公交线路</w:t>
            </w:r>
            <w:r>
              <w:rPr>
                <w:rFonts w:hint="eastAsia" w:ascii="宋体"/>
                <w:sz w:val="30"/>
                <w:szCs w:val="30"/>
              </w:rPr>
              <w:t>,</w:t>
            </w:r>
            <w:r>
              <w:rPr>
                <w:rFonts w:hint="eastAsia" w:ascii="宋体" w:hAnsi="宋体"/>
                <w:sz w:val="30"/>
                <w:szCs w:val="30"/>
              </w:rPr>
              <w:t>设置站点251个</w:t>
            </w:r>
            <w:r>
              <w:rPr>
                <w:rFonts w:hint="eastAsia" w:ascii="宋体"/>
                <w:sz w:val="30"/>
                <w:szCs w:val="30"/>
              </w:rPr>
              <w:t>,</w:t>
            </w:r>
            <w:r>
              <w:rPr>
                <w:rFonts w:hint="eastAsia" w:ascii="宋体" w:hAnsi="宋体"/>
                <w:sz w:val="30"/>
                <w:szCs w:val="30"/>
              </w:rPr>
              <w:t>路线全长41.5公理</w:t>
            </w:r>
            <w:r>
              <w:rPr>
                <w:rFonts w:hint="eastAsia" w:ascii="宋体"/>
                <w:sz w:val="30"/>
                <w:szCs w:val="30"/>
              </w:rPr>
              <w:t>,</w:t>
            </w:r>
            <w:r>
              <w:rPr>
                <w:rFonts w:hint="eastAsia" w:ascii="宋体" w:hAnsi="宋体"/>
                <w:sz w:val="30"/>
                <w:szCs w:val="30"/>
              </w:rPr>
              <w:t>覆盖县城及附近5个村和18个居委会</w:t>
            </w:r>
            <w:r>
              <w:rPr>
                <w:rFonts w:hint="eastAsia" w:ascii="宋体"/>
                <w:sz w:val="30"/>
                <w:szCs w:val="30"/>
              </w:rPr>
              <w:t>,</w:t>
            </w:r>
            <w:r>
              <w:rPr>
                <w:rFonts w:hint="eastAsia" w:ascii="宋体" w:hAnsi="宋体"/>
                <w:sz w:val="30"/>
                <w:szCs w:val="30"/>
              </w:rPr>
              <w:t>年运送旅客量650万人次。高考期间，组织65台出租车和20台公交车参与爱心送考，为高考学子开辟免费绿色通道。</w:t>
            </w:r>
          </w:p>
          <w:p>
            <w:pPr>
              <w:ind w:firstLine="600" w:firstLineChars="200"/>
              <w:rPr>
                <w:rFonts w:ascii="宋体"/>
                <w:sz w:val="30"/>
                <w:szCs w:val="30"/>
              </w:rPr>
            </w:pPr>
            <w:r>
              <w:rPr>
                <w:rFonts w:hint="eastAsia" w:ascii="宋体" w:hAnsi="宋体"/>
                <w:sz w:val="30"/>
                <w:szCs w:val="30"/>
              </w:rPr>
              <w:t>全力守住安全生产底线。按照“一岗双责”和“三个必须”原则，建立健全安全生产责任体系。通过安全例会、电子海报、推送短信、主题布展等形式加强交通运输安全生产宣传。常态化开展道路运输安全“隐患清零”行动，工作成效受到省交通运输厅通报表彰，并奖励工作经费5万元；组织开展</w:t>
            </w:r>
            <w:r>
              <w:rPr>
                <w:rFonts w:hint="eastAsia" w:ascii="宋体" w:hAnsi="宋体"/>
                <w:color w:val="000000"/>
                <w:sz w:val="30"/>
                <w:szCs w:val="30"/>
              </w:rPr>
              <w:t>“打非治违百日行动”和“道路运输安全百日会战行动”，有效避免了交通运输领域安全生产责任事故，保护了人民群众生命财产安全，工作受到市、县安委会高度肯定，。</w:t>
            </w:r>
          </w:p>
          <w:p>
            <w:pPr>
              <w:ind w:firstLine="602" w:firstLineChars="200"/>
              <w:rPr>
                <w:rFonts w:ascii="宋体"/>
                <w:sz w:val="30"/>
                <w:szCs w:val="30"/>
              </w:rPr>
            </w:pPr>
            <w:r>
              <w:rPr>
                <w:rFonts w:hint="eastAsia" w:ascii="宋体" w:hAnsi="宋体"/>
                <w:b/>
                <w:sz w:val="30"/>
                <w:szCs w:val="30"/>
              </w:rPr>
              <w:t>4、优化作风，着力锻造队伍</w:t>
            </w:r>
          </w:p>
          <w:p>
            <w:pPr>
              <w:ind w:firstLine="600" w:firstLineChars="200"/>
              <w:rPr>
                <w:rFonts w:ascii="宋体"/>
                <w:sz w:val="30"/>
                <w:szCs w:val="30"/>
              </w:rPr>
            </w:pPr>
            <w:r>
              <w:rPr>
                <w:rFonts w:hint="eastAsia" w:ascii="宋体" w:hAnsi="宋体"/>
                <w:sz w:val="30"/>
                <w:szCs w:val="30"/>
              </w:rPr>
              <w:t>抓班子建设。局班子带头加强政治理论学习，认真开展民主生活会，班子成员带头践行一线工作法，在项目建设协调、急难险重任务中直面矛盾、攻坚克难。班子成员用身影指挥，用行动说话，引导全局干部职工敬业爱岗、忠诚履职。班子成员带头履行“一岗双责”，落实</w:t>
            </w:r>
            <w:r>
              <w:rPr>
                <w:rFonts w:hint="eastAsia" w:ascii="宋体"/>
                <w:sz w:val="30"/>
                <w:szCs w:val="30"/>
              </w:rPr>
              <w:t>“</w:t>
            </w:r>
            <w:r>
              <w:rPr>
                <w:rFonts w:hint="eastAsia" w:ascii="宋体" w:hAnsi="宋体"/>
                <w:sz w:val="30"/>
                <w:szCs w:val="30"/>
              </w:rPr>
              <w:t>两个责任</w:t>
            </w:r>
            <w:r>
              <w:rPr>
                <w:rFonts w:hint="eastAsia" w:ascii="宋体"/>
                <w:sz w:val="30"/>
                <w:szCs w:val="30"/>
              </w:rPr>
              <w:t>”</w:t>
            </w:r>
            <w:r>
              <w:rPr>
                <w:rFonts w:hint="eastAsia" w:ascii="宋体" w:hAnsi="宋体"/>
                <w:sz w:val="30"/>
                <w:szCs w:val="30"/>
              </w:rPr>
              <w:t>，对全体党员干部开展常态化的理想信念教育、党规党纪教育，不断提升纪律意识和规矩意识，筑牢拒腐防变思想防线。</w:t>
            </w:r>
          </w:p>
          <w:p>
            <w:pPr>
              <w:pStyle w:val="4"/>
              <w:spacing w:before="0" w:beforeAutospacing="0" w:after="0" w:afterAutospacing="0"/>
              <w:ind w:firstLine="641"/>
              <w:rPr>
                <w:kern w:val="2"/>
                <w:sz w:val="30"/>
                <w:szCs w:val="30"/>
              </w:rPr>
            </w:pPr>
            <w:r>
              <w:rPr>
                <w:rFonts w:hint="eastAsia" w:cs="仿宋_GB2312"/>
                <w:color w:val="242424"/>
                <w:kern w:val="2"/>
                <w:sz w:val="30"/>
                <w:szCs w:val="30"/>
              </w:rPr>
              <w:t>抓廉政建设。抓教育，党员领导干部重点学习了《党员领导干部廉洁从政手册》、党内监督“两个条例”，观看了反腐电影《决不姑息》、《迷失》，组织局机关全体干部职工和二级机构负责人到县检察院参加反腐警示教育，从思想上筑牢反腐倡廉防线。抓落实，把执行规章制度、加强风险点防控作为建设廉洁交通的重要抓手，按照“依法、规范、优质、高效”要求，进一步规范交通执法、行业监管行为，着力在简化工作程序、提高执法效率、增强执法透明度等方面下功夫。</w:t>
            </w:r>
          </w:p>
          <w:p>
            <w:pPr>
              <w:ind w:firstLine="641"/>
              <w:rPr>
                <w:rFonts w:ascii="宋体"/>
                <w:sz w:val="30"/>
                <w:szCs w:val="30"/>
              </w:rPr>
            </w:pPr>
            <w:r>
              <w:rPr>
                <w:rFonts w:hint="eastAsia" w:ascii="宋体" w:hAnsi="宋体"/>
                <w:sz w:val="30"/>
                <w:szCs w:val="30"/>
              </w:rPr>
              <w:t>抓依法行政。加强培训，采取专家讲座、集中学习和自学相结合的方式，开展执法人员培训，组织全系统200余名干部职工参加网上学法考法，参考率、及格率均达100%。健全制度，制订《交通行政执法队伍建设方案》、《行政执法队伍管理制度》和《行政执法全过程记录制度》等相关制度，通过健全内部管理制度，规范交通行政执法行为。强力推进，通过路政大队试点，着力推进基层执法队伍的职业化、基层执法站所的标准化、基础管理制度的规范化建设，逐步推进执法人员执法证件、工作服装、、执法标志、基层站所外观形象四个统一。通过案卷评查、执法评议、“双随机一公开”检查、综合考核评估等形式，对交通系统执法案件办理、队伍建设、行政审批、行政复议应诉等进行全面监督检查。2018年我局无一起行政复议、行政诉讼案件。</w:t>
            </w:r>
          </w:p>
          <w:p>
            <w:pPr>
              <w:spacing w:line="520" w:lineRule="exact"/>
              <w:ind w:firstLine="635"/>
              <w:rPr>
                <w:rFonts w:ascii="宋体"/>
                <w:b/>
                <w:sz w:val="30"/>
                <w:szCs w:val="30"/>
              </w:rPr>
            </w:pPr>
            <w:r>
              <w:rPr>
                <w:rFonts w:hint="eastAsia" w:ascii="宋体" w:hAnsi="宋体"/>
                <w:b/>
                <w:sz w:val="30"/>
                <w:szCs w:val="30"/>
              </w:rPr>
              <w:t>五、存在的主要问题</w:t>
            </w:r>
          </w:p>
          <w:p>
            <w:pPr>
              <w:pStyle w:val="4"/>
              <w:spacing w:before="0" w:beforeAutospacing="0" w:after="0" w:afterAutospacing="0" w:line="590" w:lineRule="exact"/>
              <w:ind w:firstLine="888" w:firstLineChars="296"/>
              <w:rPr>
                <w:kern w:val="2"/>
                <w:sz w:val="30"/>
                <w:szCs w:val="30"/>
              </w:rPr>
            </w:pPr>
            <w:r>
              <w:rPr>
                <w:rFonts w:hint="eastAsia"/>
                <w:kern w:val="2"/>
                <w:sz w:val="30"/>
                <w:szCs w:val="30"/>
              </w:rPr>
              <w:t>一是政策制约项目推进。S308、S312、XJ04等干线公路项目前期工作，因国家自然资源部未开窗审批，难以推进。受上级严控政府债务风险政策制约，我县计划今年实施的多个交通建设大会战项目被迫暂缓、暂停实施。二是专技人才严重短缺。交</w:t>
            </w:r>
            <w:r>
              <w:rPr>
                <w:rFonts w:hint="eastAsia" w:cs="Times New Roman"/>
                <w:kern w:val="2"/>
                <w:sz w:val="30"/>
                <w:szCs w:val="30"/>
                <w:shd w:val="clear" w:color="auto" w:fill="FFFFFF"/>
              </w:rPr>
              <w:t>通项目建设需要大量的专业技术人员，而交通系统干部职工大多为退伍安置军人，近十年未补充1名专业技术人员，导致专业技术人才匮乏，急需通过招聘、选调等途径补充。</w:t>
            </w:r>
          </w:p>
          <w:p>
            <w:pPr>
              <w:spacing w:line="520" w:lineRule="exact"/>
              <w:ind w:firstLine="635"/>
              <w:rPr>
                <w:rFonts w:ascii="宋体"/>
                <w:b/>
                <w:sz w:val="30"/>
                <w:szCs w:val="30"/>
              </w:rPr>
            </w:pPr>
            <w:r>
              <w:rPr>
                <w:rFonts w:hint="eastAsia" w:ascii="宋体" w:hAnsi="宋体"/>
                <w:b/>
                <w:sz w:val="30"/>
                <w:szCs w:val="30"/>
              </w:rPr>
              <w:t>六、改进措施和有关建议</w:t>
            </w:r>
          </w:p>
          <w:p>
            <w:pPr>
              <w:ind w:firstLine="600" w:firstLineChars="200"/>
              <w:rPr>
                <w:rFonts w:ascii="宋体" w:cs="宋体"/>
                <w:kern w:val="0"/>
                <w:sz w:val="30"/>
                <w:szCs w:val="30"/>
              </w:rPr>
            </w:pPr>
            <w:r>
              <w:rPr>
                <w:rFonts w:hint="eastAsia" w:ascii="宋体" w:hAnsi="宋体" w:cs="宋体"/>
                <w:kern w:val="0"/>
                <w:sz w:val="30"/>
                <w:szCs w:val="30"/>
              </w:rPr>
              <w:t>我们将严格按照相关规定，整章建制，加强核算中心工作，严肃财经纪律；组织系统各单位财务人员加强上级组织的业务培训，加强会计更新知识的继续教育；加强行政事业单位内部控制建设；加强系统内部财务审计工作，特别是对项目资金的财务监督和内部审计力度，使系统财务各项工作逐步步入规范化轨道。</w:t>
            </w:r>
          </w:p>
          <w:p>
            <w:pPr>
              <w:spacing w:line="520" w:lineRule="exact"/>
              <w:ind w:firstLine="635"/>
              <w:rPr>
                <w:rFonts w:ascii="宋体"/>
                <w:sz w:val="30"/>
                <w:szCs w:val="30"/>
              </w:rPr>
            </w:pPr>
          </w:p>
          <w:p>
            <w:pPr>
              <w:spacing w:line="520" w:lineRule="exact"/>
              <w:ind w:firstLine="635"/>
              <w:rPr>
                <w:rFonts w:ascii="宋体"/>
                <w:b/>
                <w:bCs/>
                <w:sz w:val="30"/>
                <w:szCs w:val="30"/>
              </w:rPr>
            </w:pPr>
            <w:r>
              <w:rPr>
                <w:rFonts w:hint="eastAsia" w:ascii="宋体" w:hAnsi="宋体"/>
                <w:b/>
                <w:bCs/>
                <w:sz w:val="30"/>
                <w:szCs w:val="30"/>
              </w:rPr>
              <w:t>七、评分结论</w:t>
            </w:r>
          </w:p>
          <w:p>
            <w:pPr>
              <w:spacing w:line="520" w:lineRule="exact"/>
              <w:ind w:firstLine="635"/>
              <w:rPr>
                <w:rFonts w:ascii="宋体"/>
                <w:sz w:val="30"/>
                <w:szCs w:val="30"/>
              </w:rPr>
            </w:pPr>
            <w:r>
              <w:rPr>
                <w:rFonts w:hint="eastAsia" w:ascii="宋体" w:hAnsi="宋体"/>
                <w:sz w:val="30"/>
                <w:szCs w:val="30"/>
              </w:rPr>
              <w:t>综合以上各项指标，财务管理健全规范，没有发生违法违规现象，县交通运输局2021年的部门整体支出绩效自我评价得到97分，自评结果是优秀。我们将在以后的工作中加强预算管理，严格控制各项经费的开支，提高经费的使用效率。</w:t>
            </w:r>
          </w:p>
          <w:p>
            <w:pPr>
              <w:spacing w:line="520" w:lineRule="exact"/>
              <w:ind w:firstLine="635"/>
              <w:rPr>
                <w:rFonts w:ascii="宋体"/>
                <w:sz w:val="30"/>
                <w:szCs w:val="30"/>
              </w:rPr>
            </w:pPr>
          </w:p>
          <w:p>
            <w:pPr>
              <w:ind w:right="640" w:firstLine="635"/>
              <w:jc w:val="right"/>
              <w:rPr>
                <w:rFonts w:ascii="宋体"/>
                <w:sz w:val="30"/>
                <w:szCs w:val="30"/>
              </w:rPr>
            </w:pPr>
          </w:p>
          <w:p>
            <w:pPr>
              <w:ind w:right="640" w:firstLine="635"/>
              <w:jc w:val="right"/>
              <w:rPr>
                <w:rFonts w:ascii="宋体"/>
                <w:sz w:val="30"/>
                <w:szCs w:val="30"/>
              </w:rPr>
            </w:pPr>
          </w:p>
          <w:p>
            <w:pPr>
              <w:ind w:right="666" w:firstLine="635"/>
              <w:jc w:val="right"/>
              <w:rPr>
                <w:rFonts w:ascii="宋体"/>
                <w:sz w:val="30"/>
                <w:szCs w:val="30"/>
              </w:rPr>
            </w:pPr>
            <w:r>
              <w:rPr>
                <w:rFonts w:hint="eastAsia" w:ascii="宋体" w:hAnsi="宋体"/>
                <w:sz w:val="30"/>
                <w:szCs w:val="30"/>
              </w:rPr>
              <w:t>岳阳县交通运输局</w:t>
            </w:r>
          </w:p>
          <w:p>
            <w:pPr>
              <w:ind w:right="640" w:firstLine="635"/>
              <w:jc w:val="right"/>
              <w:rPr>
                <w:rFonts w:ascii="宋体"/>
                <w:bCs/>
                <w:sz w:val="28"/>
                <w:szCs w:val="28"/>
              </w:rPr>
            </w:pPr>
            <w:r>
              <w:rPr>
                <w:rFonts w:hint="eastAsia" w:ascii="宋体" w:hAnsi="宋体"/>
                <w:sz w:val="30"/>
                <w:szCs w:val="30"/>
              </w:rPr>
              <w:t>2022年6月29日</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pPr>
        <w:ind w:left="0" w:firstLine="0"/>
      </w:pPr>
      <w:rPr>
        <w:rFonts w:cs="Times New Roman"/>
      </w:rPr>
    </w:lvl>
  </w:abstractNum>
  <w:abstractNum w:abstractNumId="1">
    <w:nsid w:val="0000000E"/>
    <w:multiLevelType w:val="singleLevel"/>
    <w:tmpl w:val="0000000E"/>
    <w:lvl w:ilvl="0" w:tentative="0">
      <w:start w:val="2"/>
      <w:numFmt w:val="chineseCounting"/>
      <w:suff w:val="nothing"/>
      <w:lvlText w:val="（%1）"/>
      <w:lvlJc w:val="left"/>
      <w:pPr>
        <w:ind w:left="0" w:firstLine="0"/>
      </w:pPr>
      <w:rPr>
        <w:rFonts w:cs="Times New Roman"/>
      </w:rPr>
    </w:lvl>
  </w:abstractNum>
  <w:abstractNum w:abstractNumId="2">
    <w:nsid w:val="0000000F"/>
    <w:multiLevelType w:val="singleLevel"/>
    <w:tmpl w:val="0000000F"/>
    <w:lvl w:ilvl="0" w:tentative="0">
      <w:start w:val="2"/>
      <w:numFmt w:val="decimal"/>
      <w:suff w:val="nothing"/>
      <w:lvlText w:val="%1、"/>
      <w:lvlJc w:val="left"/>
      <w:pPr>
        <w:ind w:left="0" w:firstLine="0"/>
      </w:pPr>
      <w:rPr>
        <w:rFonts w:cs="Times New Roman"/>
      </w:rPr>
    </w:lvl>
  </w:abstractNum>
  <w:num w:numId="1">
    <w:abstractNumId w:val="0"/>
    <w:lvlOverride w:ilvl="0">
      <w:startOverride w:val="1"/>
    </w:lvlOverride>
  </w:num>
  <w:num w:numId="2">
    <w:abstractNumId w:val="2"/>
    <w:lvlOverride w:ilvl="0">
      <w:startOverride w:val="2"/>
    </w:lvlOverride>
  </w:num>
  <w:num w:numId="3">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M1MDU0NmQwMTBkNjg1NjNhMTU0MTU2MzBkYjk2MjQifQ=="/>
  </w:docVars>
  <w:rsids>
    <w:rsidRoot w:val="00BB401E"/>
    <w:rsid w:val="00026DBB"/>
    <w:rsid w:val="0008474A"/>
    <w:rsid w:val="000A0186"/>
    <w:rsid w:val="000E47AE"/>
    <w:rsid w:val="00111A4B"/>
    <w:rsid w:val="00124BAC"/>
    <w:rsid w:val="002049C3"/>
    <w:rsid w:val="00293449"/>
    <w:rsid w:val="002C4B38"/>
    <w:rsid w:val="0031379D"/>
    <w:rsid w:val="00385B8A"/>
    <w:rsid w:val="003A7046"/>
    <w:rsid w:val="003D31CF"/>
    <w:rsid w:val="003D429B"/>
    <w:rsid w:val="00442915"/>
    <w:rsid w:val="00445786"/>
    <w:rsid w:val="00474DCC"/>
    <w:rsid w:val="00490ABF"/>
    <w:rsid w:val="0053218F"/>
    <w:rsid w:val="005B3FC0"/>
    <w:rsid w:val="005F3700"/>
    <w:rsid w:val="00623CC8"/>
    <w:rsid w:val="007261BD"/>
    <w:rsid w:val="0075186A"/>
    <w:rsid w:val="00841768"/>
    <w:rsid w:val="0088541C"/>
    <w:rsid w:val="008A79F5"/>
    <w:rsid w:val="00901E4B"/>
    <w:rsid w:val="00924A33"/>
    <w:rsid w:val="009279AE"/>
    <w:rsid w:val="00954FA8"/>
    <w:rsid w:val="009B52E6"/>
    <w:rsid w:val="009F3E81"/>
    <w:rsid w:val="00A04984"/>
    <w:rsid w:val="00A075A7"/>
    <w:rsid w:val="00AF2689"/>
    <w:rsid w:val="00AF6604"/>
    <w:rsid w:val="00B80514"/>
    <w:rsid w:val="00BB401E"/>
    <w:rsid w:val="00BE3BD6"/>
    <w:rsid w:val="00C21A05"/>
    <w:rsid w:val="00C55016"/>
    <w:rsid w:val="00C768F8"/>
    <w:rsid w:val="00C96815"/>
    <w:rsid w:val="00CE31BA"/>
    <w:rsid w:val="00D74CE2"/>
    <w:rsid w:val="00D87C17"/>
    <w:rsid w:val="00DD333B"/>
    <w:rsid w:val="00DE17A5"/>
    <w:rsid w:val="00E27ED5"/>
    <w:rsid w:val="00E31E79"/>
    <w:rsid w:val="00EA5CEF"/>
    <w:rsid w:val="00EE68DD"/>
    <w:rsid w:val="00FC4667"/>
    <w:rsid w:val="1B460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9371</Words>
  <Characters>10102</Characters>
  <Lines>81</Lines>
  <Paragraphs>22</Paragraphs>
  <TotalTime>141</TotalTime>
  <ScaleCrop>false</ScaleCrop>
  <LinksUpToDate>false</LinksUpToDate>
  <CharactersWithSpaces>10697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2021-07-12T02:43:00Z</dcterms:created>
  <dc:creator>个人用户</dc:creator>
  <cp:lastModifiedBy>Administrator</cp:lastModifiedBy>
  <dcterms:modified xsi:type="dcterms:W3CDTF">2022-10-27T01:33:20Z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2A0B38940D5D43B29314A82DA9411CAF</vt:lpwstr>
  </property>
</Properties>
</file>