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bookmarkStart w:id="0" w:name="_GoBack"/>
      <w:r>
        <w:rPr>
          <w:rFonts w:hint="eastAsia" w:eastAsia="仿宋_GB2312"/>
          <w:sz w:val="32"/>
          <w:szCs w:val="32"/>
          <w:u w:val="single"/>
          <w:lang w:eastAsia="zh-CN"/>
        </w:rPr>
        <w:t>岳阳县城市管理环境执法大队</w:t>
      </w:r>
      <w:bookmarkEnd w:id="0"/>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416006</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07307635359</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w:t>
            </w:r>
          </w:p>
        </w:tc>
      </w:tr>
      <w:tr>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Theme="minorEastAsia" w:hAnsiTheme="minorEastAsia"/>
                <w:sz w:val="32"/>
                <w:szCs w:val="32"/>
              </w:rPr>
              <w:t>城区禁炮、城区渣土扬尘管理、城区噪音管理，城区露天焚烧管理，城区油烟治理、城区河道乱占乱采乱堆管理</w:t>
            </w:r>
          </w:p>
        </w:tc>
      </w:tr>
      <w:tr>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642.57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277.74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301.92</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641.09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395.91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137.05</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108.13</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leftChars="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120.59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120.59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641.09</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孙四平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万小斌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邹定峰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皮六荣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皮六荣</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0730-7635359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岳阳县城市管理环境执法大队</w:t>
            </w:r>
            <w:r>
              <w:rPr>
                <w:rFonts w:hint="eastAsia" w:ascii="黑体" w:hAnsi="黑体" w:eastAsia="黑体" w:cs="黑体"/>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1.城区禁炮、城区渣土扬尘管理、城区噪音管理，城区露天焚烧管理，城区油烟治理、城区河道乱占乱采乱堆管理。</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3.行使县城控详规划区范围内向城市河道和其他水域倾倒废弃物和垃圾以及违规取土、城市河道违法建筑物拆除等水务管理方面的行政处罚权。</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pPr>
              <w:widowControl/>
              <w:spacing w:line="600" w:lineRule="exact"/>
              <w:outlineLvl w:val="0"/>
              <w:rPr>
                <w:rFonts w:hint="eastAsia" w:ascii="仿宋" w:hAnsi="仿宋" w:eastAsia="仿宋" w:cs="仿宋"/>
                <w:sz w:val="32"/>
                <w:szCs w:val="32"/>
              </w:rPr>
            </w:pP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岳阳县城市管理环境执法大队属岳阳县城市管理和综合执法局下设二级机构，为正股级事业单位。</w:t>
            </w: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岳阳县城市管理环境执法大队现有干部职工63人，其中有编人员20人，临聘人员43。县城市管理环境执法大队下设5个内设机构：办公室、禁炮中队、执法中队、渣土南中队、渣土北中队。</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2021年岳阳县城市管理环境执法大队总支出641.09万元，其中：基本支出532.96万元，包括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；项目支出108.13万元。年末结转和结余1.48万元。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2021年岳阳县城市管理环境执法大队基本支出532.96万元,主要用于人员支出395.91万元，公用支出137.05万元。“三公经费”支出5.05万元。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2021我单位项目支出108.13万元，用于城市管理环境执法油烟专项整治。</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4AD1543"/>
    <w:rsid w:val="155D419E"/>
    <w:rsid w:val="19144D19"/>
    <w:rsid w:val="19422E64"/>
    <w:rsid w:val="1B6F6E2E"/>
    <w:rsid w:val="1B9719D0"/>
    <w:rsid w:val="1EA62ED2"/>
    <w:rsid w:val="23845D9E"/>
    <w:rsid w:val="26A17F53"/>
    <w:rsid w:val="2A605BE4"/>
    <w:rsid w:val="2B247840"/>
    <w:rsid w:val="2BE72128"/>
    <w:rsid w:val="2BEA2ED3"/>
    <w:rsid w:val="2D20037D"/>
    <w:rsid w:val="30566C9F"/>
    <w:rsid w:val="316F477E"/>
    <w:rsid w:val="32D875C8"/>
    <w:rsid w:val="33265E11"/>
    <w:rsid w:val="343230D5"/>
    <w:rsid w:val="349211B7"/>
    <w:rsid w:val="36283A3E"/>
    <w:rsid w:val="370E1E08"/>
    <w:rsid w:val="37EB05DA"/>
    <w:rsid w:val="391B4A7F"/>
    <w:rsid w:val="3A2F3BFE"/>
    <w:rsid w:val="3A4D5720"/>
    <w:rsid w:val="3A7D1496"/>
    <w:rsid w:val="3B70245C"/>
    <w:rsid w:val="3BAE6861"/>
    <w:rsid w:val="3C681373"/>
    <w:rsid w:val="3E107914"/>
    <w:rsid w:val="3ED62761"/>
    <w:rsid w:val="40405E31"/>
    <w:rsid w:val="41EE1888"/>
    <w:rsid w:val="440F72B8"/>
    <w:rsid w:val="44896249"/>
    <w:rsid w:val="47B5738E"/>
    <w:rsid w:val="4B591B02"/>
    <w:rsid w:val="4FA0745D"/>
    <w:rsid w:val="4FDEBB1C"/>
    <w:rsid w:val="50B22936"/>
    <w:rsid w:val="5232687A"/>
    <w:rsid w:val="55133157"/>
    <w:rsid w:val="57EC78BB"/>
    <w:rsid w:val="5AA605CD"/>
    <w:rsid w:val="5AEA06F1"/>
    <w:rsid w:val="5CAD5ED1"/>
    <w:rsid w:val="5CC3007B"/>
    <w:rsid w:val="5D8F040A"/>
    <w:rsid w:val="5E2430CD"/>
    <w:rsid w:val="5FC64C01"/>
    <w:rsid w:val="5FF60134"/>
    <w:rsid w:val="65BA5EA0"/>
    <w:rsid w:val="661871B9"/>
    <w:rsid w:val="666741CE"/>
    <w:rsid w:val="66F217FA"/>
    <w:rsid w:val="6C133210"/>
    <w:rsid w:val="6F1E7F02"/>
    <w:rsid w:val="706E310B"/>
    <w:rsid w:val="75630D65"/>
    <w:rsid w:val="76D71B4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2356</Words>
  <Characters>2553</Characters>
  <Lines>0</Lines>
  <Paragraphs>0</Paragraphs>
  <TotalTime>4</TotalTime>
  <ScaleCrop>false</ScaleCrop>
  <LinksUpToDate>false</LinksUpToDate>
  <CharactersWithSpaces>2962</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2021-07-23T15:46:00Z</dcterms:created>
  <dc:creator>Administrator</dc:creator>
  <cp:lastModifiedBy>花卉子</cp:lastModifiedBy>
  <cp:lastPrinted>2022-10-20T17:06:00Z</cp:lastPrinted>
  <dcterms:modified xsi:type="dcterms:W3CDTF">2023-09-15T11:36:32Z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F4B5BE25CCCD979C40D10365573D47E3_43</vt:lpwstr>
  </property>
</Properties>
</file>