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highlight w:val="none"/>
        </w:rPr>
      </w:pPr>
      <w:r>
        <w:rPr>
          <w:rFonts w:hint="eastAsia" w:ascii="黑体" w:hAnsi="黑体" w:eastAsia="黑体" w:cs="黑体"/>
          <w:bCs/>
          <w:sz w:val="32"/>
          <w:szCs w:val="32"/>
          <w:highlight w:val="none"/>
        </w:rPr>
        <w:t>附件2-1</w:t>
      </w:r>
    </w:p>
    <w:p>
      <w:pPr>
        <w:spacing w:line="348" w:lineRule="auto"/>
        <w:jc w:val="center"/>
        <w:rPr>
          <w:rFonts w:eastAsia="方正小标宋简体"/>
          <w:bCs/>
          <w:sz w:val="42"/>
          <w:szCs w:val="42"/>
          <w:highlight w:val="none"/>
        </w:rPr>
      </w:pPr>
    </w:p>
    <w:p>
      <w:pPr>
        <w:spacing w:line="800" w:lineRule="exact"/>
        <w:jc w:val="center"/>
        <w:rPr>
          <w:rFonts w:eastAsia="方正小标宋简体"/>
          <w:bCs/>
          <w:sz w:val="46"/>
          <w:szCs w:val="46"/>
          <w:highlight w:val="none"/>
        </w:rPr>
      </w:pPr>
      <w:r>
        <w:rPr>
          <w:rFonts w:hint="eastAsia" w:eastAsia="方正小标宋简体"/>
          <w:bCs/>
          <w:sz w:val="46"/>
          <w:szCs w:val="46"/>
          <w:highlight w:val="none"/>
        </w:rPr>
        <w:t>岳阳县</w:t>
      </w:r>
      <w:r>
        <w:rPr>
          <w:rFonts w:hint="eastAsia" w:eastAsia="方正小标宋简体"/>
          <w:bCs/>
          <w:sz w:val="46"/>
          <w:szCs w:val="46"/>
          <w:highlight w:val="none"/>
          <w:lang w:val="en-US" w:eastAsia="zh-CN"/>
        </w:rPr>
        <w:t>农业农村局</w:t>
      </w:r>
      <w:r>
        <w:rPr>
          <w:rFonts w:eastAsia="方正小标宋简体"/>
          <w:bCs/>
          <w:sz w:val="46"/>
          <w:szCs w:val="46"/>
          <w:highlight w:val="none"/>
        </w:rPr>
        <w:t>20</w:t>
      </w:r>
      <w:r>
        <w:rPr>
          <w:rFonts w:hint="eastAsia" w:eastAsia="方正小标宋简体"/>
          <w:bCs/>
          <w:sz w:val="46"/>
          <w:szCs w:val="46"/>
          <w:highlight w:val="none"/>
          <w:u w:val="single"/>
        </w:rPr>
        <w:t>21</w:t>
      </w:r>
      <w:r>
        <w:rPr>
          <w:rFonts w:hint="eastAsia" w:eastAsia="方正小标宋简体"/>
          <w:bCs/>
          <w:sz w:val="46"/>
          <w:szCs w:val="46"/>
          <w:highlight w:val="none"/>
        </w:rPr>
        <w:t>年度部门整体支出</w:t>
      </w:r>
    </w:p>
    <w:p>
      <w:pPr>
        <w:spacing w:line="800" w:lineRule="exact"/>
        <w:jc w:val="center"/>
        <w:rPr>
          <w:rFonts w:eastAsia="方正小标宋简体"/>
          <w:bCs/>
          <w:sz w:val="46"/>
          <w:szCs w:val="46"/>
          <w:highlight w:val="none"/>
        </w:rPr>
      </w:pPr>
      <w:r>
        <w:rPr>
          <w:rFonts w:hint="eastAsia" w:eastAsia="方正小标宋简体"/>
          <w:bCs/>
          <w:sz w:val="46"/>
          <w:szCs w:val="46"/>
          <w:highlight w:val="none"/>
        </w:rPr>
        <w:t>绩效评价自评报告</w:t>
      </w:r>
    </w:p>
    <w:p>
      <w:pPr>
        <w:rPr>
          <w:rFonts w:eastAsia="仿宋_GB2312"/>
          <w:b/>
          <w:sz w:val="32"/>
          <w:highlight w:val="none"/>
        </w:rPr>
      </w:pPr>
    </w:p>
    <w:p>
      <w:pPr>
        <w:rPr>
          <w:rFonts w:eastAsia="仿宋_GB2312"/>
          <w:b/>
          <w:sz w:val="32"/>
          <w:highlight w:val="none"/>
        </w:rPr>
      </w:pPr>
    </w:p>
    <w:p>
      <w:pPr>
        <w:rPr>
          <w:rFonts w:eastAsia="仿宋_GB2312"/>
          <w:b/>
          <w:sz w:val="32"/>
          <w:highlight w:val="none"/>
        </w:rPr>
      </w:pPr>
    </w:p>
    <w:p>
      <w:pPr>
        <w:spacing w:beforeLines="50" w:line="348" w:lineRule="auto"/>
        <w:ind w:firstLine="476" w:firstLineChars="150"/>
        <w:rPr>
          <w:rFonts w:eastAsia="仿宋_GB2312"/>
          <w:sz w:val="32"/>
          <w:szCs w:val="32"/>
          <w:highlight w:val="none"/>
          <w:u w:val="single"/>
        </w:rPr>
      </w:pPr>
      <w:r>
        <w:rPr>
          <w:rFonts w:hint="eastAsia" w:eastAsia="仿宋_GB2312"/>
          <w:sz w:val="32"/>
          <w:szCs w:val="32"/>
          <w:highlight w:val="none"/>
        </w:rPr>
        <w:t>部门</w:t>
      </w:r>
      <w:r>
        <w:rPr>
          <w:rFonts w:eastAsia="仿宋_GB2312"/>
          <w:sz w:val="32"/>
          <w:szCs w:val="32"/>
          <w:highlight w:val="none"/>
        </w:rPr>
        <w:t>(</w:t>
      </w:r>
      <w:r>
        <w:rPr>
          <w:rFonts w:hint="eastAsia" w:eastAsia="仿宋_GB2312"/>
          <w:sz w:val="32"/>
          <w:szCs w:val="32"/>
          <w:highlight w:val="none"/>
        </w:rPr>
        <w:t>单位</w:t>
      </w:r>
      <w:r>
        <w:rPr>
          <w:rFonts w:eastAsia="仿宋_GB2312"/>
          <w:sz w:val="32"/>
          <w:szCs w:val="32"/>
          <w:highlight w:val="none"/>
        </w:rPr>
        <w:t>)</w:t>
      </w:r>
      <w:r>
        <w:rPr>
          <w:rFonts w:hint="eastAsia" w:eastAsia="仿宋_GB2312"/>
          <w:sz w:val="32"/>
          <w:szCs w:val="32"/>
          <w:highlight w:val="none"/>
        </w:rPr>
        <w:t>名称：</w:t>
      </w:r>
      <w:r>
        <w:rPr>
          <w:rFonts w:hint="eastAsia" w:eastAsia="仿宋_GB2312"/>
          <w:sz w:val="32"/>
          <w:highlight w:val="none"/>
          <w:u w:val="none"/>
        </w:rPr>
        <w:t>岳阳县农业农村局</w:t>
      </w:r>
    </w:p>
    <w:p>
      <w:pPr>
        <w:spacing w:beforeLines="50" w:line="348" w:lineRule="auto"/>
        <w:ind w:firstLine="476" w:firstLineChars="150"/>
        <w:rPr>
          <w:rFonts w:hint="default" w:eastAsia="仿宋_GB2312"/>
          <w:spacing w:val="30"/>
          <w:sz w:val="32"/>
          <w:szCs w:val="32"/>
          <w:highlight w:val="none"/>
          <w:lang w:val="en-US" w:eastAsia="zh-CN"/>
        </w:rPr>
      </w:pPr>
      <w:r>
        <w:rPr>
          <w:rFonts w:hint="eastAsia" w:eastAsia="仿宋_GB2312"/>
          <w:sz w:val="32"/>
          <w:szCs w:val="32"/>
          <w:highlight w:val="none"/>
        </w:rPr>
        <w:t>预</w:t>
      </w:r>
      <w:r>
        <w:rPr>
          <w:rFonts w:hint="eastAsia" w:eastAsia="仿宋_GB2312"/>
          <w:spacing w:val="30"/>
          <w:sz w:val="32"/>
          <w:szCs w:val="32"/>
          <w:highlight w:val="none"/>
        </w:rPr>
        <w:t>算编码：</w:t>
      </w:r>
      <w:r>
        <w:rPr>
          <w:rFonts w:hint="eastAsia" w:eastAsia="仿宋_GB2312"/>
          <w:spacing w:val="30"/>
          <w:sz w:val="32"/>
          <w:szCs w:val="32"/>
          <w:highlight w:val="none"/>
          <w:lang w:val="en-US" w:eastAsia="zh-CN"/>
        </w:rPr>
        <w:t>247001</w:t>
      </w:r>
    </w:p>
    <w:p>
      <w:pPr>
        <w:spacing w:beforeLines="50" w:line="348" w:lineRule="auto"/>
        <w:ind w:firstLine="476" w:firstLineChars="150"/>
        <w:rPr>
          <w:rFonts w:eastAsia="仿宋_GB2312"/>
          <w:sz w:val="32"/>
          <w:szCs w:val="32"/>
          <w:highlight w:val="none"/>
        </w:rPr>
      </w:pPr>
      <w:r>
        <w:rPr>
          <w:rFonts w:hint="eastAsia" w:eastAsia="仿宋_GB2312"/>
          <w:sz w:val="32"/>
          <w:szCs w:val="32"/>
          <w:highlight w:val="none"/>
        </w:rPr>
        <w:t>评价方式：部门（单位）绩效自评</w:t>
      </w:r>
    </w:p>
    <w:p>
      <w:pPr>
        <w:spacing w:beforeLines="50" w:line="348" w:lineRule="auto"/>
        <w:ind w:firstLine="476" w:firstLineChars="150"/>
        <w:rPr>
          <w:rFonts w:eastAsia="仿宋_GB2312"/>
          <w:sz w:val="32"/>
          <w:szCs w:val="32"/>
          <w:highlight w:val="none"/>
        </w:rPr>
      </w:pPr>
      <w:r>
        <w:rPr>
          <w:rFonts w:hint="eastAsia" w:eastAsia="仿宋_GB2312"/>
          <w:sz w:val="32"/>
          <w:szCs w:val="32"/>
          <w:highlight w:val="none"/>
        </w:rPr>
        <w:t>评价机构：部门（单位）评价组</w:t>
      </w:r>
    </w:p>
    <w:p>
      <w:pPr>
        <w:spacing w:line="720" w:lineRule="exact"/>
        <w:ind w:firstLine="2188" w:firstLineChars="690"/>
        <w:rPr>
          <w:rFonts w:eastAsia="仿宋_GB2312"/>
          <w:sz w:val="32"/>
          <w:highlight w:val="none"/>
        </w:rPr>
      </w:pPr>
    </w:p>
    <w:p>
      <w:pPr>
        <w:spacing w:line="720" w:lineRule="exact"/>
        <w:ind w:firstLine="2188" w:firstLineChars="690"/>
        <w:rPr>
          <w:rFonts w:eastAsia="仿宋_GB2312"/>
          <w:sz w:val="32"/>
          <w:highlight w:val="none"/>
        </w:rPr>
      </w:pPr>
    </w:p>
    <w:p>
      <w:pPr>
        <w:spacing w:line="720" w:lineRule="exact"/>
        <w:ind w:firstLine="2188" w:firstLineChars="690"/>
        <w:rPr>
          <w:rFonts w:eastAsia="仿宋_GB2312"/>
          <w:sz w:val="32"/>
          <w:highlight w:val="none"/>
        </w:rPr>
      </w:pPr>
    </w:p>
    <w:p>
      <w:pPr>
        <w:spacing w:line="348" w:lineRule="auto"/>
        <w:jc w:val="center"/>
        <w:rPr>
          <w:rFonts w:eastAsia="仿宋_GB2312"/>
          <w:sz w:val="32"/>
          <w:highlight w:val="none"/>
        </w:rPr>
      </w:pPr>
      <w:r>
        <w:rPr>
          <w:rFonts w:hint="eastAsia" w:eastAsia="仿宋_GB2312"/>
          <w:sz w:val="32"/>
          <w:highlight w:val="none"/>
        </w:rPr>
        <w:t>报告日期：</w:t>
      </w:r>
      <w:r>
        <w:rPr>
          <w:rFonts w:hint="eastAsia" w:eastAsia="仿宋_GB2312"/>
          <w:sz w:val="32"/>
          <w:highlight w:val="none"/>
          <w:lang w:val="en-US" w:eastAsia="zh-CN"/>
        </w:rPr>
        <w:t>2022</w:t>
      </w:r>
      <w:r>
        <w:rPr>
          <w:rFonts w:hint="eastAsia" w:eastAsia="仿宋_GB2312"/>
          <w:sz w:val="32"/>
          <w:highlight w:val="none"/>
        </w:rPr>
        <w:t>年</w:t>
      </w:r>
      <w:r>
        <w:rPr>
          <w:rFonts w:hint="eastAsia" w:eastAsia="仿宋_GB2312"/>
          <w:sz w:val="32"/>
          <w:highlight w:val="none"/>
          <w:lang w:val="en-US" w:eastAsia="zh-CN"/>
        </w:rPr>
        <w:t>07</w:t>
      </w:r>
      <w:r>
        <w:rPr>
          <w:rFonts w:hint="eastAsia" w:eastAsia="仿宋_GB2312"/>
          <w:sz w:val="32"/>
          <w:highlight w:val="none"/>
        </w:rPr>
        <w:t>月</w:t>
      </w:r>
      <w:r>
        <w:rPr>
          <w:rFonts w:hint="eastAsia" w:eastAsia="仿宋_GB2312"/>
          <w:sz w:val="32"/>
          <w:highlight w:val="none"/>
          <w:lang w:val="en-US" w:eastAsia="zh-CN"/>
        </w:rPr>
        <w:t>08</w:t>
      </w:r>
      <w:r>
        <w:rPr>
          <w:rFonts w:hint="eastAsia" w:eastAsia="仿宋_GB2312"/>
          <w:sz w:val="32"/>
          <w:highlight w:val="none"/>
        </w:rPr>
        <w:t>日</w:t>
      </w:r>
    </w:p>
    <w:p>
      <w:pPr>
        <w:autoSpaceDN w:val="0"/>
        <w:jc w:val="center"/>
        <w:textAlignment w:val="center"/>
        <w:rPr>
          <w:rFonts w:eastAsia="仿宋_GB2312"/>
          <w:sz w:val="32"/>
          <w:szCs w:val="32"/>
          <w:highlight w:val="none"/>
        </w:rPr>
      </w:pPr>
    </w:p>
    <w:p>
      <w:pPr>
        <w:widowControl/>
        <w:jc w:val="left"/>
        <w:rPr>
          <w:rFonts w:eastAsia="仿宋_GB2312"/>
          <w:sz w:val="32"/>
          <w:szCs w:val="32"/>
          <w:highlight w:val="none"/>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70"/>
        <w:gridCol w:w="26"/>
        <w:gridCol w:w="1017"/>
        <w:gridCol w:w="587"/>
        <w:gridCol w:w="139"/>
        <w:gridCol w:w="129"/>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方野</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7642905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102</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统筹协调和组织实施全县“三农”工作发展的中长期、重大政策；统筹推动发展农村社会事业、农村公共服务、农村文化、农村基础设施和乡村治理；贯彻落实国家、省、市关于深化农村经济体制改革和巩固完善农村基本经营制度的政策；指导乡村特色产业、农产品加工业、休闲农业和乡镇企业发展工作；负责农产品质量安全监督管理；负责有关农业生产资料和农业投入品的监督管理；负责农业防灾减灾、农作物重大病虫害防治工作；负责农业投资管理；推动农业科技体制改革和农业科技创新体系建设；指导农业农村人才工作；组织参与农业对外合作工作；完成县委、县政府和县委农村工作领导小组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年度主要</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1.抓粮食生产，巩固产粮大县地位。</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2.抓品牌创建，做强现代农业。</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3.抓乡村振兴，实施美丽乡村建设。</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4.抓生态整治，推进生态农业绿色发展。</w:t>
            </w:r>
          </w:p>
          <w:p>
            <w:pPr>
              <w:autoSpaceDN w:val="0"/>
              <w:spacing w:line="320" w:lineRule="exact"/>
              <w:jc w:val="left"/>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5.抓质量监管，保舌尖上安全。</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6.抓改革推进，维护农民合法权益。</w:t>
            </w:r>
          </w:p>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7.抓争资引项，夯实农业发展基础。</w:t>
            </w:r>
          </w:p>
          <w:p>
            <w:pPr>
              <w:autoSpaceDN w:val="0"/>
              <w:spacing w:line="320" w:lineRule="exact"/>
              <w:jc w:val="left"/>
              <w:textAlignment w:val="center"/>
              <w:rPr>
                <w:rFonts w:hint="eastAsia" w:ascii="楷体_GB2312" w:hAnsi="楷体_GB2312" w:eastAsia="楷体_GB2312" w:cs="楷体_GB2312"/>
                <w:b/>
                <w:bCs/>
                <w:spacing w:val="0"/>
                <w:kern w:val="0"/>
                <w:sz w:val="32"/>
                <w:szCs w:val="28"/>
                <w:highlight w:val="none"/>
                <w:lang w:val="en-US" w:eastAsia="zh-CN"/>
              </w:rPr>
            </w:pPr>
            <w:r>
              <w:rPr>
                <w:rFonts w:hint="eastAsia" w:ascii="仿宋_GB2312" w:hAnsi="仿宋_GB2312" w:eastAsia="仿宋_GB2312" w:cs="仿宋_GB2312"/>
                <w:color w:val="000000"/>
                <w:sz w:val="24"/>
                <w:highlight w:val="none"/>
                <w:lang w:val="en-US" w:eastAsia="zh-CN"/>
              </w:rPr>
              <w:t>8.抓日常工作，促目标任务全面实现。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highlight w:val="none"/>
              </w:rPr>
            </w:pPr>
            <w:r>
              <w:rPr>
                <w:rFonts w:hint="eastAsia" w:ascii="仿宋_GB2312" w:hAnsi="仿宋_GB2312" w:eastAsia="仿宋_GB2312" w:cs="仿宋_GB2312"/>
                <w:color w:val="000000"/>
                <w:spacing w:val="-6"/>
                <w:sz w:val="24"/>
                <w:highlight w:val="none"/>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全县共完成粮食作物播种面积121.73万亩，全年粮食产量达到51.93万吨。完成早稻集中育秧秧田面积1.4万亩。新建筻口、公田标准化装备育秧基地22000㎡，带动全县新建育秧大棚60000㎡以上；省级现代农业产业园成功获批，成立了岳阳县肉鸽产业发展领导小组，《岳阳王鸽产业发展规划(2021-2025)》通过专家评审，杨林街镇（肉鸽）获评“全国一村一品示范村镇”，岳阳王鸽获国家地理标志农产品和国家地理标志证明商标。获国家级品牌荣誉72个、省级品牌荣誉100个。2个区域公用品牌（岳阳王鸽、岳阳兰花萝卜），黄沙街镇（茶叶）获评湖南省农业产业强镇；先后实施了春节村庄清洁行动和G240、G107专项整治行动，第三、四季度在全市农村人居环境整治暗访检查中分别排名第二、第一。农村改厕方面，2019-2020年的整改任务基本完成。美丽乡村示范创建方面，共申报省级精品乡村2个，美丽乡村3个，市级美丽乡村、美丽屋场各5个；开展农业面源污染治理。一是推进受污染耕地安全利用。对严格管控区7200亩耕地主推油菜+牧草+饲料玉米+花卉+药材的种植模式，全县重度污染区耕地已全部退出水稻种植。二是推进农药化肥减量。召开了4次化肥减量增效培训会，推广有机肥种植和水肥一体化，商品有机肥应用数量1.7万吨以上、水肥一体化应用面积1.8万亩以上。三是开展农药包装废弃物回收。在3个乡镇开展了试点示范，正在全县全域推广；今年来，全县未发生较大农产品质量安全责任事件，执法大队联合种子管理股、农药监管股、生猪定点屠宰中心、农安股等，立案17起，移交市场监督管理局2起，调查重大违法案件2起；9月15日，县农业综合行政执法局和执法大队挂牌成立。黄沙街茶叶示范场改制工作有条不紊推进。6月份开始，对2018年以来，涉及“一卡通”办理和管理及享受财政补贴项目和标准、补贴资金落实情况进行了核查；2021年度我局除了高标准农田建设项目、耕地地力保护、粮食生产大县奖励资金、粮食绿色高质高效行动、农村户用厕所、公厕改造和千万工程全域推进项目、受污染耕地安全利用等普惠性项目外，还争取到2021年度农村人居环境整治建设项目、2021年岳阳县省级现代农业产业园、省级农村产业融合发展示范园建设项目、岳阳县洞庭湖流域黄沙街镇片区绿色发展示范工程、产油大县等5个竞争性项目。2021年度我局争取了总投资51819.3万元的国家重点投入。成功引进洞庭鹿角水寨旅游项目、天裕酒店菜生产项目、渔美康年产2500吨水产动保投入品项目（第三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highlight w:val="none"/>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公共财</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其他</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14257.65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3901.80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8336.55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2019.30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14257.65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3901.80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8336.55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2019.30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highlight w:val="none"/>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支出合计</w:t>
            </w:r>
          </w:p>
        </w:tc>
        <w:tc>
          <w:tcPr>
            <w:tcW w:w="5353"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1667"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基本支出</w:t>
            </w:r>
          </w:p>
        </w:tc>
        <w:tc>
          <w:tcPr>
            <w:tcW w:w="2955"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1043"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项目支出</w:t>
            </w:r>
          </w:p>
        </w:tc>
        <w:tc>
          <w:tcPr>
            <w:tcW w:w="855"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当年结余</w:t>
            </w:r>
          </w:p>
        </w:tc>
        <w:tc>
          <w:tcPr>
            <w:tcW w:w="812"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人员支出</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公用支出</w:t>
            </w:r>
          </w:p>
        </w:tc>
        <w:tc>
          <w:tcPr>
            <w:tcW w:w="1043"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855"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81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14257.65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1907.75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1532.33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375.42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12227.41</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122.49</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14257.65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1907.75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1532.33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375.42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12227.41</w:t>
            </w:r>
          </w:p>
        </w:tc>
        <w:tc>
          <w:tcPr>
            <w:tcW w:w="855"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122.49</w:t>
            </w:r>
          </w:p>
        </w:tc>
        <w:tc>
          <w:tcPr>
            <w:tcW w:w="81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三公经费</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公务用车运维费</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公务用车购置费</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22.33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16.20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6.13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22.33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16.20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6.13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固定资产</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highlight w:val="none"/>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932.07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932.07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932.07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932.07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目标1：粮食生产稳步推进；</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目标2：加快发展现代农业；</w:t>
            </w:r>
          </w:p>
          <w:p>
            <w:pPr>
              <w:autoSpaceDN w:val="0"/>
              <w:spacing w:line="320" w:lineRule="exact"/>
              <w:jc w:val="left"/>
              <w:textAlignment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目标3：美丽乡村示范建设；</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目标4：推进生态农业绿色发展；</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目标5：保证农产品质量安全；</w:t>
            </w:r>
          </w:p>
          <w:p>
            <w:pPr>
              <w:autoSpaceDN w:val="0"/>
              <w:spacing w:line="320" w:lineRule="exact"/>
              <w:jc w:val="left"/>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目标6：推进改革维护农民权益；</w:t>
            </w:r>
          </w:p>
          <w:p>
            <w:pPr>
              <w:autoSpaceDN w:val="0"/>
              <w:spacing w:line="320" w:lineRule="exact"/>
              <w:jc w:val="left"/>
              <w:textAlignment w:val="center"/>
              <w:rPr>
                <w:rFonts w:hint="default"/>
                <w:highlight w:val="none"/>
                <w:lang w:val="en-US" w:eastAsia="zh-CN"/>
              </w:rPr>
            </w:pPr>
            <w:r>
              <w:rPr>
                <w:rFonts w:hint="eastAsia" w:ascii="仿宋" w:hAnsi="仿宋" w:eastAsia="仿宋" w:cs="仿宋"/>
                <w:color w:val="000000"/>
                <w:sz w:val="24"/>
                <w:szCs w:val="24"/>
                <w:highlight w:val="none"/>
                <w:lang w:val="en-US" w:eastAsia="zh-CN" w:bidi="ar-SA"/>
              </w:rPr>
              <w:t>目标7：凝神聚力争资引项；</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 w:hAnsi="仿宋" w:eastAsia="仿宋" w:cs="仿宋"/>
                <w:color w:val="000000"/>
                <w:sz w:val="24"/>
                <w:szCs w:val="24"/>
                <w:highlight w:val="none"/>
                <w:lang w:val="en-US" w:eastAsia="zh-CN" w:bidi="ar-SA"/>
              </w:rPr>
              <w:t>全县共完成粮食作物播种面积121.73万亩，全年粮食产量达到51.93万吨；岳阳王鸽获国家地理标志农产品和国家地理标志证明商标，2个区域公用品牌（岳阳王鸽、岳阳兰花萝卜），黄沙街镇（茶叶）获评湖南省农业产业强镇；共申报省级精品乡村2个，美丽乡村3个，市级美丽乡村、美丽屋场各5个，创建工作均已完成；推进了受污染耕地安全利用、农药化肥减量，开展了农药包装废弃物回收;2021年度全县未发生较大农产品质量安全责任事件；推进黄沙街茶叶示范场改制工作，核查了享受财政补贴的项目资金；2021年度我局争取了8个普惠性项目外和5个竞争性项目，共51819.3万元的国家重点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产出目标</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三公经费控制率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政府采购执行率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公务卡刷卡率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60</w:t>
            </w:r>
            <w:r>
              <w:rPr>
                <w:rFonts w:hint="eastAsia" w:ascii="仿宋_GB2312" w:hAnsi="仿宋_GB2312" w:eastAsia="仿宋_GB2312" w:cs="仿宋_GB2312"/>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固定资产利用率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财政供养人员控制率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三公经费变动率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扩大粮食种植面积，促进粮食增产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播种面积121.73万亩，粮食产量达到51.93万吨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争取项目资金</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5.18亿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rPr>
              <w:t>推广水稻集中育秧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55万亩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资金给付及时性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财政支出绩效目标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17314.88万元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效益目标</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增加粮食产量，改善农田灌溉设施，提升农业品牌效益，美丽乡村建设</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稳步提升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降低粮食生产成本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20元/亩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减少农业用水，减少农业生产农药化肥用量，减少农村垃圾污染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lang w:eastAsia="zh-CN"/>
              </w:rPr>
            </w:pPr>
            <w:r>
              <w:rPr>
                <w:rFonts w:hint="eastAsia" w:ascii="仿宋_GB2312" w:hAnsi="仿宋_GB2312" w:eastAsia="仿宋_GB2312" w:cs="仿宋_GB2312"/>
                <w:color w:val="000000"/>
                <w:sz w:val="24"/>
                <w:highlight w:val="none"/>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梁亿仲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彭六军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蒋世平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方野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评价组组长（签字）：</w:t>
            </w: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部门（单位）意见：</w:t>
            </w: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tc>
      </w:tr>
    </w:tbl>
    <w:p>
      <w:pPr>
        <w:rPr>
          <w:rFonts w:hint="default" w:eastAsia="仿宋_GB2312" w:cs="仿宋_GB2312"/>
          <w:bCs/>
          <w:sz w:val="28"/>
          <w:szCs w:val="28"/>
          <w:highlight w:val="none"/>
          <w:lang w:val="en-US" w:eastAsia="zh-CN"/>
        </w:rPr>
      </w:pPr>
      <w:r>
        <w:rPr>
          <w:rFonts w:hint="eastAsia" w:eastAsia="仿宋_GB2312" w:cs="仿宋_GB2312"/>
          <w:bCs/>
          <w:sz w:val="28"/>
          <w:szCs w:val="28"/>
          <w:highlight w:val="none"/>
        </w:rPr>
        <w:t>填报人（签名）：</w:t>
      </w:r>
      <w:r>
        <w:rPr>
          <w:rFonts w:hint="eastAsia" w:eastAsia="仿宋_GB2312" w:cs="仿宋_GB2312"/>
          <w:bCs/>
          <w:sz w:val="28"/>
          <w:szCs w:val="28"/>
          <w:highlight w:val="none"/>
          <w:lang w:val="en-US" w:eastAsia="zh-CN"/>
        </w:rPr>
        <w:t xml:space="preserve">方野                   </w:t>
      </w:r>
      <w:r>
        <w:rPr>
          <w:rFonts w:hint="eastAsia" w:eastAsia="仿宋_GB2312" w:cs="仿宋_GB2312"/>
          <w:bCs/>
          <w:sz w:val="28"/>
          <w:szCs w:val="28"/>
          <w:highlight w:val="none"/>
        </w:rPr>
        <w:t>联系电话：</w:t>
      </w:r>
      <w:r>
        <w:rPr>
          <w:rFonts w:hint="eastAsia" w:eastAsia="仿宋_GB2312" w:cs="仿宋_GB2312"/>
          <w:bCs/>
          <w:sz w:val="28"/>
          <w:szCs w:val="28"/>
          <w:highlight w:val="none"/>
          <w:lang w:val="en-US" w:eastAsia="zh-CN"/>
        </w:rPr>
        <w:t>7642905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highlight w:val="none"/>
              </w:rPr>
            </w:pPr>
            <w:r>
              <w:rPr>
                <w:rFonts w:hint="eastAsia" w:ascii="黑体" w:hAnsi="黑体" w:eastAsia="黑体" w:cs="黑体"/>
                <w:bCs/>
                <w:sz w:val="28"/>
                <w:szCs w:val="28"/>
                <w:highlight w:val="none"/>
              </w:rPr>
              <w:t>五、评价报告综述（文字部分）</w:t>
            </w:r>
          </w:p>
          <w:p>
            <w:pPr>
              <w:spacing w:line="440" w:lineRule="exact"/>
              <w:ind w:firstLine="640" w:firstLineChars="200"/>
              <w:rPr>
                <w:rFonts w:eastAsia="仿宋_GB2312"/>
                <w:sz w:val="32"/>
                <w:szCs w:val="32"/>
                <w:highlight w:val="none"/>
              </w:rPr>
            </w:pPr>
          </w:p>
          <w:p>
            <w:pPr>
              <w:widowControl/>
              <w:shd w:val="clear" w:color="auto" w:fill="FFFFFF"/>
              <w:spacing w:before="100" w:beforeAutospacing="1" w:after="100" w:afterAutospacing="1"/>
              <w:jc w:val="center"/>
              <w:rPr>
                <w:rFonts w:ascii="仿宋" w:hAnsi="仿宋" w:eastAsia="仿宋" w:cs="仿宋"/>
                <w:b/>
                <w:bCs/>
                <w:color w:val="000000"/>
                <w:kern w:val="0"/>
                <w:sz w:val="44"/>
                <w:szCs w:val="44"/>
                <w:highlight w:val="none"/>
              </w:rPr>
            </w:pPr>
            <w:r>
              <w:rPr>
                <w:rFonts w:hint="eastAsia" w:ascii="仿宋" w:hAnsi="仿宋" w:eastAsia="仿宋" w:cs="仿宋"/>
                <w:b/>
                <w:bCs/>
                <w:color w:val="000000"/>
                <w:kern w:val="0"/>
                <w:sz w:val="44"/>
                <w:szCs w:val="44"/>
                <w:highlight w:val="none"/>
              </w:rPr>
              <w:t>岳阳县农业农村局整体支出绩效评价报告</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一、单位概况</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（一）单位基本情况</w:t>
            </w:r>
          </w:p>
          <w:p>
            <w:pPr>
              <w:widowControl/>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岳阳县农业农村局为县人民政府工作部门，</w:t>
            </w:r>
            <w:r>
              <w:rPr>
                <w:rFonts w:hint="eastAsia" w:ascii="仿宋" w:hAnsi="仿宋" w:eastAsia="仿宋" w:cs="仿宋"/>
                <w:kern w:val="0"/>
                <w:sz w:val="30"/>
                <w:szCs w:val="30"/>
                <w:highlight w:val="none"/>
                <w:lang w:val="en-US" w:eastAsia="zh-CN"/>
              </w:rPr>
              <w:t>机关</w:t>
            </w:r>
            <w:r>
              <w:rPr>
                <w:rFonts w:hint="eastAsia" w:ascii="仿宋" w:hAnsi="仿宋" w:eastAsia="仿宋" w:cs="仿宋"/>
                <w:kern w:val="0"/>
                <w:sz w:val="30"/>
                <w:szCs w:val="30"/>
                <w:highlight w:val="none"/>
              </w:rPr>
              <w:t>共有</w:t>
            </w:r>
            <w:r>
              <w:rPr>
                <w:rFonts w:hint="eastAsia" w:ascii="仿宋" w:hAnsi="仿宋" w:eastAsia="仿宋" w:cs="仿宋"/>
                <w:kern w:val="0"/>
                <w:sz w:val="30"/>
                <w:szCs w:val="30"/>
                <w:highlight w:val="none"/>
                <w:lang w:val="en-US" w:eastAsia="zh-CN"/>
              </w:rPr>
              <w:t>117</w:t>
            </w:r>
            <w:r>
              <w:rPr>
                <w:rFonts w:hint="eastAsia" w:ascii="仿宋" w:hAnsi="仿宋" w:eastAsia="仿宋" w:cs="仿宋"/>
                <w:kern w:val="0"/>
                <w:sz w:val="30"/>
                <w:szCs w:val="30"/>
                <w:highlight w:val="none"/>
              </w:rPr>
              <w:t>人（其中:在职</w:t>
            </w:r>
            <w:r>
              <w:rPr>
                <w:rFonts w:hint="eastAsia" w:ascii="仿宋" w:hAnsi="仿宋" w:eastAsia="仿宋" w:cs="仿宋"/>
                <w:kern w:val="0"/>
                <w:sz w:val="30"/>
                <w:szCs w:val="30"/>
                <w:highlight w:val="none"/>
                <w:lang w:val="en-US" w:eastAsia="zh-CN"/>
              </w:rPr>
              <w:t>114</w:t>
            </w:r>
            <w:r>
              <w:rPr>
                <w:rFonts w:hint="eastAsia" w:ascii="仿宋" w:hAnsi="仿宋" w:eastAsia="仿宋" w:cs="仿宋"/>
                <w:kern w:val="0"/>
                <w:sz w:val="30"/>
                <w:szCs w:val="30"/>
                <w:highlight w:val="none"/>
              </w:rPr>
              <w:t>人，临聘人员</w:t>
            </w:r>
            <w:r>
              <w:rPr>
                <w:rFonts w:hint="eastAsia" w:ascii="仿宋" w:hAnsi="仿宋" w:eastAsia="仿宋" w:cs="仿宋"/>
                <w:kern w:val="0"/>
                <w:sz w:val="30"/>
                <w:szCs w:val="30"/>
                <w:highlight w:val="none"/>
                <w:lang w:val="en-US" w:eastAsia="zh-CN"/>
              </w:rPr>
              <w:t>3</w:t>
            </w:r>
            <w:r>
              <w:rPr>
                <w:rFonts w:hint="eastAsia" w:ascii="仿宋" w:hAnsi="仿宋" w:eastAsia="仿宋" w:cs="仿宋"/>
                <w:kern w:val="0"/>
                <w:sz w:val="30"/>
                <w:szCs w:val="30"/>
                <w:highlight w:val="none"/>
              </w:rPr>
              <w:t>人）。岳阳县农业农村局为县人民政府工作部门,加挂“中共岳阳县委农村工作办公室”的牌子。农业农村局机关内设办公室、法规股、行政审批股、发展规划股、计划财务股、乡村产业发展股、农村社会事业促进股（乡村振兴工作办公室）等17个股室；下设县农业行政执法大队、县土壤肥料工作站、县农产品质量检验检测站、县农业技术推广站、县植保植检站、县农田建设服务中心非独立核算二级机构。</w:t>
            </w:r>
          </w:p>
          <w:p>
            <w:pPr>
              <w:widowControl/>
              <w:spacing w:line="6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管辖县生态能源服务中心、县农业广播电视学校、县农村经营服务站</w:t>
            </w:r>
            <w:r>
              <w:rPr>
                <w:rFonts w:hint="eastAsia" w:ascii="仿宋" w:hAnsi="仿宋" w:eastAsia="仿宋" w:cs="仿宋"/>
                <w:kern w:val="0"/>
                <w:sz w:val="30"/>
                <w:szCs w:val="30"/>
                <w:highlight w:val="none"/>
                <w:lang w:val="en-US" w:eastAsia="zh-CN"/>
              </w:rPr>
              <w:t>等</w:t>
            </w:r>
            <w:r>
              <w:rPr>
                <w:rFonts w:hint="eastAsia" w:ascii="仿宋" w:hAnsi="仿宋" w:eastAsia="仿宋" w:cs="仿宋"/>
                <w:kern w:val="0"/>
                <w:sz w:val="30"/>
                <w:szCs w:val="30"/>
                <w:highlight w:val="none"/>
              </w:rPr>
              <w:t>独立核算的二级机构。公车改革后机关与县定点屠宰服务中心共保留2台农业执法用车。</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（二）单位整体支出规模、使用方向和主要内容、涉及范围等</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202</w:t>
            </w:r>
            <w:r>
              <w:rPr>
                <w:rFonts w:hint="eastAsia" w:ascii="仿宋" w:hAnsi="仿宋" w:eastAsia="仿宋" w:cs="仿宋"/>
                <w:kern w:val="0"/>
                <w:sz w:val="30"/>
                <w:szCs w:val="30"/>
                <w:highlight w:val="none"/>
                <w:lang w:val="en-US" w:eastAsia="zh-CN"/>
              </w:rPr>
              <w:t>1</w:t>
            </w:r>
            <w:r>
              <w:rPr>
                <w:rFonts w:hint="eastAsia" w:ascii="仿宋" w:hAnsi="仿宋" w:eastAsia="仿宋" w:cs="仿宋"/>
                <w:kern w:val="0"/>
                <w:sz w:val="30"/>
                <w:szCs w:val="30"/>
                <w:highlight w:val="none"/>
              </w:rPr>
              <w:t>年农业农村局</w:t>
            </w:r>
            <w:r>
              <w:rPr>
                <w:rFonts w:hint="eastAsia" w:ascii="仿宋" w:hAnsi="仿宋" w:eastAsia="仿宋" w:cs="仿宋"/>
                <w:kern w:val="0"/>
                <w:sz w:val="30"/>
                <w:szCs w:val="30"/>
                <w:highlight w:val="none"/>
                <w:lang w:val="en-US" w:eastAsia="zh-CN"/>
              </w:rPr>
              <w:t>本级</w:t>
            </w:r>
            <w:r>
              <w:rPr>
                <w:rFonts w:hint="eastAsia" w:ascii="仿宋" w:hAnsi="仿宋" w:eastAsia="仿宋" w:cs="仿宋"/>
                <w:kern w:val="0"/>
                <w:sz w:val="30"/>
                <w:szCs w:val="30"/>
                <w:highlight w:val="none"/>
              </w:rPr>
              <w:t>整体支出共计</w:t>
            </w:r>
            <w:r>
              <w:rPr>
                <w:rFonts w:hint="eastAsia" w:ascii="仿宋" w:hAnsi="仿宋" w:eastAsia="仿宋" w:cs="仿宋"/>
                <w:kern w:val="0"/>
                <w:sz w:val="30"/>
                <w:szCs w:val="30"/>
                <w:highlight w:val="none"/>
                <w:lang w:val="en-US" w:eastAsia="zh-CN"/>
              </w:rPr>
              <w:t>14,257.65</w:t>
            </w:r>
            <w:r>
              <w:rPr>
                <w:rFonts w:hint="eastAsia" w:ascii="仿宋" w:hAnsi="仿宋" w:eastAsia="仿宋" w:cs="仿宋"/>
                <w:kern w:val="0"/>
                <w:sz w:val="30"/>
                <w:szCs w:val="30"/>
                <w:highlight w:val="none"/>
              </w:rPr>
              <w:t>万元。</w:t>
            </w:r>
            <w:r>
              <w:rPr>
                <w:rFonts w:hint="eastAsia" w:ascii="仿宋" w:hAnsi="仿宋" w:eastAsia="仿宋" w:cs="仿宋"/>
                <w:kern w:val="0"/>
                <w:sz w:val="30"/>
                <w:szCs w:val="30"/>
                <w:highlight w:val="none"/>
                <w:lang w:val="en-US"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kern w:val="0"/>
                <w:sz w:val="30"/>
                <w:szCs w:val="30"/>
                <w:highlight w:val="none"/>
                <w:lang w:val="en-US" w:eastAsia="zh-CN"/>
              </w:rPr>
              <w:t>共计1,907.75</w:t>
            </w:r>
            <w:r>
              <w:rPr>
                <w:rFonts w:hint="eastAsia" w:ascii="仿宋" w:hAnsi="仿宋" w:eastAsia="仿宋" w:cs="仿宋"/>
                <w:kern w:val="0"/>
                <w:sz w:val="30"/>
                <w:szCs w:val="30"/>
                <w:highlight w:val="none"/>
              </w:rPr>
              <w:t>万元</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项目支出</w:t>
            </w:r>
            <w:r>
              <w:rPr>
                <w:rFonts w:hint="eastAsia" w:ascii="仿宋" w:hAnsi="仿宋" w:eastAsia="仿宋" w:cs="仿宋"/>
                <w:kern w:val="0"/>
                <w:sz w:val="30"/>
                <w:szCs w:val="30"/>
                <w:highlight w:val="none"/>
                <w:lang w:val="en-US" w:eastAsia="zh-CN"/>
              </w:rPr>
              <w:t>共计12,227.41</w:t>
            </w:r>
            <w:r>
              <w:rPr>
                <w:rFonts w:hint="eastAsia" w:ascii="仿宋" w:hAnsi="仿宋" w:eastAsia="仿宋" w:cs="仿宋"/>
                <w:kern w:val="0"/>
                <w:sz w:val="30"/>
                <w:szCs w:val="30"/>
                <w:highlight w:val="none"/>
              </w:rPr>
              <w:t>万元，主要包括高标准农田建设、粮食高产创建、</w:t>
            </w:r>
            <w:r>
              <w:rPr>
                <w:rFonts w:hint="eastAsia" w:ascii="仿宋" w:hAnsi="仿宋" w:eastAsia="仿宋" w:cs="仿宋"/>
                <w:kern w:val="0"/>
                <w:sz w:val="30"/>
                <w:szCs w:val="30"/>
                <w:highlight w:val="none"/>
                <w:lang w:val="en-US" w:eastAsia="zh-CN"/>
              </w:rPr>
              <w:t>产业发展</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面源污染</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农业资源</w:t>
            </w:r>
            <w:r>
              <w:rPr>
                <w:rFonts w:hint="eastAsia" w:ascii="仿宋" w:hAnsi="仿宋" w:eastAsia="仿宋" w:cs="仿宋"/>
                <w:kern w:val="0"/>
                <w:sz w:val="30"/>
                <w:szCs w:val="30"/>
                <w:highlight w:val="none"/>
                <w:lang w:val="en-US" w:eastAsia="zh-CN"/>
              </w:rPr>
              <w:t>和环境保护</w:t>
            </w:r>
            <w:r>
              <w:rPr>
                <w:rFonts w:hint="eastAsia" w:ascii="仿宋" w:hAnsi="仿宋" w:eastAsia="仿宋" w:cs="仿宋"/>
                <w:kern w:val="0"/>
                <w:sz w:val="30"/>
                <w:szCs w:val="30"/>
                <w:highlight w:val="none"/>
              </w:rPr>
              <w:t>、农村</w:t>
            </w:r>
            <w:r>
              <w:rPr>
                <w:rFonts w:hint="eastAsia" w:ascii="仿宋" w:hAnsi="仿宋" w:eastAsia="仿宋" w:cs="仿宋"/>
                <w:kern w:val="0"/>
                <w:sz w:val="30"/>
                <w:szCs w:val="30"/>
                <w:highlight w:val="none"/>
                <w:lang w:eastAsia="zh-CN"/>
              </w:rPr>
              <w:t>社会事业</w:t>
            </w:r>
            <w:r>
              <w:rPr>
                <w:rFonts w:hint="eastAsia" w:ascii="仿宋" w:hAnsi="仿宋" w:eastAsia="仿宋" w:cs="仿宋"/>
                <w:kern w:val="0"/>
                <w:sz w:val="30"/>
                <w:szCs w:val="30"/>
                <w:highlight w:val="none"/>
              </w:rPr>
              <w:t>等方面。</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二、单位整体支出管理及使用情况</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（一）基本支出</w:t>
            </w:r>
          </w:p>
          <w:p>
            <w:pPr>
              <w:ind w:firstLine="600" w:firstLineChars="200"/>
              <w:rPr>
                <w:rFonts w:ascii="仿宋" w:hAnsi="仿宋" w:eastAsia="仿宋" w:cs="仿宋"/>
                <w:color w:val="auto"/>
                <w:kern w:val="0"/>
                <w:sz w:val="30"/>
                <w:szCs w:val="30"/>
                <w:highlight w:val="none"/>
              </w:rPr>
            </w:pPr>
            <w:r>
              <w:rPr>
                <w:rFonts w:hint="eastAsia" w:ascii="仿宋" w:hAnsi="仿宋" w:eastAsia="仿宋" w:cs="仿宋"/>
                <w:kern w:val="0"/>
                <w:sz w:val="30"/>
                <w:szCs w:val="30"/>
                <w:highlight w:val="none"/>
                <w:lang w:val="en-US" w:eastAsia="zh-CN"/>
              </w:rPr>
              <w:t>2021</w:t>
            </w:r>
            <w:r>
              <w:rPr>
                <w:rFonts w:hint="eastAsia" w:ascii="仿宋" w:hAnsi="仿宋" w:eastAsia="仿宋" w:cs="仿宋"/>
                <w:kern w:val="0"/>
                <w:sz w:val="30"/>
                <w:szCs w:val="30"/>
                <w:highlight w:val="none"/>
              </w:rPr>
              <w:t>年农业农村局基本支</w:t>
            </w:r>
            <w:bookmarkStart w:id="0" w:name="_GoBack"/>
            <w:bookmarkEnd w:id="0"/>
            <w:r>
              <w:rPr>
                <w:rFonts w:hint="eastAsia" w:ascii="仿宋" w:hAnsi="仿宋" w:eastAsia="仿宋" w:cs="仿宋"/>
                <w:kern w:val="0"/>
                <w:sz w:val="30"/>
                <w:szCs w:val="30"/>
                <w:highlight w:val="none"/>
              </w:rPr>
              <w:t>出共计</w:t>
            </w:r>
            <w:r>
              <w:rPr>
                <w:rFonts w:hint="eastAsia" w:ascii="仿宋" w:hAnsi="仿宋" w:eastAsia="仿宋" w:cs="仿宋"/>
                <w:kern w:val="0"/>
                <w:sz w:val="30"/>
                <w:szCs w:val="30"/>
                <w:highlight w:val="none"/>
                <w:lang w:val="en-US" w:eastAsia="zh-CN"/>
              </w:rPr>
              <w:t>1,907.75</w:t>
            </w:r>
            <w:r>
              <w:rPr>
                <w:rFonts w:hint="eastAsia" w:ascii="仿宋" w:hAnsi="仿宋" w:eastAsia="仿宋" w:cs="仿宋"/>
                <w:kern w:val="0"/>
                <w:sz w:val="30"/>
                <w:szCs w:val="30"/>
                <w:highlight w:val="none"/>
              </w:rPr>
              <w:t>万元，其中用于人员支出</w:t>
            </w:r>
            <w:r>
              <w:rPr>
                <w:rFonts w:hint="eastAsia" w:ascii="仿宋" w:hAnsi="仿宋" w:eastAsia="仿宋" w:cs="仿宋"/>
                <w:kern w:val="0"/>
                <w:sz w:val="30"/>
                <w:szCs w:val="30"/>
                <w:highlight w:val="none"/>
                <w:lang w:val="en-US" w:eastAsia="zh-CN"/>
              </w:rPr>
              <w:t>1,532.33</w:t>
            </w:r>
            <w:r>
              <w:rPr>
                <w:rFonts w:hint="eastAsia" w:ascii="仿宋" w:hAnsi="仿宋" w:eastAsia="仿宋" w:cs="仿宋"/>
                <w:kern w:val="0"/>
                <w:sz w:val="30"/>
                <w:szCs w:val="30"/>
                <w:highlight w:val="none"/>
              </w:rPr>
              <w:t>万元，公用支出</w:t>
            </w:r>
            <w:r>
              <w:rPr>
                <w:rFonts w:hint="eastAsia" w:ascii="仿宋" w:hAnsi="仿宋" w:eastAsia="仿宋" w:cs="仿宋"/>
                <w:kern w:val="0"/>
                <w:sz w:val="30"/>
                <w:szCs w:val="30"/>
                <w:highlight w:val="none"/>
                <w:lang w:val="en-US" w:eastAsia="zh-CN"/>
              </w:rPr>
              <w:t>375.42</w:t>
            </w:r>
            <w:r>
              <w:rPr>
                <w:rFonts w:hint="eastAsia" w:ascii="仿宋" w:hAnsi="仿宋" w:eastAsia="仿宋" w:cs="仿宋"/>
                <w:kern w:val="0"/>
                <w:sz w:val="30"/>
                <w:szCs w:val="30"/>
                <w:highlight w:val="none"/>
              </w:rPr>
              <w:t>万元</w:t>
            </w:r>
            <w:r>
              <w:rPr>
                <w:rFonts w:hint="eastAsia" w:ascii="仿宋" w:hAnsi="仿宋" w:eastAsia="仿宋" w:cs="仿宋"/>
                <w:kern w:val="0"/>
                <w:sz w:val="30"/>
                <w:szCs w:val="30"/>
                <w:highlight w:val="none"/>
                <w:lang w:eastAsia="zh-CN"/>
              </w:rPr>
              <w:t>。</w:t>
            </w:r>
            <w:r>
              <w:rPr>
                <w:rFonts w:hint="eastAsia" w:ascii="仿宋" w:hAnsi="仿宋" w:eastAsia="仿宋" w:cs="仿宋"/>
                <w:color w:val="auto"/>
                <w:kern w:val="0"/>
                <w:sz w:val="30"/>
                <w:szCs w:val="30"/>
                <w:highlight w:val="none"/>
              </w:rPr>
              <w:t>公用支出中“三公”经费合计</w:t>
            </w:r>
            <w:r>
              <w:rPr>
                <w:rFonts w:hint="eastAsia" w:ascii="仿宋" w:hAnsi="仿宋" w:eastAsia="仿宋" w:cs="仿宋"/>
                <w:color w:val="auto"/>
                <w:kern w:val="0"/>
                <w:sz w:val="30"/>
                <w:szCs w:val="30"/>
                <w:highlight w:val="none"/>
                <w:lang w:val="en-US" w:eastAsia="zh-CN"/>
              </w:rPr>
              <w:t>22.33</w:t>
            </w:r>
            <w:r>
              <w:rPr>
                <w:rFonts w:hint="eastAsia" w:ascii="仿宋" w:hAnsi="仿宋" w:eastAsia="仿宋" w:cs="仿宋"/>
                <w:color w:val="auto"/>
                <w:kern w:val="0"/>
                <w:sz w:val="30"/>
                <w:szCs w:val="30"/>
                <w:highlight w:val="none"/>
              </w:rPr>
              <w:t>万元，其中公务接待费</w:t>
            </w:r>
            <w:r>
              <w:rPr>
                <w:rFonts w:hint="eastAsia" w:ascii="仿宋" w:hAnsi="仿宋" w:eastAsia="仿宋" w:cs="仿宋"/>
                <w:color w:val="auto"/>
                <w:kern w:val="0"/>
                <w:sz w:val="30"/>
                <w:szCs w:val="30"/>
                <w:highlight w:val="none"/>
                <w:lang w:val="en-US" w:eastAsia="zh-CN"/>
              </w:rPr>
              <w:t>6.20</w:t>
            </w:r>
            <w:r>
              <w:rPr>
                <w:rFonts w:hint="eastAsia" w:ascii="仿宋" w:hAnsi="仿宋" w:eastAsia="仿宋" w:cs="仿宋"/>
                <w:color w:val="auto"/>
                <w:kern w:val="0"/>
                <w:sz w:val="30"/>
                <w:szCs w:val="30"/>
                <w:highlight w:val="none"/>
              </w:rPr>
              <w:t>万元，公务用车维护</w:t>
            </w:r>
            <w:r>
              <w:rPr>
                <w:rFonts w:hint="eastAsia" w:ascii="仿宋" w:hAnsi="仿宋" w:eastAsia="仿宋" w:cs="仿宋"/>
                <w:color w:val="auto"/>
                <w:kern w:val="0"/>
                <w:sz w:val="30"/>
                <w:szCs w:val="30"/>
                <w:highlight w:val="none"/>
                <w:lang w:val="en-US" w:eastAsia="zh-CN"/>
              </w:rPr>
              <w:t>6.13</w:t>
            </w:r>
            <w:r>
              <w:rPr>
                <w:rFonts w:hint="eastAsia" w:ascii="仿宋" w:hAnsi="仿宋" w:eastAsia="仿宋" w:cs="仿宋"/>
                <w:color w:val="auto"/>
                <w:kern w:val="0"/>
                <w:sz w:val="30"/>
                <w:szCs w:val="30"/>
                <w:highlight w:val="none"/>
              </w:rPr>
              <w:t>万</w:t>
            </w:r>
            <w:r>
              <w:rPr>
                <w:rFonts w:hint="eastAsia" w:ascii="仿宋" w:hAnsi="仿宋" w:eastAsia="仿宋" w:cs="仿宋"/>
                <w:color w:val="auto"/>
                <w:kern w:val="0"/>
                <w:sz w:val="30"/>
                <w:szCs w:val="30"/>
                <w:highlight w:val="none"/>
              </w:rPr>
              <w:t>元，公务用车购置费0万元,因公出国0万元。</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（二）专项支出</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1、专项资金安排落实、总投入情况分析</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2021</w:t>
            </w:r>
            <w:r>
              <w:rPr>
                <w:rFonts w:hint="eastAsia" w:ascii="仿宋" w:hAnsi="仿宋" w:eastAsia="仿宋" w:cs="仿宋"/>
                <w:kern w:val="0"/>
                <w:sz w:val="30"/>
                <w:szCs w:val="30"/>
                <w:highlight w:val="none"/>
              </w:rPr>
              <w:t>年各级财政安排农业农村局专项资金共</w:t>
            </w:r>
            <w:r>
              <w:rPr>
                <w:rFonts w:hint="eastAsia" w:ascii="仿宋" w:hAnsi="仿宋" w:eastAsia="仿宋" w:cs="仿宋"/>
                <w:kern w:val="0"/>
                <w:sz w:val="30"/>
                <w:szCs w:val="30"/>
                <w:highlight w:val="none"/>
                <w:lang w:val="en-US" w:eastAsia="zh-CN"/>
              </w:rPr>
              <w:t>12,227.41</w:t>
            </w:r>
            <w:r>
              <w:rPr>
                <w:rFonts w:hint="eastAsia" w:ascii="仿宋" w:hAnsi="仿宋" w:eastAsia="仿宋" w:cs="仿宋"/>
                <w:kern w:val="0"/>
                <w:sz w:val="30"/>
                <w:szCs w:val="30"/>
                <w:highlight w:val="none"/>
              </w:rPr>
              <w:t>万元。其中：高标准农田建设</w:t>
            </w:r>
            <w:r>
              <w:rPr>
                <w:rFonts w:hint="eastAsia" w:ascii="仿宋" w:hAnsi="仿宋" w:eastAsia="仿宋" w:cs="仿宋"/>
                <w:kern w:val="0"/>
                <w:sz w:val="30"/>
                <w:szCs w:val="30"/>
                <w:highlight w:val="none"/>
                <w:lang w:val="en-US" w:eastAsia="zh-CN"/>
              </w:rPr>
              <w:t>434.17万元、</w:t>
            </w:r>
            <w:r>
              <w:rPr>
                <w:rFonts w:hint="eastAsia" w:ascii="仿宋" w:hAnsi="仿宋" w:eastAsia="仿宋" w:cs="仿宋"/>
                <w:kern w:val="0"/>
                <w:sz w:val="30"/>
                <w:szCs w:val="30"/>
                <w:highlight w:val="none"/>
              </w:rPr>
              <w:t>粮食高产创建</w:t>
            </w:r>
            <w:r>
              <w:rPr>
                <w:rFonts w:hint="eastAsia" w:ascii="仿宋" w:hAnsi="仿宋" w:eastAsia="仿宋" w:cs="仿宋"/>
                <w:kern w:val="0"/>
                <w:sz w:val="30"/>
                <w:szCs w:val="30"/>
                <w:highlight w:val="none"/>
                <w:lang w:val="en-US" w:eastAsia="zh-CN"/>
              </w:rPr>
              <w:t>2,874.88万元</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乡村振兴600万元、产业发展1,297.43万元</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面源污染410万元</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农村</w:t>
            </w:r>
            <w:r>
              <w:rPr>
                <w:rFonts w:hint="eastAsia" w:ascii="仿宋" w:hAnsi="仿宋" w:eastAsia="仿宋" w:cs="仿宋"/>
                <w:kern w:val="0"/>
                <w:sz w:val="30"/>
                <w:szCs w:val="30"/>
                <w:highlight w:val="none"/>
                <w:lang w:eastAsia="zh-CN"/>
              </w:rPr>
              <w:t>社会事业</w:t>
            </w:r>
            <w:r>
              <w:rPr>
                <w:rFonts w:hint="eastAsia" w:ascii="仿宋" w:hAnsi="仿宋" w:eastAsia="仿宋" w:cs="仿宋"/>
                <w:kern w:val="0"/>
                <w:sz w:val="30"/>
                <w:szCs w:val="30"/>
                <w:highlight w:val="none"/>
              </w:rPr>
              <w:t>等</w:t>
            </w:r>
            <w:r>
              <w:rPr>
                <w:rFonts w:hint="eastAsia" w:ascii="仿宋" w:hAnsi="仿宋" w:eastAsia="仿宋" w:cs="仿宋"/>
                <w:kern w:val="0"/>
                <w:sz w:val="30"/>
                <w:szCs w:val="30"/>
                <w:highlight w:val="none"/>
                <w:lang w:val="en-US" w:eastAsia="zh-CN"/>
              </w:rPr>
              <w:t>相关项目3,790.16万元、</w:t>
            </w:r>
            <w:r>
              <w:rPr>
                <w:rFonts w:hint="eastAsia" w:ascii="仿宋" w:hAnsi="仿宋" w:eastAsia="仿宋" w:cs="仿宋"/>
                <w:kern w:val="0"/>
                <w:sz w:val="30"/>
                <w:szCs w:val="30"/>
                <w:highlight w:val="none"/>
              </w:rPr>
              <w:t>其他项目</w:t>
            </w:r>
            <w:r>
              <w:rPr>
                <w:rFonts w:hint="eastAsia" w:ascii="仿宋" w:hAnsi="仿宋" w:eastAsia="仿宋" w:cs="仿宋"/>
                <w:kern w:val="0"/>
                <w:sz w:val="30"/>
                <w:szCs w:val="30"/>
                <w:highlight w:val="none"/>
                <w:lang w:val="en-US" w:eastAsia="zh-CN"/>
              </w:rPr>
              <w:t>2,820.77</w:t>
            </w:r>
            <w:r>
              <w:rPr>
                <w:rFonts w:hint="eastAsia" w:ascii="仿宋" w:hAnsi="仿宋" w:eastAsia="仿宋" w:cs="仿宋"/>
                <w:kern w:val="0"/>
                <w:sz w:val="30"/>
                <w:szCs w:val="30"/>
                <w:highlight w:val="none"/>
              </w:rPr>
              <w:t>万元。</w:t>
            </w:r>
          </w:p>
          <w:p>
            <w:pPr>
              <w:spacing w:line="400" w:lineRule="exact"/>
              <w:ind w:firstLine="600" w:firstLineChars="200"/>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2、专项资金实际使用情况分析</w:t>
            </w:r>
          </w:p>
          <w:p>
            <w:pPr>
              <w:ind w:firstLine="600" w:firstLineChars="200"/>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各专项资金使用情况及拨付情况较为及时，其中早稻集中育秧补贴、适度规模经营补贴、稻谷价格补贴等补给资金全部由财政及时打卡发放</w:t>
            </w:r>
            <w:r>
              <w:rPr>
                <w:rFonts w:hint="eastAsia" w:ascii="仿宋" w:hAnsi="仿宋" w:eastAsia="仿宋" w:cs="仿宋"/>
                <w:color w:val="auto"/>
                <w:kern w:val="0"/>
                <w:sz w:val="30"/>
                <w:szCs w:val="30"/>
                <w:highlight w:val="none"/>
                <w:lang w:eastAsia="zh-CN"/>
              </w:rPr>
              <w:t>。</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3、专项资金管理情况</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为规范专项资金使用，提高专项资金使用效益，农业农村局主要采取四项措施。一是制订专项资金管理制度；二是各专项资金建立了专帐；三是制订了项目实施方案；四是认真组织项目验收，专项资金都做到了专款专用。</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三、单位专项组织实施情况</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（一）专项组织情况分析</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局机关规范较大的项目实施前，都成立了专门的项目领导班子，由局机关一名副职牵头，相关股室具体负责项目实施。重大项目则由县主要领导牵头组织项目实施，相关部门参与项目重大事项决策，项目乡镇安排一名主要领导负责项目实施的协调工作。</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所有专项资金使用前都制订了详细的实施方案，同时健全了项目资金管理、工程招标管理、政府采购管理、工程质量监理管理等各种管理制度。要求各相关责任人严格按照项目实施方案和相关制度实施项目。</w:t>
            </w:r>
          </w:p>
          <w:p>
            <w:pPr>
              <w:spacing w:line="400" w:lineRule="exact"/>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（二）专项管理情况分析</w:t>
            </w:r>
          </w:p>
          <w:p>
            <w:pPr>
              <w:ind w:firstLine="600" w:firstLineChars="200"/>
              <w:rPr>
                <w:rFonts w:ascii="仿宋" w:hAnsi="仿宋" w:eastAsia="仿宋" w:cs="仿宋"/>
                <w:color w:val="auto"/>
                <w:kern w:val="0"/>
                <w:sz w:val="30"/>
                <w:szCs w:val="30"/>
                <w:highlight w:val="none"/>
              </w:rPr>
            </w:pPr>
            <w:r>
              <w:rPr>
                <w:rFonts w:hint="eastAsia" w:ascii="仿宋" w:hAnsi="仿宋" w:eastAsia="仿宋" w:cs="仿宋"/>
                <w:kern w:val="0"/>
                <w:sz w:val="30"/>
                <w:szCs w:val="30"/>
                <w:highlight w:val="none"/>
                <w:lang w:val="en-US" w:eastAsia="zh-CN"/>
              </w:rPr>
              <w:t>2021</w:t>
            </w:r>
            <w:r>
              <w:rPr>
                <w:rFonts w:hint="eastAsia" w:ascii="仿宋" w:hAnsi="仿宋" w:eastAsia="仿宋" w:cs="仿宋"/>
                <w:kern w:val="0"/>
                <w:sz w:val="30"/>
                <w:szCs w:val="30"/>
                <w:highlight w:val="none"/>
              </w:rPr>
              <w:t>年农业农村局田间工程项目的工程采购都由中介机构进行公开招投标，县纪委和县招投标办全程参入招投标过程。</w:t>
            </w:r>
            <w:r>
              <w:rPr>
                <w:rFonts w:hint="eastAsia" w:ascii="仿宋" w:hAnsi="仿宋" w:eastAsia="仿宋" w:cs="仿宋"/>
                <w:color w:val="auto"/>
                <w:kern w:val="0"/>
                <w:sz w:val="30"/>
                <w:szCs w:val="30"/>
                <w:highlight w:val="none"/>
              </w:rPr>
              <w:t>集中育秧、病虫害统防统治、高标准农田建设等项目的货物采购都由县采购办统一采购，财政部门直接支付货物资金。项目实施过程中及完工后，农业农村局都邀请县财政、发改等部门进行检查验收，所有项目完工后，都由县审计局对项目资金使用情况进行审计，农业农村局所有专项资金使用都顺利通过了省相关部门的验收。</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四、单位整体支出绩效情况</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40" w:firstLineChars="200"/>
              <w:textAlignment w:val="auto"/>
              <w:rPr>
                <w:rFonts w:hint="eastAsia" w:ascii="仿宋" w:hAnsi="仿宋" w:eastAsia="仿宋" w:cs="仿宋"/>
                <w:snapToGrid/>
                <w:kern w:val="0"/>
                <w:sz w:val="30"/>
                <w:szCs w:val="30"/>
                <w:highlight w:val="none"/>
                <w:lang w:val="en-US" w:eastAsia="zh-CN" w:bidi="ar-SA"/>
              </w:rPr>
            </w:pPr>
            <w:r>
              <w:rPr>
                <w:rFonts w:hint="eastAsia" w:ascii="仿宋_GB2312" w:hAnsi="仿宋_GB2312" w:eastAsia="仿宋_GB2312" w:cs="仿宋_GB2312"/>
                <w:snapToGrid/>
                <w:spacing w:val="0"/>
                <w:kern w:val="0"/>
                <w:sz w:val="32"/>
                <w:szCs w:val="32"/>
                <w:highlight w:val="none"/>
                <w:lang w:val="en-US" w:eastAsia="zh-CN" w:bidi="ar"/>
              </w:rPr>
              <w:t>2021年，在县委县政府的正确领导和上级主管部门的精心指导下，面对新冠肺炎疫情带来的不利影响，局领导班子带领全局上下，坚持以习近平新时代中国特色社会主义思想为指导，认真贯彻落实中央、省市</w:t>
            </w:r>
            <w:r>
              <w:rPr>
                <w:rFonts w:hint="eastAsia" w:cs="仿宋_GB2312"/>
                <w:snapToGrid/>
                <w:spacing w:val="0"/>
                <w:kern w:val="0"/>
                <w:sz w:val="32"/>
                <w:szCs w:val="32"/>
                <w:highlight w:val="none"/>
                <w:lang w:val="en-US" w:eastAsia="zh-CN" w:bidi="ar"/>
              </w:rPr>
              <w:t>县</w:t>
            </w:r>
            <w:r>
              <w:rPr>
                <w:rFonts w:hint="eastAsia" w:ascii="仿宋_GB2312" w:hAnsi="仿宋_GB2312" w:eastAsia="仿宋_GB2312" w:cs="仿宋_GB2312"/>
                <w:snapToGrid/>
                <w:spacing w:val="0"/>
                <w:kern w:val="0"/>
                <w:sz w:val="32"/>
                <w:szCs w:val="32"/>
                <w:highlight w:val="none"/>
                <w:lang w:val="en-US" w:eastAsia="zh-CN" w:bidi="ar"/>
              </w:rPr>
              <w:t>关于农业农村工作的一系列会议精神</w:t>
            </w:r>
            <w:r>
              <w:rPr>
                <w:rFonts w:hint="eastAsia" w:cs="仿宋_GB2312"/>
                <w:snapToGrid/>
                <w:spacing w:val="0"/>
                <w:kern w:val="0"/>
                <w:sz w:val="32"/>
                <w:szCs w:val="32"/>
                <w:highlight w:val="none"/>
                <w:lang w:val="en-US" w:eastAsia="zh-CN" w:bidi="ar"/>
              </w:rPr>
              <w:t>，</w:t>
            </w:r>
            <w:r>
              <w:rPr>
                <w:rFonts w:hint="eastAsia" w:ascii="仿宋_GB2312" w:hAnsi="仿宋_GB2312" w:eastAsia="仿宋_GB2312" w:cs="仿宋_GB2312"/>
                <w:snapToGrid/>
                <w:spacing w:val="0"/>
                <w:kern w:val="0"/>
                <w:sz w:val="32"/>
                <w:szCs w:val="32"/>
                <w:highlight w:val="none"/>
                <w:lang w:val="en-US" w:eastAsia="zh-CN" w:bidi="ar"/>
              </w:rPr>
              <w:t>“三农”工作持续向好发展。</w:t>
            </w:r>
            <w:r>
              <w:rPr>
                <w:rFonts w:hint="eastAsia" w:cs="仿宋_GB2312"/>
                <w:b w:val="0"/>
                <w:bCs w:val="0"/>
                <w:snapToGrid/>
                <w:spacing w:val="0"/>
                <w:kern w:val="0"/>
                <w:sz w:val="32"/>
                <w:szCs w:val="32"/>
                <w:highlight w:val="none"/>
                <w:lang w:val="en-US" w:eastAsia="zh-CN" w:bidi="ar"/>
              </w:rPr>
              <w:t>2021年获</w:t>
            </w:r>
            <w:r>
              <w:rPr>
                <w:rFonts w:hint="eastAsia" w:cs="仿宋_GB2312"/>
                <w:b w:val="0"/>
                <w:bCs w:val="0"/>
                <w:color w:val="auto"/>
                <w:spacing w:val="0"/>
                <w:kern w:val="0"/>
                <w:sz w:val="32"/>
                <w:szCs w:val="32"/>
                <w:highlight w:val="none"/>
                <w:lang w:val="en-US" w:eastAsia="zh-CN"/>
              </w:rPr>
              <w:t>全国粮食生产先进集体。粮食生产（旱地育秧）纳入省政府重点工作大督查通报表扬行列。</w:t>
            </w:r>
            <w:r>
              <w:rPr>
                <w:rFonts w:hint="eastAsia" w:ascii="仿宋_GB2312" w:hAnsi="仿宋_GB2312" w:eastAsia="仿宋_GB2312" w:cs="仿宋_GB2312"/>
                <w:snapToGrid/>
                <w:spacing w:val="0"/>
                <w:kern w:val="0"/>
                <w:sz w:val="32"/>
                <w:szCs w:val="32"/>
                <w:highlight w:val="none"/>
                <w:lang w:val="en-US" w:eastAsia="zh-CN" w:bidi="ar"/>
              </w:rPr>
              <w:t>3月14日湖南日报以岳阳县“智慧”春耕令人大开眼界为题占据了头版头条；4月22</w:t>
            </w:r>
            <w:r>
              <w:rPr>
                <w:rFonts w:hint="eastAsia" w:ascii="仿宋" w:hAnsi="仿宋" w:eastAsia="仿宋" w:cs="仿宋"/>
                <w:snapToGrid/>
                <w:kern w:val="0"/>
                <w:sz w:val="30"/>
                <w:szCs w:val="30"/>
                <w:highlight w:val="none"/>
                <w:lang w:val="en-US" w:eastAsia="zh-CN" w:bidi="ar-SA"/>
              </w:rPr>
              <w:t>日农业农村部唐仁健部长来我县调研早稻生产，给予充分肯定。11月20日省长毛伟明来我县调研农业生产情况。9月13日，我县丰瑞农机专业合作社理事长董敏芳获“全国十佳农民”光荣称号。公田镇塘田村“养生稻”模式被“CCTV”农业频道、“学习强国”平台、岳阳日报竞相报道。</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一、2021年度工作情况</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抓粮食生产，巩固产粮大县地位。全县共完成粮食作物播种面积121.73万亩，全年粮食产量达到51.93万吨。完成早稻集中育秧秧田面积1.4万亩；新建筻口、公田标准化装备育秧基地22000㎡，带动全县新建育秧大棚60000㎡以上。新增插（抛）秧机36台，全县早稻机插育秧面积达到8.4万亩，较上年增2.3万亩。培育了连片育秧10亩以上专业化集中育秧主体212个，引导以丰瑞农机、细冬农机等2家标准化装备育秧基地和12家育供秧中心为龙头的专业化集中育秧主体开展为种粮大户、散小农户提供育、插秧等社会化服务12.6万亩，较上年增加了6.6万亩。发展高档优质稻43万亩，建设省级万亩示范片1个，集中连片万亩绿色标准化生产示范片3个，1000-8000亩连片的高档优质稻示范片12个，示范总面积达到20万亩。打造秋冬农业示范点建设4万亩，确保了高标准示范总面积达到6.4万亩，带动全县秋冬农作物播种总面积达到56万亩。已建设高标准农田4.05万亩，完成了两个灾害损毁修复项目，两个以工代赈项目以及新型经营主体参与高标准农田建设已开工。</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二）抓品牌创建，做强现代农业。出台了《关于加快现代农业产业发展的实施方案》，省级现代农业产业园成功获批，成立了岳阳县肉鸽产业发展领导小组，《岳阳王鸽产业发展规划(2021-2025)》通过专家评审，鸽产业发展全域推进，杨林街镇（肉鸽）获评“全国一村一品示范村镇”，岳阳王鸽获国家地理标志农产品和国家地理标志证明商标。农业产业化国家重点龙头企业1家（中粮米业（岳阳）有限公司）、农业产业化省级龙头企业（全民鸽业、天裕农业等）9家、农业产业化市级龙头企业（渔美康、拥军面业等）24家。行业标杆龙头企业1家（全民鸽业）。茯国家级品牌荣誉72个、省级品牌荣誉100个。2个区域公用品牌（岳阳王鸽、岳阳兰花萝卜），黄沙街镇（茶叶）获评湖南省农业产业强镇，铁山库区绿色种植发展提速。在月田、毛田等地建成艾叶基地1500亩，在毛田、公田、月田等地建成绿色粮食作物示范基地近万亩。公田镇塘田村近300亩“养生稻”模式被“CCTV”农业频道、“学习强国”平台、岳阳日报竞相报道。“三一工程”（“三分地养活一个人”粮食高产绿色优质科技创新工程的简称）进展顺利。7月13日，省农业农村厅组织双季优质超级杂交稻岳阳县基地现场测产，示范总面积2000亩，示范片平均亩产561.6公斤。</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三）抓乡村振兴，实施美丽乡村建设。先后实施了春节村庄清洁行动和G240、G107专项整治行动，开展了每月明查暗访和每期通报每季讲评，第三、四季度在全市农村人居环境整治暗访检查中分别排名第二、第一。农村改厕方面，制订了2021年农村改厕工作方案和问题厕所摸排整改方案，明确了目标任务和标准要求，开展了“首厕过关”业务培训现场会，成立了由5人组成的县级改厕工作督导组，通过印制政策明白卡、施工技术指南，以及村村响等广泛开展农村改厕宣传动员。全县15000个户厕和19个公厕任务，分别已完成12400个和19个。对全县2013以来有财政资金支持的农村改厕启动了全面摸排整改，共发现不能正常使用问题厕所32个，现已全面完成整改。2019-2020年的整改任务基本完成。美丽乡村示范创建方面，共申报省级精品乡村2个，美丽乡村3个，市级美丽乡村、美丽屋场各5个，县委农办、县农业农村局组织专人多次组织现场业务指导和工作督导，每个示范创建村都安排了驻村工作队和后盾单位开展帮扶，各项创建工作均已完成。</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00" w:firstLineChars="200"/>
              <w:textAlignment w:val="auto"/>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四）抓生态整治，推进生态农业绿色发展。开展农业面源污染治理。一是推进受污染耕地安全利用。对严格管控区7200亩耕地主推油菜+牧草+饲料玉米+花卉+药材的种植模式，全县重度污染区耕地已全部退出水稻种植，种植结构调整已取得阶段性的成效。二是推进农药化肥减量。召开了4次化肥减量增效培训会，进行了大面积宣传，开展了专项督查，推广测土配方肥，推广有机肥种植和水肥一体化，商品有机肥应用数量1.7万吨以上、水肥一体化应用面积1.8万亩以上。三是开展农药包装废弃物回收。在3个乡镇开展了试点示范，目前，我县作为全市农药包装废弃物回收工作整县推进县，正在全县全域推广。</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（五）抓质量监管，保舌尖上安全</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both"/>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今年来，我局坚守农产品质量安全工作底线，全县未发生较大农产品质量安全责任事件，执法大队联合种子管理股、农药监管股、生猪定点屠宰中心、农安股等，立案17起，移交市场监督管理局2起，调查重大违法案件2起。</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（六）抓改革推进，维护农民合法权益</w:t>
            </w:r>
          </w:p>
          <w:p>
            <w:pPr>
              <w:pStyle w:val="6"/>
              <w:keepNext w:val="0"/>
              <w:keepLines w:val="0"/>
              <w:pageBreakBefore w:val="0"/>
              <w:widowControl w:val="0"/>
              <w:kinsoku/>
              <w:wordWrap w:val="0"/>
              <w:overflowPunct/>
              <w:topLinePunct/>
              <w:autoSpaceDE/>
              <w:autoSpaceDN/>
              <w:bidi w:val="0"/>
              <w:adjustRightInd/>
              <w:snapToGrid/>
              <w:spacing w:line="560" w:lineRule="exac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9月15日，县农业综合行政执法局和执法大队挂牌成立。黄沙街茶叶示范场改制工作有条不紊推进。6月份开始，对2018年以来，涉及“一卡通”办理和管理及享受财政补贴项目和标准、补贴资金落实情况进行了核查。</w:t>
            </w:r>
          </w:p>
          <w:p>
            <w:pPr>
              <w:keepNext w:val="0"/>
              <w:keepLines w:val="0"/>
              <w:pageBreakBefore w:val="0"/>
              <w:widowControl w:val="0"/>
              <w:kinsoku/>
              <w:wordWrap w:val="0"/>
              <w:overflowPunct/>
              <w:topLinePunct/>
              <w:autoSpaceDE/>
              <w:autoSpaceDN/>
              <w:bidi w:val="0"/>
              <w:adjustRightInd/>
              <w:snapToGrid/>
              <w:spacing w:line="560" w:lineRule="exact"/>
              <w:ind w:firstLine="600" w:firstLineChars="200"/>
              <w:jc w:val="left"/>
              <w:textAlignment w:val="auto"/>
              <w:outlineLvl w:val="9"/>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（七）抓争资引项，夯实农业发展基础</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00" w:firstLineChars="200"/>
              <w:textAlignment w:val="auto"/>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2021年度我局除了高标准农田建设项目、耕地地力保护、粮食生产大县奖励资金、粮食绿色高质高效行动、农村户用厕所、公厕改造和千万工程全域推进项目、受污染耕地安全利用等普惠性项目外，还争取到2021年度农村人居环境整治建设项目、2021年岳阳县省级现代农业产业园、省级农村产业融合发展示范园建设项目、岳阳县洞庭湖流域黄沙街镇片区绿色发展示范工程、产油大县等5个竞争性项目。2021年度我局争取了总投资51819.3万元的国家重点投入。成功引进洞庭鹿角水寨旅游项目、天裕酒店菜生产项目、渔美康年产2500吨水产动保投入品项目（第三期）。</w:t>
            </w:r>
          </w:p>
          <w:p>
            <w:pPr>
              <w:pStyle w:val="5"/>
              <w:keepNext w:val="0"/>
              <w:keepLines w:val="0"/>
              <w:pageBreakBefore w:val="0"/>
              <w:widowControl w:val="0"/>
              <w:kinsoku/>
              <w:wordWrap w:val="0"/>
              <w:overflowPunct/>
              <w:topLinePunct/>
              <w:autoSpaceDE/>
              <w:autoSpaceDN/>
              <w:bidi w:val="0"/>
              <w:adjustRightInd/>
              <w:snapToGrid/>
              <w:spacing w:after="0" w:line="560" w:lineRule="exact"/>
              <w:ind w:firstLine="600" w:firstLineChars="200"/>
              <w:textAlignment w:val="auto"/>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八）抓日常工作，促目标任务全面实现。一年来全系统干部职工齐心协力，安全生产平安稳定、新冠疫情防控有效控制，扫黑除恶、综治维稳有序推进。依法行政法、“最多跑一次改革”工作全面优化，营商环境，行政审批服务全面改善；财务管理、项目监管健康运行。2021年获评第三批全国农村创业创新典型县、国家级粮食生产先进集体、第一批全国农作物病虫害绿色防控示范县、获湖南省“一村一品”重点村（岳阳县黄沙街镇三和村（茶叶）、岳阳县新墙镇清水村（葡萄））、全国农业社会化服务创新试点县、2021年国家农民合作社示范社和全国农民用水合作示范组织（岳阳县幼雄水稻专业合作社、岳阳县好运来生态养鸡专业合作社）等。</w:t>
            </w:r>
          </w:p>
          <w:p>
            <w:pPr>
              <w:spacing w:line="560" w:lineRule="exact"/>
              <w:ind w:firstLine="600" w:firstLineChars="200"/>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五、存在的主要问题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一是农业产业发展上，特色产业不突出，农业龙头企业不多不强。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二是绩效管理理念有待进一步增强。虽然预算单位对绩效的理念有了一定的了解，但长期以来形成的“重安排，轻监督；重使用，轻绩效”的思想短期内还存在，认为只要资金使用合法合规就行，忽视了财政资金的使用绩效。</w:t>
            </w:r>
          </w:p>
          <w:p>
            <w:pPr>
              <w:numPr>
                <w:ilvl w:val="0"/>
                <w:numId w:val="1"/>
              </w:numPr>
              <w:spacing w:line="560" w:lineRule="exact"/>
              <w:ind w:firstLine="600" w:firstLineChars="200"/>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改进措施和有关建议</w:t>
            </w:r>
          </w:p>
          <w:p>
            <w:pPr>
              <w:numPr>
                <w:ilvl w:val="0"/>
                <w:numId w:val="0"/>
              </w:numPr>
              <w:spacing w:line="560" w:lineRule="exact"/>
              <w:ind w:firstLine="600" w:firstLineChars="200"/>
              <w:rPr>
                <w:rFonts w:hint="default"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（一）合理整合区域资源。龙头企业应围绕主导优势产业群，整合区域资源，完善产业配套体系，岳阳县应将优质产区聚齐起来，形成产业集群，完善物流体系，着力打造农产品区域品牌，完善企业产业链。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二）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highlight w:val="none"/>
                <w:lang w:val="en-US" w:eastAsia="zh-CN" w:bidi="ar-SA"/>
              </w:rPr>
            </w:pPr>
            <w:r>
              <w:rPr>
                <w:rFonts w:hint="eastAsia" w:ascii="仿宋" w:hAnsi="仿宋" w:eastAsia="仿宋" w:cs="仿宋"/>
                <w:snapToGrid/>
                <w:kern w:val="0"/>
                <w:sz w:val="30"/>
                <w:szCs w:val="30"/>
                <w:highlight w:val="none"/>
                <w:lang w:val="en-US" w:eastAsia="zh-CN" w:bidi="ar-SA"/>
              </w:rPr>
              <w:t>（三）加大绩效评价结果应用力度。强化资金管理责任主体绩效意识，同时，将评价结果向各预算单位和项目实施单位通报，并将评价结果向社会公开。</w:t>
            </w:r>
          </w:p>
          <w:p>
            <w:pPr>
              <w:rPr>
                <w:rFonts w:eastAsia="楷体_GB2312"/>
                <w:bCs/>
                <w:sz w:val="28"/>
                <w:szCs w:val="28"/>
                <w:highlight w:val="none"/>
              </w:rPr>
            </w:pPr>
          </w:p>
        </w:tc>
      </w:tr>
    </w:tbl>
    <w:p>
      <w:pPr>
        <w:spacing w:beforeLines="5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86B8"/>
    <w:multiLevelType w:val="singleLevel"/>
    <w:tmpl w:val="128686B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Tg1M2VhNWUxYjQyZjc5MjgzYzhiMjY2MjM4OGIifQ=="/>
  </w:docVars>
  <w:rsids>
    <w:rsidRoot w:val="00000000"/>
    <w:rsid w:val="0AB71468"/>
    <w:rsid w:val="0AEA214C"/>
    <w:rsid w:val="101E3ABA"/>
    <w:rsid w:val="113455D2"/>
    <w:rsid w:val="116705E6"/>
    <w:rsid w:val="18FF74A2"/>
    <w:rsid w:val="1D3E0C44"/>
    <w:rsid w:val="1DF70F50"/>
    <w:rsid w:val="1E2060F9"/>
    <w:rsid w:val="1E917629"/>
    <w:rsid w:val="20DC20D0"/>
    <w:rsid w:val="26841A75"/>
    <w:rsid w:val="2AF53406"/>
    <w:rsid w:val="2B841146"/>
    <w:rsid w:val="2D0B4DE3"/>
    <w:rsid w:val="2FB24B4A"/>
    <w:rsid w:val="382719A7"/>
    <w:rsid w:val="3D325C6A"/>
    <w:rsid w:val="3DE8401A"/>
    <w:rsid w:val="46286584"/>
    <w:rsid w:val="466E497D"/>
    <w:rsid w:val="46AA5E9C"/>
    <w:rsid w:val="47A174F3"/>
    <w:rsid w:val="48185359"/>
    <w:rsid w:val="4C367D0B"/>
    <w:rsid w:val="4C602F13"/>
    <w:rsid w:val="4C695BE7"/>
    <w:rsid w:val="4EB87A5C"/>
    <w:rsid w:val="51CF2E56"/>
    <w:rsid w:val="54EE5E5A"/>
    <w:rsid w:val="57061C27"/>
    <w:rsid w:val="5AF34850"/>
    <w:rsid w:val="5C53518F"/>
    <w:rsid w:val="5D1B5419"/>
    <w:rsid w:val="5F3069D5"/>
    <w:rsid w:val="64B70542"/>
    <w:rsid w:val="651B33FE"/>
    <w:rsid w:val="6602555C"/>
    <w:rsid w:val="697A09AA"/>
    <w:rsid w:val="6A76064B"/>
    <w:rsid w:val="70961FF2"/>
    <w:rsid w:val="7ADD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pPr>
      <w:spacing w:line="240" w:lineRule="auto"/>
    </w:pPr>
    <w:rPr>
      <w:rFonts w:hAnsi="Courier New"/>
      <w:sz w:val="21"/>
      <w:szCs w:val="21"/>
    </w:rPr>
  </w:style>
  <w:style w:type="paragraph" w:customStyle="1" w:styleId="5">
    <w:name w:val="正文文本1"/>
    <w:qFormat/>
    <w:uiPriority w:val="0"/>
    <w:pPr>
      <w:widowControl w:val="0"/>
      <w:spacing w:after="120" w:line="560" w:lineRule="exact"/>
    </w:pPr>
    <w:rPr>
      <w:rFonts w:ascii="仿宋_GB2312" w:hAnsi="仿宋_GB2312" w:eastAsia="仿宋_GB2312" w:cs="Times New Roman"/>
      <w:snapToGrid w:val="0"/>
      <w:sz w:val="32"/>
      <w:szCs w:val="22"/>
      <w:lang w:val="en-GB" w:eastAsia="zh-CN" w:bidi="ar-SA"/>
    </w:rPr>
  </w:style>
  <w:style w:type="paragraph" w:customStyle="1" w:styleId="6">
    <w:name w:val="正文-公1"/>
    <w:basedOn w:val="1"/>
    <w:qFormat/>
    <w:uiPriority w:val="0"/>
    <w:pPr>
      <w:ind w:firstLine="200" w:firstLineChars="200"/>
    </w:pPr>
    <w:rPr>
      <w:color w:val="00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7125</Words>
  <Characters>7758</Characters>
  <Lines>0</Lines>
  <Paragraphs>0</Paragraphs>
  <TotalTime>12</TotalTime>
  <ScaleCrop>false</ScaleCrop>
  <LinksUpToDate>false</LinksUpToDate>
  <CharactersWithSpaces>7941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2022-06-16T09:07:00Z</dcterms:created>
  <dc:creator>lenovo</dc:creator>
  <cp:lastModifiedBy>Administrator</cp:lastModifiedBy>
  <cp:lastPrinted>2022-07-08T07:43:00Z</cp:lastPrinted>
  <dcterms:modified xsi:type="dcterms:W3CDTF">2023-02-14T02:05:38Z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2CAECF0D5CF743CA9F0AD4EF4C62A395</vt:lpwstr>
  </property>
</Properties>
</file>