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rFonts w:hint="eastAsia"/>
          <w:sz w:val="84"/>
          <w:szCs w:val="84"/>
          <w:lang w:eastAsia="zh-CN"/>
        </w:rPr>
      </w:pPr>
      <w:r>
        <w:rPr>
          <w:rFonts w:hint="eastAsia"/>
          <w:sz w:val="84"/>
          <w:szCs w:val="84"/>
          <w:lang w:eastAsia="zh-CN"/>
        </w:rPr>
        <w:t>岳阳县农业广播电视学校</w:t>
      </w:r>
    </w:p>
    <w:p>
      <w:pPr>
        <w:pStyle w:val="10"/>
        <w:jc w:val="center"/>
        <w:rPr>
          <w:sz w:val="84"/>
          <w:szCs w:val="84"/>
        </w:rPr>
      </w:pPr>
      <w:r>
        <w:rPr>
          <w:rFonts w:hint="eastAsia"/>
          <w:sz w:val="84"/>
          <w:szCs w:val="84"/>
        </w:rPr>
        <w:t>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00" w:lineRule="exact"/>
        <w:jc w:val="both"/>
        <w:rPr>
          <w:b/>
          <w:sz w:val="36"/>
          <w:szCs w:val="28"/>
        </w:rPr>
      </w:pPr>
    </w:p>
    <w:p>
      <w:pPr>
        <w:pStyle w:val="10"/>
        <w:spacing w:line="500" w:lineRule="exact"/>
        <w:jc w:val="both"/>
        <w:rPr>
          <w:b/>
          <w:sz w:val="36"/>
          <w:szCs w:val="28"/>
        </w:rPr>
      </w:pPr>
    </w:p>
    <w:p>
      <w:pPr>
        <w:pStyle w:val="10"/>
        <w:keepNext w:val="0"/>
        <w:keepLines w:val="0"/>
        <w:pageBreakBefore w:val="0"/>
        <w:widowControl w:val="0"/>
        <w:kinsoku/>
        <w:wordWrap/>
        <w:overflowPunct/>
        <w:topLinePunct w:val="0"/>
        <w:bidi w:val="0"/>
        <w:snapToGrid/>
        <w:spacing w:line="480" w:lineRule="exact"/>
        <w:jc w:val="center"/>
        <w:textAlignment w:val="auto"/>
        <w:rPr>
          <w:b/>
          <w:sz w:val="36"/>
          <w:szCs w:val="28"/>
        </w:rPr>
      </w:pPr>
      <w:r>
        <w:rPr>
          <w:rFonts w:hint="eastAsia"/>
          <w:b/>
          <w:sz w:val="36"/>
          <w:szCs w:val="28"/>
        </w:rPr>
        <w:t>目录</w:t>
      </w:r>
    </w:p>
    <w:p>
      <w:pPr>
        <w:pStyle w:val="10"/>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b/>
          <w:sz w:val="28"/>
          <w:szCs w:val="28"/>
        </w:rPr>
        <w:t>第一部分</w:t>
      </w:r>
      <w:r>
        <w:rPr>
          <w:rFonts w:hint="eastAsia"/>
          <w:b/>
          <w:sz w:val="28"/>
          <w:szCs w:val="28"/>
          <w:lang w:eastAsia="zh-CN"/>
        </w:rPr>
        <w:t>农广校</w:t>
      </w:r>
      <w:r>
        <w:rPr>
          <w:rFonts w:hint="eastAsia"/>
          <w:b/>
          <w:sz w:val="28"/>
          <w:szCs w:val="28"/>
        </w:rPr>
        <w:t>单位概况</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hint="eastAsia" w:cs="仿宋_GB2312" w:asciiTheme="minorEastAsia" w:hAnsiTheme="minorEastAsia" w:eastAsiaTheme="minorEastAsia"/>
          <w:sz w:val="28"/>
          <w:szCs w:val="28"/>
          <w:highlight w:val="none"/>
          <w:lang w:val="en-US" w:eastAsia="zh-CN"/>
        </w:rPr>
      </w:pPr>
      <w:r>
        <w:rPr>
          <w:rFonts w:cs="仿宋_GB2312" w:asciiTheme="minorEastAsia" w:hAnsiTheme="minorEastAsia" w:eastAsiaTheme="minorEastAsia"/>
          <w:sz w:val="28"/>
          <w:szCs w:val="28"/>
        </w:rPr>
        <w:t>二、机构设置</w:t>
      </w:r>
      <w:r>
        <w:rPr>
          <w:rFonts w:hint="eastAsia" w:cs="仿宋_GB2312" w:asciiTheme="minorEastAsia" w:hAnsiTheme="minorEastAsia" w:eastAsiaTheme="minorEastAsia"/>
          <w:sz w:val="28"/>
          <w:szCs w:val="28"/>
          <w:highlight w:val="none"/>
          <w:lang w:val="en-US" w:eastAsia="zh-CN"/>
        </w:rPr>
        <w:t>及部门决算单位构成</w:t>
      </w:r>
    </w:p>
    <w:p>
      <w:pPr>
        <w:pStyle w:val="10"/>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keepNext w:val="0"/>
        <w:keepLines w:val="0"/>
        <w:pageBreakBefore w:val="0"/>
        <w:widowControl w:val="0"/>
        <w:kinsoku/>
        <w:wordWrap/>
        <w:overflowPunct/>
        <w:topLinePunct w:val="0"/>
        <w:bidi w:val="0"/>
        <w:snapToGrid/>
        <w:spacing w:line="480" w:lineRule="exact"/>
        <w:textAlignment w:val="auto"/>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keepNext w:val="0"/>
        <w:keepLines w:val="0"/>
        <w:pageBreakBefore w:val="0"/>
        <w:widowControl w:val="0"/>
        <w:kinsoku/>
        <w:wordWrap/>
        <w:overflowPunct/>
        <w:topLinePunct w:val="0"/>
        <w:bidi w:val="0"/>
        <w:snapToGrid/>
        <w:spacing w:line="480" w:lineRule="exact"/>
        <w:ind w:firstLine="700" w:firstLineChars="250"/>
        <w:jc w:val="left"/>
        <w:textAlignment w:val="auto"/>
        <w:rPr>
          <w:rFonts w:ascii="仿宋_GB2312" w:hAnsi="仿宋_GB2312" w:cs="仿宋_GB2312"/>
          <w:sz w:val="28"/>
          <w:szCs w:val="28"/>
        </w:rPr>
      </w:pPr>
      <w:r>
        <w:rPr>
          <w:rFonts w:ascii="仿宋_GB2312" w:hAnsi="仿宋_GB2312" w:cs="仿宋_GB2312"/>
          <w:sz w:val="28"/>
          <w:szCs w:val="28"/>
        </w:rPr>
        <w:t>二、收入决算情况说明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keepNext w:val="0"/>
        <w:keepLines w:val="0"/>
        <w:pageBreakBefore w:val="0"/>
        <w:widowControl w:val="0"/>
        <w:kinsoku/>
        <w:wordWrap/>
        <w:overflowPunct/>
        <w:topLinePunct w:val="0"/>
        <w:autoSpaceDE w:val="0"/>
        <w:autoSpaceDN w:val="0"/>
        <w:bidi w:val="0"/>
        <w:adjustRightInd w:val="0"/>
        <w:snapToGrid/>
        <w:spacing w:line="480" w:lineRule="exact"/>
        <w:ind w:firstLine="700" w:firstLineChars="250"/>
        <w:jc w:val="left"/>
        <w:textAlignment w:val="auto"/>
        <w:rPr>
          <w:rFonts w:ascii="仿宋_GB2312" w:hAnsi="仿宋_GB2312" w:cs="仿宋_GB2312" w:eastAsiaTheme="minorEastAsia"/>
          <w:sz w:val="28"/>
          <w:szCs w:val="28"/>
        </w:rPr>
      </w:pPr>
      <w:r>
        <w:rPr>
          <w:rFonts w:hint="eastAsia" w:ascii="仿宋_GB2312" w:hAnsi="仿宋_GB2312" w:cs="仿宋_GB2312"/>
          <w:color w:val="000000"/>
          <w:kern w:val="0"/>
          <w:sz w:val="28"/>
          <w:szCs w:val="28"/>
          <w:lang w:eastAsia="zh-CN"/>
        </w:rPr>
        <w:t>九、</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pStyle w:val="10"/>
        <w:keepNext w:val="0"/>
        <w:keepLines w:val="0"/>
        <w:pageBreakBefore w:val="0"/>
        <w:widowControl w:val="0"/>
        <w:kinsoku/>
        <w:wordWrap/>
        <w:overflowPunct/>
        <w:topLinePunct w:val="0"/>
        <w:bidi w:val="0"/>
        <w:snapToGrid/>
        <w:spacing w:line="480" w:lineRule="exact"/>
        <w:ind w:firstLine="700" w:firstLineChars="250"/>
        <w:textAlignment w:val="auto"/>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十、其他重要事项情况说明</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keepNext w:val="0"/>
        <w:keepLines w:val="0"/>
        <w:pageBreakBefore w:val="0"/>
        <w:widowControl w:val="0"/>
        <w:kinsoku/>
        <w:wordWrap/>
        <w:overflowPunct/>
        <w:topLinePunct w:val="0"/>
        <w:autoSpaceDE w:val="0"/>
        <w:autoSpaceDN w:val="0"/>
        <w:bidi w:val="0"/>
        <w:adjustRightInd w:val="0"/>
        <w:snapToGrid/>
        <w:spacing w:line="480" w:lineRule="exact"/>
        <w:jc w:val="left"/>
        <w:textAlignment w:val="auto"/>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ind w:firstLine="2520" w:firstLineChars="300"/>
        <w:jc w:val="both"/>
        <w:outlineLvl w:val="0"/>
        <w:rPr>
          <w:sz w:val="84"/>
          <w:szCs w:val="84"/>
        </w:rPr>
      </w:pPr>
      <w:r>
        <w:rPr>
          <w:rFonts w:hint="eastAsia"/>
          <w:sz w:val="84"/>
          <w:szCs w:val="84"/>
          <w:lang w:eastAsia="zh-CN"/>
        </w:rPr>
        <w:t>农广校</w:t>
      </w: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ind w:left="720" w:firstLine="0" w:firstLineChars="0"/>
        <w:jc w:val="left"/>
        <w:rPr>
          <w:rFonts w:ascii="黑体" w:hAnsi="黑体" w:eastAsia="黑体"/>
          <w:sz w:val="32"/>
          <w:szCs w:val="32"/>
        </w:rPr>
      </w:pPr>
    </w:p>
    <w:p>
      <w:pPr>
        <w:pStyle w:val="11"/>
        <w:numPr>
          <w:ilvl w:val="0"/>
          <w:numId w:val="1"/>
        </w:numPr>
        <w:ind w:firstLineChars="0"/>
        <w:jc w:val="left"/>
        <w:outlineLvl w:val="0"/>
        <w:rPr>
          <w:rFonts w:ascii="黑体" w:hAnsi="黑体" w:eastAsia="黑体"/>
          <w:sz w:val="32"/>
          <w:szCs w:val="32"/>
        </w:rPr>
      </w:pPr>
      <w:r>
        <w:rPr>
          <w:rFonts w:ascii="黑体" w:hAnsi="黑体" w:eastAsia="黑体"/>
          <w:sz w:val="32"/>
          <w:szCs w:val="32"/>
        </w:rPr>
        <w:t>部门职责</w:t>
      </w:r>
    </w:p>
    <w:p>
      <w:pPr>
        <w:keepNext w:val="0"/>
        <w:keepLines w:val="0"/>
        <w:pageBreakBefore w:val="0"/>
        <w:widowControl w:val="0"/>
        <w:kinsoku/>
        <w:wordWrap/>
        <w:overflowPunct/>
        <w:topLinePunct w:val="0"/>
        <w:autoSpaceDE/>
        <w:autoSpaceDN/>
        <w:bidi w:val="0"/>
        <w:adjustRightInd/>
        <w:snapToGrid/>
        <w:spacing w:line="560" w:lineRule="atLeast"/>
        <w:ind w:firstLine="960" w:firstLineChars="300"/>
        <w:jc w:val="left"/>
        <w:textAlignment w:val="auto"/>
        <w:rPr>
          <w:rFonts w:ascii="仿宋" w:hAnsi="仿宋" w:eastAsia="仿宋" w:cs="仿宋"/>
          <w:sz w:val="32"/>
          <w:szCs w:val="32"/>
        </w:rPr>
      </w:pPr>
      <w:r>
        <w:rPr>
          <w:rFonts w:hint="eastAsia" w:ascii="仿宋" w:hAnsi="仿宋" w:eastAsia="仿宋" w:cs="仿宋"/>
          <w:sz w:val="32"/>
          <w:szCs w:val="32"/>
          <w:lang w:val="en-US" w:eastAsia="zh-CN"/>
        </w:rPr>
        <w:t>岳阳县农</w:t>
      </w:r>
      <w:r>
        <w:rPr>
          <w:rFonts w:hint="eastAsia" w:ascii="仿宋" w:hAnsi="仿宋" w:eastAsia="仿宋" w:cs="仿宋"/>
          <w:sz w:val="32"/>
          <w:szCs w:val="32"/>
          <w:lang w:eastAsia="zh-CN"/>
        </w:rPr>
        <w:t>业广播电视学校贯彻落实中央农业广播电视学校、湖南省农业广播电视学校办学政策和农民教育培训理念。</w:t>
      </w:r>
      <w:r>
        <w:rPr>
          <w:rFonts w:hint="eastAsia" w:ascii="仿宋" w:hAnsi="仿宋" w:eastAsia="仿宋" w:cs="仿宋"/>
          <w:sz w:val="32"/>
          <w:szCs w:val="32"/>
        </w:rPr>
        <w:t>主要</w:t>
      </w:r>
      <w:r>
        <w:rPr>
          <w:rFonts w:hint="eastAsia" w:ascii="仿宋" w:hAnsi="仿宋" w:eastAsia="仿宋" w:cs="仿宋"/>
          <w:sz w:val="32"/>
          <w:szCs w:val="32"/>
          <w:lang w:val="en-US" w:eastAsia="zh-CN"/>
        </w:rPr>
        <w:t>职能</w:t>
      </w:r>
      <w:r>
        <w:rPr>
          <w:rFonts w:hint="eastAsia" w:ascii="仿宋" w:hAnsi="仿宋" w:eastAsia="仿宋" w:cs="仿宋"/>
          <w:sz w:val="32"/>
          <w:szCs w:val="32"/>
        </w:rPr>
        <w:t>职责是</w:t>
      </w:r>
      <w:r>
        <w:rPr>
          <w:rFonts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 承担农村实用技术培训，农民素质教育，农村劳动力就业技能培训，农科教结合组织实施，农民教育培训等工作。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 承担远距离农业成人高等教育和中等职业教育工作。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 承担组织实施农民体育健身活动，承担农民体育协会工作。</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ascii="仿宋_GB2312" w:eastAsia="仿宋_GB2312" w:hAnsiTheme="minorEastAsia"/>
          <w:sz w:val="28"/>
          <w:szCs w:val="32"/>
        </w:rPr>
      </w:pPr>
      <w:r>
        <w:rPr>
          <w:rFonts w:hint="eastAsia" w:ascii="仿宋" w:hAnsi="仿宋" w:eastAsia="仿宋" w:cs="仿宋"/>
          <w:sz w:val="32"/>
          <w:szCs w:val="32"/>
          <w:lang w:val="en-US" w:eastAsia="zh-CN"/>
        </w:rPr>
        <w:t>（四） 承担县农业农村局交办的其他工作。</w:t>
      </w:r>
    </w:p>
    <w:p>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w:t>
      </w:r>
      <w:r>
        <w:rPr>
          <w:rFonts w:hint="eastAsia" w:ascii="黑体" w:hAnsi="黑体" w:eastAsia="黑体"/>
          <w:bCs/>
          <w:kern w:val="0"/>
          <w:sz w:val="32"/>
          <w:szCs w:val="32"/>
          <w:lang w:val="en-US" w:eastAsia="zh-CN"/>
        </w:rPr>
        <w:t>部门</w:t>
      </w:r>
      <w:r>
        <w:rPr>
          <w:rFonts w:hint="eastAsia" w:ascii="黑体" w:hAnsi="黑体" w:eastAsia="黑体"/>
          <w:bCs/>
          <w:kern w:val="0"/>
          <w:sz w:val="32"/>
          <w:szCs w:val="32"/>
        </w:rPr>
        <w:t>决算单位构成</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内设机构设置。岳阳县农业广播电视学校为岳阳县农业农村局所属公益一类财政全额拨款副科级事业单位，财务独立核算。编制数8人，本部门在编在岗职工7人，退休3人。内设有3个股室：教务股、财务股、综合股。</w:t>
      </w:r>
    </w:p>
    <w:p>
      <w:pPr>
        <w:keepNext w:val="0"/>
        <w:keepLines w:val="0"/>
        <w:pageBreakBefore w:val="0"/>
        <w:widowControl w:val="0"/>
        <w:kinsoku/>
        <w:wordWrap/>
        <w:overflowPunct/>
        <w:topLinePunct w:val="0"/>
        <w:autoSpaceDE/>
        <w:autoSpaceDN/>
        <w:bidi w:val="0"/>
        <w:adjustRightInd/>
        <w:snapToGrid/>
        <w:spacing w:line="560" w:lineRule="atLeas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w:t>
      </w:r>
      <w:r>
        <w:rPr>
          <w:rFonts w:hint="eastAsia" w:ascii="仿宋" w:hAnsi="仿宋" w:eastAsia="仿宋" w:cs="仿宋"/>
          <w:sz w:val="32"/>
          <w:szCs w:val="32"/>
          <w:highlight w:val="none"/>
          <w:lang w:val="en-US" w:eastAsia="zh-CN"/>
        </w:rPr>
        <w:t>部门</w:t>
      </w:r>
      <w:r>
        <w:rPr>
          <w:rFonts w:hint="eastAsia" w:ascii="仿宋" w:hAnsi="仿宋" w:eastAsia="仿宋" w:cs="仿宋"/>
          <w:sz w:val="32"/>
          <w:szCs w:val="32"/>
          <w:lang w:val="en-US" w:eastAsia="zh-CN"/>
        </w:rPr>
        <w:t>决算单位构成。农广校2021年部门决算汇总公开单位构成为本级。</w:t>
      </w:r>
    </w:p>
    <w:p>
      <w:pPr>
        <w:jc w:val="left"/>
        <w:rPr>
          <w:rFonts w:ascii="仿宋_GB2312" w:eastAsia="仿宋_GB2312" w:hAnsiTheme="minorEastAsia"/>
          <w:sz w:val="28"/>
          <w:szCs w:val="3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outlineLvl w:val="0"/>
        <w:rPr>
          <w:rFonts w:hint="eastAsia" w:ascii="黑体" w:eastAsia="黑体" w:cs="黑体" w:hAnsiTheme="minorHAnsi"/>
          <w:color w:val="000000"/>
          <w:kern w:val="0"/>
          <w:sz w:val="70"/>
          <w:szCs w:val="70"/>
          <w:lang w:val="en-US" w:eastAsia="zh-CN" w:bidi="ar-SA"/>
        </w:rPr>
      </w:pPr>
      <w:r>
        <w:rPr>
          <w:rFonts w:hint="eastAsia" w:ascii="黑体" w:eastAsia="黑体" w:cs="黑体" w:hAnsiTheme="minorHAnsi"/>
          <w:color w:val="000000"/>
          <w:kern w:val="0"/>
          <w:sz w:val="70"/>
          <w:szCs w:val="70"/>
          <w:lang w:val="en-US" w:eastAsia="zh-CN" w:bidi="ar-SA"/>
        </w:rPr>
        <w:t>第二部分</w:t>
      </w:r>
    </w:p>
    <w:p>
      <w:pPr>
        <w:jc w:val="center"/>
        <w:outlineLvl w:val="0"/>
        <w:rPr>
          <w:rFonts w:hint="eastAsia" w:ascii="黑体" w:eastAsia="黑体" w:cs="黑体" w:hAnsiTheme="minorHAnsi"/>
          <w:color w:val="000000"/>
          <w:kern w:val="0"/>
          <w:sz w:val="70"/>
          <w:szCs w:val="70"/>
          <w:lang w:val="en-US" w:eastAsia="zh-CN" w:bidi="ar-SA"/>
        </w:rPr>
      </w:pPr>
    </w:p>
    <w:p>
      <w:pPr>
        <w:jc w:val="center"/>
        <w:outlineLvl w:val="0"/>
        <w:rPr>
          <w:rFonts w:hint="eastAsia" w:ascii="黑体" w:eastAsia="黑体" w:cs="黑体" w:hAnsiTheme="minorHAnsi"/>
          <w:color w:val="000000"/>
          <w:kern w:val="0"/>
          <w:sz w:val="70"/>
          <w:szCs w:val="70"/>
          <w:lang w:val="en-US" w:eastAsia="zh-CN" w:bidi="ar-SA"/>
        </w:rPr>
      </w:pPr>
      <w:r>
        <w:rPr>
          <w:rFonts w:hint="eastAsia" w:ascii="黑体" w:eastAsia="黑体" w:cs="黑体" w:hAnsiTheme="minorHAnsi"/>
          <w:color w:val="000000"/>
          <w:kern w:val="0"/>
          <w:sz w:val="70"/>
          <w:szCs w:val="70"/>
          <w:lang w:val="en-US" w:eastAsia="zh-CN" w:bidi="ar-SA"/>
        </w:rPr>
        <w:t>部门决算表</w:t>
      </w:r>
    </w:p>
    <w:p>
      <w:pPr>
        <w:jc w:val="center"/>
        <w:outlineLvl w:val="0"/>
        <w:rPr>
          <w:rFonts w:hint="eastAsia" w:ascii="黑体" w:eastAsia="黑体" w:cs="黑体" w:hAnsiTheme="minorHAnsi"/>
          <w:color w:val="000000"/>
          <w:kern w:val="0"/>
          <w:sz w:val="70"/>
          <w:szCs w:val="70"/>
          <w:lang w:val="en-US" w:eastAsia="zh-CN" w:bidi="ar-SA"/>
        </w:rPr>
      </w:pPr>
      <w:r>
        <w:rPr>
          <w:rFonts w:hint="eastAsia" w:ascii="黑体" w:eastAsia="黑体" w:cs="黑体" w:hAnsiTheme="minorHAnsi"/>
          <w:color w:val="000000"/>
          <w:kern w:val="0"/>
          <w:sz w:val="70"/>
          <w:szCs w:val="70"/>
          <w:lang w:val="en-US" w:eastAsia="zh-CN" w:bidi="ar-SA"/>
        </w:rPr>
        <w:t>（见附件）</w:t>
      </w:r>
    </w:p>
    <w:p>
      <w:pPr>
        <w:jc w:val="center"/>
        <w:rPr>
          <w:sz w:val="72"/>
          <w:szCs w:val="7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ind w:firstLine="2880" w:firstLineChars="400"/>
        <w:jc w:val="both"/>
        <w:rPr>
          <w:rFonts w:hint="eastAsia"/>
          <w:sz w:val="72"/>
          <w:szCs w:val="72"/>
        </w:rPr>
      </w:pPr>
    </w:p>
    <w:p>
      <w:pPr>
        <w:pStyle w:val="10"/>
        <w:ind w:firstLine="2880" w:firstLineChars="400"/>
        <w:jc w:val="both"/>
        <w:rPr>
          <w:rFonts w:hint="eastAsia"/>
          <w:sz w:val="72"/>
          <w:szCs w:val="72"/>
        </w:rPr>
      </w:pPr>
    </w:p>
    <w:p>
      <w:pPr>
        <w:pStyle w:val="10"/>
        <w:ind w:firstLine="2880" w:firstLineChars="400"/>
        <w:jc w:val="both"/>
        <w:rPr>
          <w:rFonts w:hint="eastAsia"/>
          <w:sz w:val="72"/>
          <w:szCs w:val="72"/>
        </w:rPr>
      </w:pPr>
    </w:p>
    <w:p>
      <w:pPr>
        <w:jc w:val="center"/>
        <w:outlineLvl w:val="0"/>
        <w:rPr>
          <w:rFonts w:hint="eastAsia" w:ascii="黑体" w:eastAsia="黑体" w:cs="黑体" w:hAnsiTheme="minorHAnsi"/>
          <w:color w:val="000000"/>
          <w:kern w:val="0"/>
          <w:sz w:val="70"/>
          <w:szCs w:val="70"/>
          <w:lang w:val="en-US" w:eastAsia="zh-CN" w:bidi="ar-SA"/>
        </w:rPr>
      </w:pPr>
      <w:r>
        <w:rPr>
          <w:rFonts w:hint="eastAsia" w:ascii="黑体" w:eastAsia="黑体" w:cs="黑体" w:hAnsiTheme="minorHAnsi"/>
          <w:color w:val="000000"/>
          <w:kern w:val="0"/>
          <w:sz w:val="70"/>
          <w:szCs w:val="70"/>
          <w:lang w:val="en-US" w:eastAsia="zh-CN" w:bidi="ar-SA"/>
        </w:rPr>
        <w:t>第三部分</w:t>
      </w:r>
    </w:p>
    <w:p>
      <w:pPr>
        <w:pStyle w:val="10"/>
        <w:jc w:val="center"/>
        <w:rPr>
          <w:sz w:val="70"/>
          <w:szCs w:val="70"/>
        </w:rPr>
      </w:pPr>
    </w:p>
    <w:p>
      <w:pPr>
        <w:pStyle w:val="10"/>
        <w:jc w:val="center"/>
        <w:outlineLvl w:val="0"/>
        <w:rPr>
          <w:sz w:val="70"/>
          <w:szCs w:val="70"/>
        </w:rPr>
      </w:pPr>
      <w:r>
        <w:rPr>
          <w:sz w:val="70"/>
          <w:szCs w:val="70"/>
        </w:rPr>
        <w:t>20</w:t>
      </w:r>
      <w:r>
        <w:rPr>
          <w:rFonts w:hint="eastAsia"/>
          <w:sz w:val="70"/>
          <w:szCs w:val="70"/>
        </w:rPr>
        <w:t>21年度部门决算情况说明</w:t>
      </w:r>
    </w:p>
    <w:p>
      <w:pPr>
        <w:widowControl/>
        <w:jc w:val="left"/>
        <w:rPr>
          <w:rFonts w:ascii="黑体" w:eastAsia="黑体" w:cs="黑体"/>
          <w:color w:val="000000"/>
          <w:kern w:val="0"/>
          <w:sz w:val="70"/>
          <w:szCs w:val="70"/>
        </w:rPr>
      </w:pPr>
      <w:r>
        <w:rPr>
          <w:sz w:val="70"/>
          <w:szCs w:val="70"/>
        </w:rPr>
        <w:br w:type="page"/>
      </w:r>
    </w:p>
    <w:p>
      <w:pPr>
        <w:pStyle w:val="10"/>
        <w:rPr>
          <w:rFonts w:asciiTheme="minorEastAsia" w:hAnsiTheme="minorEastAsia" w:eastAsiaTheme="minorEastAsia"/>
          <w:sz w:val="32"/>
          <w:szCs w:val="32"/>
        </w:rPr>
      </w:pPr>
    </w:p>
    <w:p>
      <w:pPr>
        <w:pStyle w:val="10"/>
        <w:outlineLvl w:val="0"/>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hint="eastAsia" w:ascii="宋体" w:hAnsi="宋体" w:eastAsia="宋体"/>
          <w:sz w:val="32"/>
          <w:szCs w:val="32"/>
        </w:rPr>
        <w:t>2021年度收入总计</w:t>
      </w:r>
      <w:r>
        <w:rPr>
          <w:rFonts w:hint="eastAsia" w:ascii="宋体" w:hAnsi="宋体" w:eastAsia="宋体"/>
          <w:sz w:val="32"/>
          <w:szCs w:val="32"/>
          <w:lang w:val="en-US" w:eastAsia="zh-CN"/>
        </w:rPr>
        <w:t>115.29</w:t>
      </w:r>
      <w:r>
        <w:rPr>
          <w:rFonts w:hint="eastAsia" w:ascii="宋体" w:hAnsi="宋体" w:eastAsia="宋体"/>
          <w:sz w:val="32"/>
          <w:szCs w:val="32"/>
        </w:rPr>
        <w:t>万元</w:t>
      </w:r>
      <w:r>
        <w:rPr>
          <w:rFonts w:hint="eastAsia" w:ascii="宋体" w:hAnsi="宋体" w:eastAsia="宋体"/>
          <w:sz w:val="32"/>
          <w:szCs w:val="32"/>
          <w:lang w:eastAsia="zh-CN"/>
        </w:rPr>
        <w:t>（含使用非财政拨款结余</w:t>
      </w:r>
      <w:r>
        <w:rPr>
          <w:rFonts w:hint="eastAsia" w:ascii="宋体" w:hAnsi="宋体" w:eastAsia="宋体"/>
          <w:sz w:val="32"/>
          <w:szCs w:val="32"/>
          <w:lang w:val="en-US" w:eastAsia="zh-CN"/>
        </w:rPr>
        <w:t>1.78万元）</w:t>
      </w:r>
      <w:r>
        <w:rPr>
          <w:rFonts w:hint="eastAsia" w:ascii="宋体" w:hAnsi="宋体" w:eastAsia="宋体"/>
          <w:sz w:val="32"/>
          <w:szCs w:val="32"/>
        </w:rPr>
        <w:t>，与上年相比，减少</w:t>
      </w:r>
      <w:r>
        <w:rPr>
          <w:rFonts w:hint="eastAsia" w:ascii="宋体" w:hAnsi="宋体" w:eastAsia="宋体"/>
          <w:sz w:val="32"/>
          <w:szCs w:val="32"/>
          <w:lang w:val="en-US" w:eastAsia="zh-CN"/>
        </w:rPr>
        <w:t>36.8</w:t>
      </w:r>
      <w:r>
        <w:rPr>
          <w:rFonts w:hint="eastAsia" w:ascii="宋体" w:hAnsi="宋体" w:eastAsia="宋体"/>
          <w:sz w:val="32"/>
          <w:szCs w:val="32"/>
        </w:rPr>
        <w:t>万元，减少</w:t>
      </w:r>
      <w:r>
        <w:rPr>
          <w:rFonts w:hint="eastAsia" w:ascii="宋体" w:hAnsi="宋体" w:eastAsia="宋体"/>
          <w:sz w:val="32"/>
          <w:szCs w:val="32"/>
          <w:lang w:val="en-US" w:eastAsia="zh-CN"/>
        </w:rPr>
        <w:t>24</w:t>
      </w:r>
      <w:r>
        <w:rPr>
          <w:rFonts w:hint="eastAsia" w:ascii="宋体" w:hAnsi="宋体" w:eastAsia="宋体"/>
          <w:sz w:val="32"/>
          <w:szCs w:val="32"/>
        </w:rPr>
        <w:t>%，主要是因为</w:t>
      </w:r>
      <w:r>
        <w:rPr>
          <w:rFonts w:hint="eastAsia" w:ascii="宋体" w:hAnsi="宋体" w:eastAsia="宋体"/>
          <w:sz w:val="32"/>
          <w:szCs w:val="32"/>
          <w:lang w:eastAsia="zh-CN"/>
        </w:rPr>
        <w:t>财政</w:t>
      </w:r>
      <w:r>
        <w:rPr>
          <w:rFonts w:hint="eastAsia" w:asciiTheme="minorEastAsia" w:hAnsiTheme="minorEastAsia" w:eastAsiaTheme="minorEastAsia"/>
          <w:sz w:val="32"/>
          <w:szCs w:val="32"/>
        </w:rPr>
        <w:t>拨</w:t>
      </w:r>
      <w:r>
        <w:rPr>
          <w:rFonts w:hint="eastAsia" w:asciiTheme="minorEastAsia" w:hAnsiTheme="minorEastAsia" w:eastAsiaTheme="minorEastAsia"/>
          <w:sz w:val="32"/>
          <w:szCs w:val="32"/>
          <w:lang w:eastAsia="zh-CN"/>
        </w:rPr>
        <w:t>收入的减少</w:t>
      </w:r>
      <w:r>
        <w:rPr>
          <w:rFonts w:hint="eastAsia" w:ascii="宋体" w:hAnsi="宋体" w:eastAsia="宋体"/>
          <w:sz w:val="32"/>
          <w:szCs w:val="32"/>
        </w:rPr>
        <w:t>。</w:t>
      </w:r>
    </w:p>
    <w:p>
      <w:pPr>
        <w:pStyle w:val="10"/>
        <w:ind w:firstLine="640" w:firstLineChars="200"/>
        <w:rPr>
          <w:rFonts w:hint="eastAsia" w:eastAsia="宋体" w:asciiTheme="minorEastAsia" w:hAnsiTheme="minorEastAsia"/>
          <w:sz w:val="32"/>
          <w:szCs w:val="32"/>
          <w:lang w:eastAsia="zh-CN"/>
        </w:rPr>
      </w:pPr>
      <w:r>
        <w:rPr>
          <w:rFonts w:hint="eastAsia" w:ascii="宋体" w:hAnsi="宋体" w:eastAsia="宋体"/>
          <w:sz w:val="32"/>
          <w:szCs w:val="32"/>
        </w:rPr>
        <w:t>2021年度支出总计</w:t>
      </w:r>
      <w:r>
        <w:rPr>
          <w:rFonts w:hint="eastAsia" w:ascii="宋体" w:hAnsi="宋体" w:eastAsia="宋体"/>
          <w:sz w:val="32"/>
          <w:szCs w:val="32"/>
          <w:lang w:val="en-US" w:eastAsia="zh-CN"/>
        </w:rPr>
        <w:t>115.29</w:t>
      </w:r>
      <w:r>
        <w:rPr>
          <w:rFonts w:hint="eastAsia" w:ascii="宋体" w:hAnsi="宋体" w:eastAsia="宋体"/>
          <w:sz w:val="32"/>
          <w:szCs w:val="32"/>
        </w:rPr>
        <w:t>万元</w:t>
      </w:r>
      <w:r>
        <w:rPr>
          <w:rFonts w:hint="eastAsia" w:ascii="宋体" w:hAnsi="宋体" w:eastAsia="宋体"/>
          <w:sz w:val="32"/>
          <w:szCs w:val="32"/>
          <w:highlight w:val="none"/>
        </w:rPr>
        <w:t>（含年末结转和结余资金</w:t>
      </w:r>
      <w:r>
        <w:rPr>
          <w:rFonts w:hint="eastAsia" w:ascii="宋体" w:hAnsi="宋体" w:eastAsia="宋体"/>
          <w:sz w:val="32"/>
          <w:szCs w:val="32"/>
          <w:highlight w:val="none"/>
          <w:lang w:val="en-US" w:eastAsia="zh-CN"/>
        </w:rPr>
        <w:t>0</w:t>
      </w:r>
      <w:r>
        <w:rPr>
          <w:rFonts w:hint="eastAsia" w:ascii="宋体" w:hAnsi="宋体" w:eastAsia="宋体"/>
          <w:sz w:val="32"/>
          <w:szCs w:val="32"/>
          <w:highlight w:val="none"/>
        </w:rPr>
        <w:t>万元）</w:t>
      </w:r>
      <w:r>
        <w:rPr>
          <w:rFonts w:hint="eastAsia" w:ascii="宋体" w:hAnsi="宋体" w:eastAsia="宋体"/>
          <w:sz w:val="32"/>
          <w:szCs w:val="32"/>
        </w:rPr>
        <w:t>，与上年相比，减少</w:t>
      </w:r>
      <w:r>
        <w:rPr>
          <w:rFonts w:hint="eastAsia" w:ascii="宋体" w:hAnsi="宋体" w:eastAsia="宋体"/>
          <w:sz w:val="32"/>
          <w:szCs w:val="32"/>
          <w:lang w:val="en-US" w:eastAsia="zh-CN"/>
        </w:rPr>
        <w:t>36.8</w:t>
      </w:r>
      <w:r>
        <w:rPr>
          <w:rFonts w:hint="eastAsia" w:ascii="宋体" w:hAnsi="宋体" w:eastAsia="宋体"/>
          <w:sz w:val="32"/>
          <w:szCs w:val="32"/>
        </w:rPr>
        <w:t>万元，减少</w:t>
      </w:r>
      <w:r>
        <w:rPr>
          <w:rFonts w:hint="eastAsia" w:ascii="宋体" w:hAnsi="宋体" w:eastAsia="宋体"/>
          <w:sz w:val="32"/>
          <w:szCs w:val="32"/>
          <w:lang w:val="en-US" w:eastAsia="zh-CN"/>
        </w:rPr>
        <w:t>24</w:t>
      </w:r>
      <w:r>
        <w:rPr>
          <w:rFonts w:hint="eastAsia" w:ascii="宋体" w:hAnsi="宋体" w:eastAsia="宋体"/>
          <w:sz w:val="32"/>
          <w:szCs w:val="32"/>
        </w:rPr>
        <w:t>%，主要是因为</w:t>
      </w:r>
      <w:r>
        <w:rPr>
          <w:rFonts w:hint="eastAsia" w:ascii="宋体" w:hAnsi="宋体" w:eastAsia="宋体"/>
          <w:sz w:val="32"/>
          <w:szCs w:val="32"/>
          <w:lang w:eastAsia="zh-CN"/>
        </w:rPr>
        <w:t>公用经费和培训业务减少</w:t>
      </w:r>
      <w:r>
        <w:rPr>
          <w:rFonts w:hint="eastAsia" w:eastAsia="宋体" w:asciiTheme="minorEastAsia" w:hAnsiTheme="minorEastAsia"/>
          <w:sz w:val="32"/>
          <w:szCs w:val="32"/>
          <w:lang w:eastAsia="zh-CN"/>
        </w:rPr>
        <w:t>。</w:t>
      </w:r>
    </w:p>
    <w:p>
      <w:pPr>
        <w:pStyle w:val="10"/>
        <w:ind w:firstLine="640" w:firstLineChars="200"/>
        <w:rPr>
          <w:rFonts w:hAnsi="黑体"/>
          <w:b/>
          <w:sz w:val="32"/>
          <w:szCs w:val="32"/>
          <w:highlight w:val="none"/>
        </w:rPr>
      </w:pPr>
      <w:r>
        <w:rPr>
          <w:rFonts w:hint="eastAsia" w:hAnsi="黑体"/>
          <w:b/>
          <w:sz w:val="32"/>
          <w:szCs w:val="32"/>
          <w:highlight w:val="none"/>
        </w:rPr>
        <w:t>二、收入决算情况说明</w:t>
      </w:r>
    </w:p>
    <w:p>
      <w:pPr>
        <w:pStyle w:val="10"/>
        <w:ind w:firstLine="640" w:firstLineChars="200"/>
        <w:rPr>
          <w:rFonts w:asciiTheme="minorEastAsia" w:hAnsiTheme="minorEastAsia" w:eastAsiaTheme="minorEastAsia"/>
          <w:sz w:val="32"/>
          <w:szCs w:val="32"/>
          <w:highlight w:val="none"/>
        </w:rPr>
      </w:pPr>
      <w:r>
        <w:rPr>
          <w:rFonts w:hint="eastAsia" w:asciiTheme="minorEastAsia" w:hAnsiTheme="minorEastAsia" w:eastAsiaTheme="minorEastAsia"/>
          <w:sz w:val="32"/>
          <w:szCs w:val="32"/>
          <w:highlight w:val="none"/>
          <w:lang w:val="en-US" w:eastAsia="zh-CN"/>
        </w:rPr>
        <w:t>2021年度</w:t>
      </w:r>
      <w:r>
        <w:rPr>
          <w:rFonts w:hint="eastAsia" w:asciiTheme="minorEastAsia" w:hAnsiTheme="minorEastAsia" w:eastAsiaTheme="minorEastAsia"/>
          <w:sz w:val="32"/>
          <w:szCs w:val="32"/>
          <w:highlight w:val="none"/>
        </w:rPr>
        <w:t>收入合计</w:t>
      </w:r>
      <w:r>
        <w:rPr>
          <w:rFonts w:hint="eastAsia" w:asciiTheme="minorEastAsia" w:hAnsiTheme="minorEastAsia" w:eastAsiaTheme="minorEastAsia"/>
          <w:sz w:val="32"/>
          <w:szCs w:val="32"/>
          <w:highlight w:val="none"/>
          <w:lang w:val="en-US" w:eastAsia="zh-CN"/>
        </w:rPr>
        <w:t>113.51</w:t>
      </w:r>
      <w:r>
        <w:rPr>
          <w:rFonts w:hint="eastAsia" w:asciiTheme="minorEastAsia" w:hAnsiTheme="minorEastAsia" w:eastAsiaTheme="minorEastAsia"/>
          <w:sz w:val="32"/>
          <w:szCs w:val="32"/>
          <w:highlight w:val="none"/>
        </w:rPr>
        <w:t>万元</w:t>
      </w:r>
      <w:r>
        <w:rPr>
          <w:rFonts w:hint="eastAsia" w:ascii="宋体" w:hAnsi="宋体" w:eastAsia="宋体"/>
          <w:sz w:val="32"/>
          <w:szCs w:val="32"/>
        </w:rPr>
        <w:t>（不含年初结转和结余资金）</w:t>
      </w:r>
      <w:r>
        <w:rPr>
          <w:rFonts w:hint="eastAsia" w:asciiTheme="minorEastAsia" w:hAnsiTheme="minorEastAsia" w:eastAsiaTheme="minorEastAsia"/>
          <w:sz w:val="32"/>
          <w:szCs w:val="32"/>
          <w:highlight w:val="none"/>
        </w:rPr>
        <w:t>，其中：财政拨款收入</w:t>
      </w:r>
      <w:r>
        <w:rPr>
          <w:rFonts w:hint="eastAsia" w:asciiTheme="minorEastAsia" w:hAnsiTheme="minorEastAsia" w:eastAsiaTheme="minorEastAsia"/>
          <w:sz w:val="32"/>
          <w:szCs w:val="32"/>
          <w:highlight w:val="none"/>
          <w:lang w:val="en-US" w:eastAsia="zh-CN"/>
        </w:rPr>
        <w:t>74.86</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65</w:t>
      </w:r>
      <w:r>
        <w:rPr>
          <w:rFonts w:hint="eastAsia" w:asciiTheme="minorEastAsia" w:hAnsiTheme="minorEastAsia" w:eastAsiaTheme="minorEastAsia"/>
          <w:sz w:val="32"/>
          <w:szCs w:val="32"/>
          <w:highlight w:val="none"/>
        </w:rPr>
        <w:t>%；上级补助收入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%；事业收入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%；经营收入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%；附属单位上缴收入</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0</w:t>
      </w:r>
      <w:r>
        <w:rPr>
          <w:rFonts w:hint="eastAsia" w:asciiTheme="minorEastAsia" w:hAnsiTheme="minorEastAsia" w:eastAsiaTheme="minorEastAsia"/>
          <w:sz w:val="32"/>
          <w:szCs w:val="32"/>
          <w:highlight w:val="none"/>
        </w:rPr>
        <w:t>%；其他收入</w:t>
      </w:r>
      <w:r>
        <w:rPr>
          <w:rFonts w:hint="eastAsia" w:asciiTheme="minorEastAsia" w:hAnsiTheme="minorEastAsia" w:eastAsiaTheme="minorEastAsia"/>
          <w:sz w:val="32"/>
          <w:szCs w:val="32"/>
          <w:highlight w:val="none"/>
          <w:lang w:val="en-US" w:eastAsia="zh-CN"/>
        </w:rPr>
        <w:t>38.65</w:t>
      </w:r>
      <w:r>
        <w:rPr>
          <w:rFonts w:hint="eastAsia" w:asciiTheme="minorEastAsia" w:hAnsiTheme="minorEastAsia" w:eastAsiaTheme="minorEastAsia"/>
          <w:sz w:val="32"/>
          <w:szCs w:val="32"/>
          <w:highlight w:val="none"/>
        </w:rPr>
        <w:t>万元，占</w:t>
      </w:r>
      <w:r>
        <w:rPr>
          <w:rFonts w:hint="eastAsia" w:asciiTheme="minorEastAsia" w:hAnsiTheme="minorEastAsia" w:eastAsiaTheme="minorEastAsia"/>
          <w:sz w:val="32"/>
          <w:szCs w:val="32"/>
          <w:highlight w:val="none"/>
          <w:lang w:val="en-US" w:eastAsia="zh-CN"/>
        </w:rPr>
        <w:t>33</w:t>
      </w:r>
      <w:r>
        <w:rPr>
          <w:rFonts w:hint="eastAsia" w:asciiTheme="minorEastAsia" w:hAnsiTheme="minorEastAsia" w:eastAsiaTheme="minorEastAsia"/>
          <w:sz w:val="32"/>
          <w:szCs w:val="32"/>
          <w:highlight w:val="none"/>
        </w:rPr>
        <w:t>%。</w:t>
      </w:r>
    </w:p>
    <w:p>
      <w:pPr>
        <w:pStyle w:val="10"/>
        <w:outlineLvl w:val="0"/>
        <w:rPr>
          <w:rFonts w:hAnsi="黑体"/>
          <w:b/>
          <w:sz w:val="32"/>
          <w:szCs w:val="32"/>
        </w:rPr>
      </w:pPr>
      <w:r>
        <w:rPr>
          <w:rFonts w:hint="eastAsia" w:hAnsi="黑体"/>
          <w:b/>
          <w:sz w:val="32"/>
          <w:szCs w:val="32"/>
          <w:highlight w:val="none"/>
        </w:rPr>
        <w:t>三、支出决算情况说</w:t>
      </w:r>
      <w:r>
        <w:rPr>
          <w:rFonts w:hint="eastAsia" w:hAnsi="黑体"/>
          <w:b/>
          <w:sz w:val="32"/>
          <w:szCs w:val="32"/>
        </w:rPr>
        <w:t>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支出合计</w:t>
      </w:r>
      <w:r>
        <w:rPr>
          <w:rFonts w:hint="eastAsia" w:asciiTheme="minorEastAsia" w:hAnsiTheme="minorEastAsia" w:eastAsiaTheme="minorEastAsia"/>
          <w:sz w:val="32"/>
          <w:szCs w:val="32"/>
          <w:lang w:val="en-US" w:eastAsia="zh-CN"/>
        </w:rPr>
        <w:t>115.29</w:t>
      </w:r>
      <w:r>
        <w:rPr>
          <w:rFonts w:hint="eastAsia" w:asciiTheme="minorEastAsia" w:hAnsiTheme="minorEastAsia" w:eastAsiaTheme="minorEastAsia"/>
          <w:sz w:val="32"/>
          <w:szCs w:val="32"/>
        </w:rPr>
        <w:t>万元，其中：基本支出</w:t>
      </w:r>
      <w:r>
        <w:rPr>
          <w:rFonts w:hint="eastAsia" w:asciiTheme="minorEastAsia" w:hAnsiTheme="minorEastAsia" w:eastAsiaTheme="minorEastAsia"/>
          <w:sz w:val="32"/>
          <w:szCs w:val="32"/>
          <w:lang w:val="en-US" w:eastAsia="zh-CN"/>
        </w:rPr>
        <w:t>115.29</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%；上缴上级支出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%；经营支出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%；对附属单位补助支出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eastAsia" w:ascii="宋体" w:hAnsi="宋体" w:eastAsia="宋体"/>
          <w:sz w:val="32"/>
          <w:szCs w:val="32"/>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74.86</w:t>
      </w:r>
      <w:r>
        <w:rPr>
          <w:rFonts w:hint="eastAsia" w:ascii="宋体" w:hAnsi="宋体" w:eastAsia="宋体"/>
          <w:sz w:val="32"/>
          <w:szCs w:val="32"/>
        </w:rPr>
        <w:t>万元（不含年初财政拨款结转和结余资金），与上年相比，减少</w:t>
      </w:r>
      <w:r>
        <w:rPr>
          <w:rFonts w:hint="eastAsia" w:ascii="宋体" w:hAnsi="宋体" w:eastAsia="宋体"/>
          <w:sz w:val="32"/>
          <w:szCs w:val="32"/>
          <w:lang w:val="en-US" w:eastAsia="zh-CN"/>
        </w:rPr>
        <w:t>15.84</w:t>
      </w:r>
      <w:r>
        <w:rPr>
          <w:rFonts w:hint="eastAsia" w:ascii="宋体" w:hAnsi="宋体" w:eastAsia="宋体"/>
          <w:sz w:val="32"/>
          <w:szCs w:val="32"/>
        </w:rPr>
        <w:t>万元,减少</w:t>
      </w:r>
      <w:r>
        <w:rPr>
          <w:rFonts w:hint="eastAsia" w:ascii="宋体" w:hAnsi="宋体" w:eastAsia="宋体"/>
          <w:sz w:val="32"/>
          <w:szCs w:val="32"/>
          <w:lang w:val="en-US" w:eastAsia="zh-CN"/>
        </w:rPr>
        <w:t>17</w:t>
      </w:r>
      <w:r>
        <w:rPr>
          <w:rFonts w:hint="eastAsia" w:ascii="宋体" w:hAnsi="宋体" w:eastAsia="宋体"/>
          <w:sz w:val="32"/>
          <w:szCs w:val="32"/>
        </w:rPr>
        <w:t>%，主要是因为</w:t>
      </w:r>
      <w:r>
        <w:rPr>
          <w:rFonts w:hint="eastAsia" w:ascii="宋体" w:hAnsi="宋体" w:eastAsia="宋体"/>
          <w:sz w:val="32"/>
          <w:szCs w:val="32"/>
          <w:lang w:eastAsia="zh-CN"/>
        </w:rPr>
        <w:t>财政收入的减少</w:t>
      </w:r>
      <w:r>
        <w:rPr>
          <w:rFonts w:hint="eastAsia" w:ascii="宋体" w:hAnsi="宋体" w:eastAsia="宋体"/>
          <w:sz w:val="32"/>
          <w:szCs w:val="32"/>
        </w:rPr>
        <w:t>。</w:t>
      </w:r>
    </w:p>
    <w:p>
      <w:pPr>
        <w:pStyle w:val="10"/>
        <w:ind w:firstLine="640"/>
        <w:rPr>
          <w:rFonts w:ascii="宋体" w:hAnsi="宋体" w:eastAsia="宋体"/>
          <w:b/>
          <w:bCs/>
          <w:color w:val="FF0000"/>
          <w:sz w:val="28"/>
          <w:szCs w:val="28"/>
        </w:rPr>
      </w:pPr>
      <w:r>
        <w:rPr>
          <w:rFonts w:hint="eastAsia" w:ascii="宋体" w:hAnsi="宋体" w:eastAsia="宋体"/>
          <w:sz w:val="32"/>
          <w:szCs w:val="32"/>
        </w:rPr>
        <w:t>2021年度财政拨款支出合计</w:t>
      </w:r>
      <w:r>
        <w:rPr>
          <w:rFonts w:hint="eastAsia" w:ascii="宋体" w:hAnsi="宋体" w:eastAsia="宋体"/>
          <w:sz w:val="32"/>
          <w:szCs w:val="32"/>
          <w:lang w:val="en-US" w:eastAsia="zh-CN"/>
        </w:rPr>
        <w:t>74.86</w:t>
      </w:r>
      <w:r>
        <w:rPr>
          <w:rFonts w:hint="eastAsia" w:ascii="宋体" w:hAnsi="宋体" w:eastAsia="宋体"/>
          <w:sz w:val="32"/>
          <w:szCs w:val="32"/>
        </w:rPr>
        <w:t>万元（不含年末财政拨款结转和结余资金），与上年相比，减少</w:t>
      </w:r>
      <w:r>
        <w:rPr>
          <w:rFonts w:hint="eastAsia" w:ascii="宋体" w:hAnsi="宋体" w:eastAsia="宋体"/>
          <w:sz w:val="32"/>
          <w:szCs w:val="32"/>
          <w:lang w:val="en-US" w:eastAsia="zh-CN"/>
        </w:rPr>
        <w:t>28.04</w:t>
      </w:r>
      <w:r>
        <w:rPr>
          <w:rFonts w:hint="eastAsia" w:ascii="宋体" w:hAnsi="宋体" w:eastAsia="宋体"/>
          <w:sz w:val="32"/>
          <w:szCs w:val="32"/>
        </w:rPr>
        <w:t>万元,减少</w:t>
      </w:r>
      <w:r>
        <w:rPr>
          <w:rFonts w:hint="eastAsia" w:ascii="宋体" w:hAnsi="宋体" w:eastAsia="宋体"/>
          <w:sz w:val="32"/>
          <w:szCs w:val="32"/>
          <w:lang w:val="en-US" w:eastAsia="zh-CN"/>
        </w:rPr>
        <w:t>27</w:t>
      </w:r>
      <w:r>
        <w:rPr>
          <w:rFonts w:hint="eastAsia" w:ascii="宋体" w:hAnsi="宋体" w:eastAsia="宋体"/>
          <w:sz w:val="32"/>
          <w:szCs w:val="32"/>
        </w:rPr>
        <w:t>%，主要是因为</w:t>
      </w:r>
      <w:r>
        <w:rPr>
          <w:rFonts w:hint="eastAsia" w:ascii="宋体" w:hAnsi="宋体" w:eastAsia="宋体"/>
          <w:sz w:val="32"/>
          <w:szCs w:val="32"/>
          <w:lang w:val="en-US" w:eastAsia="zh-CN"/>
        </w:rPr>
        <w:t>2020年有部份培训经费是由财政</w:t>
      </w:r>
      <w:r>
        <w:rPr>
          <w:rFonts w:hint="eastAsia" w:ascii="宋体" w:hAnsi="宋体" w:eastAsia="宋体"/>
          <w:sz w:val="32"/>
          <w:szCs w:val="32"/>
        </w:rPr>
        <w:t>拨款</w:t>
      </w:r>
      <w:r>
        <w:rPr>
          <w:rFonts w:hint="eastAsia" w:ascii="宋体" w:hAnsi="宋体" w:eastAsia="宋体"/>
          <w:sz w:val="32"/>
          <w:szCs w:val="32"/>
          <w:lang w:val="en-US" w:eastAsia="zh-CN"/>
        </w:rPr>
        <w:t>支出</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74.86</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65</w:t>
      </w:r>
      <w:r>
        <w:rPr>
          <w:rFonts w:hint="eastAsia" w:asciiTheme="minorEastAsia" w:hAnsiTheme="minorEastAsia" w:eastAsiaTheme="minorEastAsia"/>
          <w:sz w:val="32"/>
          <w:szCs w:val="32"/>
        </w:rPr>
        <w:t>%，与上年相比，财政拨款支出减少</w:t>
      </w:r>
      <w:r>
        <w:rPr>
          <w:rFonts w:hint="eastAsia" w:asciiTheme="minorEastAsia" w:hAnsiTheme="minorEastAsia" w:eastAsiaTheme="minorEastAsia"/>
          <w:sz w:val="32"/>
          <w:szCs w:val="32"/>
          <w:lang w:val="en-US" w:eastAsia="zh-CN"/>
        </w:rPr>
        <w:t>28.04</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27</w:t>
      </w:r>
      <w:r>
        <w:rPr>
          <w:rFonts w:hint="eastAsia" w:asciiTheme="minorEastAsia" w:hAnsiTheme="minorEastAsia" w:eastAsiaTheme="minorEastAsia"/>
          <w:sz w:val="32"/>
          <w:szCs w:val="32"/>
        </w:rPr>
        <w:t>%，主要是因为</w:t>
      </w:r>
      <w:r>
        <w:rPr>
          <w:rFonts w:hint="eastAsia" w:ascii="宋体" w:hAnsi="宋体" w:eastAsia="宋体"/>
          <w:sz w:val="32"/>
          <w:szCs w:val="32"/>
          <w:lang w:val="en-US" w:eastAsia="zh-CN"/>
        </w:rPr>
        <w:t>2020年有部份培训经费是由财政</w:t>
      </w:r>
      <w:r>
        <w:rPr>
          <w:rFonts w:hint="eastAsia" w:ascii="宋体" w:hAnsi="宋体" w:eastAsia="宋体"/>
          <w:sz w:val="32"/>
          <w:szCs w:val="32"/>
        </w:rPr>
        <w:t>拨款</w:t>
      </w:r>
      <w:r>
        <w:rPr>
          <w:rFonts w:hint="eastAsia" w:ascii="宋体" w:hAnsi="宋体" w:eastAsia="宋体"/>
          <w:sz w:val="32"/>
          <w:szCs w:val="32"/>
          <w:lang w:val="en-US" w:eastAsia="zh-CN"/>
        </w:rPr>
        <w:t>支出。</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74.86</w:t>
      </w:r>
      <w:r>
        <w:rPr>
          <w:rFonts w:hint="eastAsia" w:asciiTheme="minorEastAsia" w:hAnsiTheme="minorEastAsia" w:eastAsiaTheme="minorEastAsia"/>
          <w:sz w:val="32"/>
          <w:szCs w:val="32"/>
        </w:rPr>
        <w:t>万元，主要用于以下方面：</w:t>
      </w:r>
      <w:r>
        <w:rPr>
          <w:rFonts w:hint="eastAsia" w:asciiTheme="minorEastAsia" w:hAnsiTheme="minorEastAsia" w:eastAsiaTheme="minorEastAsia"/>
          <w:sz w:val="32"/>
          <w:szCs w:val="32"/>
          <w:lang w:eastAsia="zh-CN"/>
        </w:rPr>
        <w:t>农林水</w:t>
      </w:r>
      <w:r>
        <w:rPr>
          <w:rFonts w:hint="eastAsia" w:asciiTheme="minorEastAsia" w:hAnsiTheme="minorEastAsia" w:eastAsiaTheme="minorEastAsia"/>
          <w:sz w:val="32"/>
          <w:szCs w:val="32"/>
        </w:rPr>
        <w:t>（类）支出</w:t>
      </w:r>
      <w:r>
        <w:rPr>
          <w:rFonts w:hint="eastAsia" w:asciiTheme="minorEastAsia" w:hAnsiTheme="minorEastAsia" w:eastAsiaTheme="minorEastAsia"/>
          <w:sz w:val="32"/>
          <w:szCs w:val="32"/>
          <w:lang w:val="en-US" w:eastAsia="zh-CN"/>
        </w:rPr>
        <w:t>74.86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highlight w:val="none"/>
          <w:lang w:eastAsia="zh-CN"/>
        </w:rPr>
        <w:t>。</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年度财政拨款支出年初预算数为</w:t>
      </w:r>
      <w:r>
        <w:rPr>
          <w:rFonts w:hint="eastAsia" w:asciiTheme="minorEastAsia" w:hAnsiTheme="minorEastAsia" w:eastAsiaTheme="minorEastAsia"/>
          <w:sz w:val="32"/>
          <w:szCs w:val="32"/>
          <w:lang w:val="en-US" w:eastAsia="zh-CN"/>
        </w:rPr>
        <w:t>75.37</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highlight w:val="none"/>
          <w:lang w:val="en-US" w:eastAsia="zh-CN"/>
        </w:rPr>
        <w:t>74.86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99</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w:t>
      </w:r>
      <w:r>
        <w:rPr>
          <w:rFonts w:hint="eastAsia" w:asciiTheme="minorEastAsia" w:hAnsiTheme="minorEastAsia" w:eastAsiaTheme="minorEastAsia"/>
          <w:sz w:val="32"/>
          <w:szCs w:val="32"/>
          <w:lang w:val="en-US" w:eastAsia="zh-CN"/>
        </w:rPr>
        <w:t>农林水支出（类）-</w:t>
      </w:r>
      <w:r>
        <w:rPr>
          <w:rFonts w:hint="eastAsia" w:asciiTheme="minorEastAsia" w:hAnsiTheme="minorEastAsia" w:eastAsiaTheme="minorEastAsia"/>
          <w:sz w:val="32"/>
          <w:szCs w:val="32"/>
          <w:highlight w:val="none"/>
          <w:lang w:val="en-US" w:eastAsia="zh-CN"/>
        </w:rPr>
        <w:t>农业农村（款）</w:t>
      </w:r>
      <w:r>
        <w:rPr>
          <w:rFonts w:hint="eastAsia" w:asciiTheme="minorEastAsia" w:hAnsiTheme="minorEastAsia" w:eastAsiaTheme="minorEastAsia"/>
          <w:sz w:val="32"/>
          <w:szCs w:val="32"/>
          <w:lang w:val="en-US" w:eastAsia="zh-CN"/>
        </w:rPr>
        <w:t>-科技转换与推广服务（项）</w:t>
      </w:r>
      <w:r>
        <w:rPr>
          <w:rFonts w:hint="eastAsia" w:asciiTheme="minorEastAsia" w:hAnsiTheme="minorEastAsia" w:eastAsiaTheme="minorEastAsia"/>
          <w:sz w:val="32"/>
          <w:szCs w:val="32"/>
        </w:rPr>
        <w:t>。</w:t>
      </w:r>
    </w:p>
    <w:p>
      <w:pPr>
        <w:pStyle w:val="10"/>
        <w:ind w:firstLine="800" w:firstLineChars="25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75.37</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74.86</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116.79</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于年初预算数的主要原因是：</w:t>
      </w:r>
      <w:r>
        <w:rPr>
          <w:rFonts w:hint="eastAsia" w:asciiTheme="minorEastAsia" w:hAnsiTheme="minorEastAsia" w:eastAsiaTheme="minorEastAsia"/>
          <w:sz w:val="32"/>
          <w:szCs w:val="32"/>
          <w:lang w:eastAsia="zh-CN"/>
        </w:rPr>
        <w:t>坚持厉行节约的原则，努力降低运行成本。</w:t>
      </w:r>
    </w:p>
    <w:p>
      <w:pPr>
        <w:pStyle w:val="10"/>
        <w:outlineLvl w:val="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74.86</w:t>
      </w:r>
      <w:r>
        <w:rPr>
          <w:rFonts w:hint="eastAsia" w:asciiTheme="minorEastAsia" w:hAnsiTheme="minorEastAsia" w:eastAsiaTheme="minorEastAsia"/>
          <w:sz w:val="32"/>
          <w:szCs w:val="32"/>
        </w:rPr>
        <w:t>元，其中：人员经费</w:t>
      </w:r>
      <w:r>
        <w:rPr>
          <w:rFonts w:hint="eastAsia" w:asciiTheme="minorEastAsia" w:hAnsiTheme="minorEastAsia" w:eastAsiaTheme="minorEastAsia"/>
          <w:sz w:val="32"/>
          <w:szCs w:val="32"/>
          <w:lang w:val="en-US" w:eastAsia="zh-CN"/>
        </w:rPr>
        <w:t>49.61</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66</w:t>
      </w:r>
      <w:r>
        <w:rPr>
          <w:rFonts w:hint="eastAsia" w:asciiTheme="minorEastAsia" w:hAnsiTheme="minorEastAsia" w:eastAsiaTheme="minorEastAsia"/>
          <w:sz w:val="32"/>
          <w:szCs w:val="32"/>
        </w:rPr>
        <w:t>%,主要包括基本工资、津贴补贴、伙食补助费</w:t>
      </w:r>
      <w:r>
        <w:rPr>
          <w:rFonts w:hint="eastAsia" w:asciiTheme="minorEastAsia" w:hAnsiTheme="minorEastAsia" w:eastAsiaTheme="minorEastAsia"/>
          <w:sz w:val="32"/>
          <w:szCs w:val="32"/>
          <w:lang w:eastAsia="zh-CN"/>
        </w:rPr>
        <w:t>、机关事业单位基本养老保险缴费、职业年金缴费、职工基本医疗保险缴费、公务员医疗补助缴费、其他社会保障缴费、住房公积金、其他工资福利支出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25.25</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34</w:t>
      </w:r>
      <w:r>
        <w:rPr>
          <w:rFonts w:hint="eastAsia" w:asciiTheme="minorEastAsia" w:hAnsiTheme="minorEastAsia" w:eastAsiaTheme="minorEastAsia"/>
          <w:sz w:val="32"/>
          <w:szCs w:val="32"/>
        </w:rPr>
        <w:t>%，主要包括办公费、</w:t>
      </w:r>
      <w:r>
        <w:rPr>
          <w:rFonts w:hint="eastAsia" w:asciiTheme="minorEastAsia" w:hAnsiTheme="minorEastAsia" w:eastAsiaTheme="minorEastAsia"/>
          <w:sz w:val="32"/>
          <w:szCs w:val="32"/>
          <w:lang w:eastAsia="zh-CN"/>
        </w:rPr>
        <w:t>培训</w:t>
      </w:r>
      <w:r>
        <w:rPr>
          <w:rFonts w:hint="eastAsia" w:asciiTheme="minorEastAsia" w:hAnsiTheme="minorEastAsia" w:eastAsiaTheme="minorEastAsia"/>
          <w:sz w:val="32"/>
          <w:szCs w:val="32"/>
        </w:rPr>
        <w:t>费、</w:t>
      </w:r>
      <w:r>
        <w:rPr>
          <w:rFonts w:hint="eastAsia" w:asciiTheme="minorEastAsia" w:hAnsiTheme="minorEastAsia" w:eastAsiaTheme="minorEastAsia"/>
          <w:sz w:val="32"/>
          <w:szCs w:val="32"/>
          <w:lang w:eastAsia="zh-CN"/>
        </w:rPr>
        <w:t>委托业务费</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1.3</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61</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因公出国（境）费支出预算为0万元，支出决算为0万元，完成预算的0%，决算数等于预算数的主要原因是未安排出国（境），与上年相比无变化，主要原因是今年及去年均未安排出国（境）。</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等</w:t>
      </w:r>
      <w:r>
        <w:rPr>
          <w:rFonts w:hint="eastAsia" w:asciiTheme="minorEastAsia" w:hAnsiTheme="minorEastAsia" w:eastAsiaTheme="minorEastAsia"/>
          <w:sz w:val="32"/>
          <w:szCs w:val="32"/>
        </w:rPr>
        <w:t>于预算数的主要原因是</w:t>
      </w:r>
      <w:r>
        <w:rPr>
          <w:rFonts w:hint="eastAsia" w:asciiTheme="minorEastAsia" w:hAnsiTheme="minorEastAsia" w:eastAsiaTheme="minorEastAsia"/>
          <w:sz w:val="32"/>
          <w:szCs w:val="32"/>
          <w:lang w:eastAsia="zh-CN"/>
        </w:rPr>
        <w:t>坚持</w:t>
      </w:r>
      <w:r>
        <w:rPr>
          <w:rFonts w:hint="eastAsia" w:ascii="宋体" w:hAnsi="宋体" w:eastAsia="宋体" w:cs="宋体"/>
          <w:color w:val="000000"/>
          <w:kern w:val="0"/>
          <w:sz w:val="32"/>
          <w:szCs w:val="32"/>
        </w:rPr>
        <w:t>厉行节约</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0.09</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%,减少的主要原因是</w:t>
      </w:r>
      <w:r>
        <w:rPr>
          <w:rFonts w:hint="eastAsia" w:ascii="宋体" w:hAnsi="宋体" w:eastAsia="宋体" w:cs="宋体"/>
          <w:color w:val="000000"/>
          <w:kern w:val="0"/>
          <w:sz w:val="32"/>
          <w:szCs w:val="32"/>
        </w:rPr>
        <w:t>厉行节约</w:t>
      </w:r>
      <w:r>
        <w:rPr>
          <w:rFonts w:hint="eastAsia" w:ascii="宋体" w:hAnsi="宋体" w:eastAsia="宋体" w:cs="宋体"/>
          <w:color w:val="000000"/>
          <w:kern w:val="0"/>
          <w:sz w:val="32"/>
          <w:szCs w:val="32"/>
          <w:lang w:eastAsia="zh-CN"/>
        </w:rPr>
        <w:t>，</w:t>
      </w:r>
      <w:r>
        <w:rPr>
          <w:rFonts w:hint="eastAsia" w:ascii="宋体" w:hAnsi="宋体" w:eastAsia="宋体" w:cs="宋体"/>
          <w:color w:val="000000"/>
          <w:kern w:val="0"/>
          <w:sz w:val="32"/>
          <w:szCs w:val="32"/>
        </w:rPr>
        <w:t>公务接待开支减少</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lang w:eastAsia="zh-CN"/>
        </w:rPr>
      </w:pPr>
      <w:r>
        <w:rPr>
          <w:rFonts w:hint="eastAsia" w:asciiTheme="minorEastAsia" w:hAnsiTheme="minorEastAsia" w:eastAsiaTheme="minorEastAsia"/>
          <w:sz w:val="32"/>
          <w:szCs w:val="32"/>
        </w:rPr>
        <w:t>公务用</w:t>
      </w:r>
      <w:r>
        <w:rPr>
          <w:rFonts w:hint="eastAsia" w:asciiTheme="minorEastAsia" w:hAnsiTheme="minorEastAsia" w:eastAsiaTheme="minorEastAsia"/>
          <w:sz w:val="32"/>
          <w:szCs w:val="32"/>
          <w:lang w:eastAsia="zh-CN"/>
        </w:rPr>
        <w:t>车</w:t>
      </w:r>
      <w:r>
        <w:rPr>
          <w:rFonts w:hint="eastAsia" w:asciiTheme="minorEastAsia" w:hAnsiTheme="minorEastAsia" w:eastAsiaTheme="minorEastAsia"/>
          <w:sz w:val="32"/>
          <w:szCs w:val="32"/>
        </w:rPr>
        <w:t>运行维护费支出预算为</w:t>
      </w:r>
      <w:r>
        <w:rPr>
          <w:rFonts w:hint="eastAsia" w:asciiTheme="minorEastAsia" w:hAnsiTheme="minorEastAsia" w:eastAsiaTheme="minorEastAsia"/>
          <w:sz w:val="32"/>
          <w:szCs w:val="32"/>
          <w:lang w:val="en-US" w:eastAsia="zh-CN"/>
        </w:rPr>
        <w:t>0.5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%，决算数小于预算数的主要原因是</w:t>
      </w:r>
      <w:r>
        <w:rPr>
          <w:rFonts w:hint="eastAsia" w:asciiTheme="minorEastAsia" w:hAnsiTheme="minorEastAsia" w:eastAsiaTheme="minorEastAsia"/>
          <w:sz w:val="32"/>
          <w:szCs w:val="32"/>
          <w:lang w:eastAsia="zh-CN"/>
        </w:rPr>
        <w:t>本单位无车，没有公务用车</w:t>
      </w:r>
      <w:r>
        <w:rPr>
          <w:rFonts w:hint="eastAsia" w:asciiTheme="minorEastAsia" w:hAnsiTheme="minorEastAsia" w:eastAsiaTheme="minorEastAsia"/>
          <w:sz w:val="32"/>
          <w:szCs w:val="32"/>
        </w:rPr>
        <w:t>运行维护费</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1.2</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减少71%，</w:t>
      </w:r>
      <w:r>
        <w:rPr>
          <w:rFonts w:hint="eastAsia" w:asciiTheme="minorEastAsia" w:hAnsiTheme="minorEastAsia" w:eastAsiaTheme="minorEastAsia"/>
          <w:sz w:val="32"/>
          <w:szCs w:val="32"/>
        </w:rPr>
        <w:t>减少的主要原因是</w:t>
      </w:r>
      <w:r>
        <w:rPr>
          <w:rFonts w:hint="eastAsia" w:asciiTheme="minorEastAsia" w:hAnsiTheme="minorEastAsia" w:eastAsiaTheme="minorEastAsia"/>
          <w:sz w:val="32"/>
          <w:szCs w:val="32"/>
          <w:lang w:eastAsia="zh-CN"/>
        </w:rPr>
        <w:t>本单位无车，没有公务用车</w:t>
      </w:r>
      <w:r>
        <w:rPr>
          <w:rFonts w:hint="eastAsia" w:asciiTheme="minorEastAsia" w:hAnsiTheme="minorEastAsia" w:eastAsiaTheme="minorEastAsia"/>
          <w:sz w:val="32"/>
          <w:szCs w:val="32"/>
        </w:rPr>
        <w:t>运行维护费。</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公务用车购置费支出预算为0万元，支出决算为0万元，完成预算的0%，决算数等于预算数的主要原因是本单位无公务用车，与上年相比无变化，主要原因是今年及去年均无公务用车</w:t>
      </w:r>
      <w:r>
        <w:rPr>
          <w:rFonts w:hint="eastAsia" w:asciiTheme="minorEastAsia" w:hAnsiTheme="minorEastAsia" w:eastAsiaTheme="minorEastAsia"/>
          <w:sz w:val="32"/>
          <w:szCs w:val="32"/>
          <w:lang w:eastAsia="zh-CN"/>
        </w:rPr>
        <w:t>。</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b/>
          <w:sz w:val="32"/>
          <w:szCs w:val="32"/>
          <w:lang w:val="en-US"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0.8</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21</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150</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eastAsia="zh-CN"/>
        </w:rPr>
        <w:t>联系培训业务</w:t>
      </w:r>
      <w:r>
        <w:rPr>
          <w:rFonts w:hint="eastAsia" w:asciiTheme="minorEastAsia" w:hAnsiTheme="minorEastAsia" w:eastAsiaTheme="minorEastAsia"/>
          <w:sz w:val="32"/>
          <w:szCs w:val="32"/>
        </w:rPr>
        <w:t>发生的接待支出。</w:t>
      </w:r>
    </w:p>
    <w:p>
      <w:pPr>
        <w:ind w:firstLine="800" w:firstLineChars="250"/>
        <w:rPr>
          <w:rFonts w:ascii="宋体" w:hAnsi="宋体" w:eastAsia="宋体"/>
          <w:b/>
          <w:bCs/>
          <w:color w:val="FF000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w:t>
      </w:r>
      <w:r>
        <w:rPr>
          <w:rFonts w:hint="eastAsia" w:asciiTheme="minorEastAsia" w:hAnsiTheme="minorEastAsia"/>
          <w:sz w:val="32"/>
          <w:szCs w:val="32"/>
          <w:lang w:val="en-US" w:eastAsia="zh-CN"/>
        </w:rPr>
        <w:t>0</w:t>
      </w:r>
      <w:r>
        <w:rPr>
          <w:rFonts w:hint="eastAsia" w:asciiTheme="minorEastAsia" w:hAnsiTheme="minorEastAsia"/>
          <w:sz w:val="32"/>
          <w:szCs w:val="32"/>
        </w:rPr>
        <w:t>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ind w:firstLine="800" w:firstLineChars="250"/>
        <w:rPr>
          <w:rFonts w:hint="eastAsia" w:cs="黑体" w:asciiTheme="minorEastAsia" w:hAnsiTheme="minorEastAsia"/>
          <w:i/>
          <w:color w:val="FF0000"/>
          <w:kern w:val="0"/>
          <w:sz w:val="32"/>
          <w:szCs w:val="32"/>
        </w:rPr>
      </w:pPr>
    </w:p>
    <w:p>
      <w:pPr>
        <w:pStyle w:val="10"/>
        <w:outlineLvl w:val="0"/>
        <w:rPr>
          <w:rFonts w:hAnsi="黑体"/>
          <w:b/>
          <w:sz w:val="32"/>
          <w:szCs w:val="32"/>
        </w:rPr>
      </w:pPr>
      <w:r>
        <w:rPr>
          <w:rFonts w:hint="eastAsia" w:hAnsi="黑体"/>
          <w:b/>
          <w:sz w:val="32"/>
          <w:szCs w:val="32"/>
        </w:rPr>
        <w:t>八、政府性基金预算收入支出决算情况</w:t>
      </w:r>
    </w:p>
    <w:p>
      <w:pPr>
        <w:pStyle w:val="1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 xml:space="preserve">    </w:t>
      </w: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lang w:eastAsia="zh-CN"/>
        </w:rPr>
        <w:t>本单位无政府性基金预算收入支出</w:t>
      </w:r>
    </w:p>
    <w:p>
      <w:pPr>
        <w:pStyle w:val="10"/>
        <w:outlineLvl w:val="0"/>
        <w:rPr>
          <w:rFonts w:hAnsi="黑体"/>
          <w:b/>
          <w:sz w:val="32"/>
          <w:szCs w:val="32"/>
        </w:rPr>
      </w:pPr>
      <w:r>
        <w:rPr>
          <w:rFonts w:hint="eastAsia" w:hAnsi="黑体"/>
          <w:b/>
          <w:sz w:val="32"/>
          <w:szCs w:val="32"/>
          <w:lang w:val="en-US" w:eastAsia="zh-CN"/>
        </w:rPr>
        <w:t>九、</w:t>
      </w:r>
      <w:r>
        <w:rPr>
          <w:rFonts w:hint="eastAsia" w:hAnsi="黑体"/>
          <w:b/>
          <w:sz w:val="32"/>
          <w:szCs w:val="32"/>
        </w:rPr>
        <w:t>2021年度预算绩效情况说明</w:t>
      </w:r>
    </w:p>
    <w:p>
      <w:pPr>
        <w:pStyle w:val="10"/>
        <w:ind w:firstLine="640" w:firstLineChars="200"/>
        <w:rPr>
          <w:rFonts w:ascii="宋体" w:hAnsi="宋体" w:eastAsia="宋体"/>
          <w:sz w:val="32"/>
          <w:szCs w:val="32"/>
          <w:highlight w:val="none"/>
        </w:rPr>
      </w:pPr>
      <w:r>
        <w:rPr>
          <w:rFonts w:hint="eastAsia" w:ascii="宋体" w:hAnsi="宋体" w:eastAsia="宋体"/>
          <w:sz w:val="32"/>
          <w:szCs w:val="32"/>
        </w:rPr>
        <w:t>根据</w:t>
      </w:r>
      <w:r>
        <w:rPr>
          <w:rFonts w:hint="eastAsia" w:ascii="宋体" w:hAnsi="宋体" w:eastAsia="宋体"/>
          <w:sz w:val="32"/>
          <w:szCs w:val="32"/>
          <w:lang w:eastAsia="zh-CN"/>
        </w:rPr>
        <w:t>上级</w:t>
      </w:r>
      <w:r>
        <w:rPr>
          <w:rFonts w:hint="eastAsia" w:ascii="宋体" w:hAnsi="宋体" w:eastAsia="宋体"/>
          <w:sz w:val="32"/>
          <w:szCs w:val="32"/>
        </w:rPr>
        <w:t>文件的要求，为进一步规范财政资金管理，强化绩效和责任意识，切实提高财政资金使用效益，我单位对</w:t>
      </w:r>
      <w:r>
        <w:rPr>
          <w:rFonts w:hint="eastAsia" w:ascii="宋体" w:hAnsi="宋体" w:eastAsia="宋体"/>
          <w:sz w:val="32"/>
          <w:szCs w:val="32"/>
          <w:highlight w:val="none"/>
        </w:rPr>
        <w:t>202</w:t>
      </w:r>
      <w:r>
        <w:rPr>
          <w:rFonts w:hint="eastAsia" w:ascii="宋体" w:hAnsi="宋体" w:eastAsia="宋体"/>
          <w:sz w:val="32"/>
          <w:szCs w:val="32"/>
          <w:highlight w:val="none"/>
          <w:lang w:val="en-US" w:eastAsia="zh-CN"/>
        </w:rPr>
        <w:t>1</w:t>
      </w:r>
      <w:r>
        <w:rPr>
          <w:rFonts w:hint="eastAsia" w:ascii="宋体" w:hAnsi="宋体" w:eastAsia="宋体"/>
          <w:sz w:val="32"/>
          <w:szCs w:val="32"/>
          <w:highlight w:val="none"/>
        </w:rPr>
        <w:t>年度部门整体支出、单位项目支出、重点（专项）项目支出进行了绩效自评。</w:t>
      </w:r>
    </w:p>
    <w:p>
      <w:pPr>
        <w:pStyle w:val="10"/>
        <w:ind w:firstLine="640" w:firstLineChars="200"/>
        <w:rPr>
          <w:rFonts w:ascii="宋体" w:hAnsi="宋体" w:eastAsia="宋体"/>
          <w:sz w:val="32"/>
          <w:szCs w:val="32"/>
        </w:rPr>
      </w:pPr>
      <w:r>
        <w:rPr>
          <w:rFonts w:hint="eastAsia" w:ascii="宋体" w:hAnsi="宋体" w:eastAsia="宋体"/>
          <w:sz w:val="32"/>
          <w:szCs w:val="32"/>
          <w:highlight w:val="none"/>
        </w:rPr>
        <w:t>部门整体支出绩效自评得分</w:t>
      </w:r>
      <w:r>
        <w:rPr>
          <w:rFonts w:hint="eastAsia" w:ascii="宋体" w:hAnsi="宋体" w:eastAsia="宋体"/>
          <w:sz w:val="32"/>
          <w:szCs w:val="32"/>
          <w:highlight w:val="none"/>
          <w:lang w:val="en-US" w:eastAsia="zh-CN"/>
        </w:rPr>
        <w:t>95分</w:t>
      </w:r>
      <w:r>
        <w:rPr>
          <w:rFonts w:hint="eastAsia" w:ascii="宋体" w:hAnsi="宋体" w:eastAsia="宋体"/>
          <w:sz w:val="32"/>
          <w:szCs w:val="32"/>
          <w:highlight w:val="none"/>
        </w:rPr>
        <w:t>，评价等级为</w:t>
      </w:r>
      <w:r>
        <w:rPr>
          <w:rFonts w:hint="eastAsia" w:ascii="宋体" w:hAnsi="宋体" w:eastAsia="宋体"/>
          <w:sz w:val="32"/>
          <w:szCs w:val="32"/>
        </w:rPr>
        <w:t>“</w:t>
      </w:r>
      <w:r>
        <w:rPr>
          <w:rFonts w:hint="eastAsia" w:ascii="宋体" w:hAnsi="宋体" w:eastAsia="宋体"/>
          <w:sz w:val="32"/>
          <w:szCs w:val="32"/>
          <w:lang w:eastAsia="zh-CN"/>
        </w:rPr>
        <w:t>优秀</w:t>
      </w:r>
      <w:r>
        <w:rPr>
          <w:rFonts w:hint="eastAsia" w:ascii="宋体" w:hAnsi="宋体" w:eastAsia="宋体"/>
          <w:sz w:val="32"/>
          <w:szCs w:val="32"/>
        </w:rPr>
        <w:t>”；</w:t>
      </w:r>
    </w:p>
    <w:p>
      <w:pPr>
        <w:pStyle w:val="10"/>
        <w:outlineLvl w:val="0"/>
        <w:rPr>
          <w:rFonts w:hint="eastAsia" w:hAnsi="黑体"/>
          <w:b/>
          <w:sz w:val="32"/>
          <w:szCs w:val="32"/>
        </w:rPr>
      </w:pPr>
      <w:r>
        <w:rPr>
          <w:rFonts w:hint="eastAsia" w:hAnsi="黑体"/>
          <w:b/>
          <w:sz w:val="32"/>
          <w:szCs w:val="32"/>
          <w:lang w:eastAsia="zh-CN"/>
        </w:rPr>
        <w:t>十</w:t>
      </w:r>
      <w:r>
        <w:rPr>
          <w:rFonts w:hint="eastAsia" w:hAnsi="黑体"/>
          <w:b/>
          <w:sz w:val="32"/>
          <w:szCs w:val="32"/>
        </w:rPr>
        <w:t>、其他重要事项情况说明</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一</w:t>
      </w:r>
      <w:r>
        <w:rPr>
          <w:rFonts w:hint="eastAsia" w:hAnsi="黑体"/>
          <w:b/>
          <w:sz w:val="32"/>
          <w:szCs w:val="32"/>
          <w:lang w:eastAsia="zh-CN"/>
        </w:rPr>
        <w:t>）</w:t>
      </w:r>
      <w:r>
        <w:rPr>
          <w:rFonts w:hint="eastAsia" w:hAnsi="黑体"/>
          <w:b/>
          <w:sz w:val="32"/>
          <w:szCs w:val="32"/>
        </w:rPr>
        <w:t>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w:t>
      </w:r>
      <w:r>
        <w:rPr>
          <w:rFonts w:hint="eastAsia" w:asciiTheme="minorEastAsia" w:hAnsiTheme="minorEastAsia" w:eastAsiaTheme="minorEastAsia"/>
          <w:sz w:val="32"/>
          <w:szCs w:val="32"/>
          <w:lang w:val="en-US" w:eastAsia="zh-CN"/>
        </w:rPr>
        <w:t>非行</w:t>
      </w:r>
      <w:r>
        <w:rPr>
          <w:rFonts w:hint="eastAsia" w:asciiTheme="minorEastAsia" w:hAnsiTheme="minorEastAsia" w:eastAsiaTheme="minorEastAsia"/>
          <w:sz w:val="32"/>
          <w:szCs w:val="32"/>
        </w:rPr>
        <w:t>政单位</w:t>
      </w:r>
      <w:r>
        <w:rPr>
          <w:rFonts w:hint="eastAsia" w:asciiTheme="minorEastAsia" w:hAnsiTheme="minorEastAsia" w:eastAsiaTheme="minorEastAsia"/>
          <w:sz w:val="32"/>
          <w:szCs w:val="32"/>
          <w:lang w:val="en-US" w:eastAsia="zh-CN"/>
        </w:rPr>
        <w:t>或</w:t>
      </w:r>
      <w:r>
        <w:rPr>
          <w:rFonts w:hint="eastAsia" w:asciiTheme="minorEastAsia" w:hAnsiTheme="minorEastAsia" w:eastAsiaTheme="minorEastAsia"/>
          <w:sz w:val="32"/>
          <w:szCs w:val="32"/>
        </w:rPr>
        <w:t>参照公务员法管理事业单位，部门决算报表没有机关运行经费统计数据。</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二</w:t>
      </w:r>
      <w:r>
        <w:rPr>
          <w:rFonts w:hint="eastAsia" w:hAnsi="黑体"/>
          <w:b/>
          <w:sz w:val="32"/>
          <w:szCs w:val="32"/>
          <w:lang w:eastAsia="zh-CN"/>
        </w:rPr>
        <w:t>）</w:t>
      </w:r>
      <w:r>
        <w:rPr>
          <w:rFonts w:hint="eastAsia" w:hAnsi="黑体"/>
          <w:b/>
          <w:sz w:val="32"/>
          <w:szCs w:val="32"/>
        </w:rPr>
        <w:t>一般性支出情况说明</w:t>
      </w:r>
    </w:p>
    <w:p>
      <w:pPr>
        <w:pStyle w:val="10"/>
        <w:ind w:firstLine="640" w:firstLineChars="200"/>
        <w:rPr>
          <w:rFonts w:asciiTheme="minorEastAsia" w:hAnsiTheme="minorEastAsia" w:eastAsiaTheme="minorEastAsia"/>
          <w:color w:val="FF0000"/>
          <w:sz w:val="32"/>
          <w:szCs w:val="32"/>
          <w:highlight w:val="none"/>
        </w:rPr>
      </w:pPr>
      <w:r>
        <w:rPr>
          <w:rFonts w:hint="eastAsia" w:asciiTheme="minorEastAsia" w:hAnsiTheme="minorEastAsia" w:eastAsiaTheme="minorEastAsia"/>
          <w:sz w:val="32"/>
          <w:szCs w:val="32"/>
          <w:highlight w:val="none"/>
        </w:rPr>
        <w:t>202</w:t>
      </w:r>
      <w:r>
        <w:rPr>
          <w:rFonts w:hint="eastAsia" w:asciiTheme="minorEastAsia" w:hAnsiTheme="minorEastAsia" w:eastAsiaTheme="minorEastAsia"/>
          <w:sz w:val="32"/>
          <w:szCs w:val="32"/>
          <w:highlight w:val="none"/>
          <w:lang w:val="en-US" w:eastAsia="zh-CN"/>
        </w:rPr>
        <w:t>1</w:t>
      </w:r>
      <w:r>
        <w:rPr>
          <w:rFonts w:hint="eastAsia" w:asciiTheme="minorEastAsia" w:hAnsiTheme="minorEastAsia" w:eastAsiaTheme="minorEastAsia"/>
          <w:sz w:val="32"/>
          <w:szCs w:val="32"/>
          <w:highlight w:val="none"/>
        </w:rPr>
        <w:t>年</w:t>
      </w:r>
      <w:r>
        <w:rPr>
          <w:rFonts w:hint="eastAsia" w:ascii="宋体" w:hAnsi="宋体" w:eastAsia="宋体"/>
          <w:sz w:val="32"/>
          <w:szCs w:val="32"/>
        </w:rPr>
        <w:t>开支</w:t>
      </w:r>
      <w:r>
        <w:rPr>
          <w:rFonts w:hint="eastAsia" w:asciiTheme="minorEastAsia" w:hAnsiTheme="minorEastAsia" w:eastAsiaTheme="minorEastAsia"/>
          <w:sz w:val="32"/>
          <w:szCs w:val="32"/>
          <w:highlight w:val="none"/>
          <w:lang w:eastAsia="zh-CN"/>
        </w:rPr>
        <w:t>培训费</w:t>
      </w:r>
      <w:r>
        <w:rPr>
          <w:rFonts w:hint="eastAsia" w:asciiTheme="minorEastAsia" w:hAnsiTheme="minorEastAsia" w:eastAsiaTheme="minorEastAsia"/>
          <w:sz w:val="32"/>
          <w:szCs w:val="32"/>
          <w:highlight w:val="none"/>
          <w:lang w:val="en-US" w:eastAsia="zh-CN"/>
        </w:rPr>
        <w:t>1.24万元，用于本单位干部职工提高业务水平而参加的省、市各级业务培训班，人数8人。</w:t>
      </w:r>
      <w:r>
        <w:rPr>
          <w:rFonts w:hint="eastAsia" w:ascii="宋体" w:hAnsi="宋体" w:eastAsia="宋体"/>
          <w:sz w:val="32"/>
          <w:szCs w:val="32"/>
        </w:rPr>
        <w:t>开支</w:t>
      </w:r>
      <w:r>
        <w:rPr>
          <w:rFonts w:hint="eastAsia" w:asciiTheme="minorEastAsia" w:hAnsiTheme="minorEastAsia" w:eastAsiaTheme="minorEastAsia"/>
          <w:sz w:val="32"/>
          <w:szCs w:val="32"/>
          <w:highlight w:val="none"/>
          <w:lang w:val="en-US" w:eastAsia="zh-CN"/>
        </w:rPr>
        <w:t>委托业务费22.54万元，主要是其他部门委托我校举办的各类培训班，如农产品质量安全培训120人，农技推广员培训100人，高素质农民培训50人，农民各种短期培训等所产生的培训费用。</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三</w:t>
      </w:r>
      <w:r>
        <w:rPr>
          <w:rFonts w:hint="eastAsia" w:hAnsi="黑体"/>
          <w:b/>
          <w:sz w:val="32"/>
          <w:szCs w:val="32"/>
          <w:lang w:eastAsia="zh-CN"/>
        </w:rPr>
        <w:t>）</w:t>
      </w:r>
      <w:r>
        <w:rPr>
          <w:rFonts w:hint="eastAsia" w:hAnsi="黑体"/>
          <w:b/>
          <w:sz w:val="32"/>
          <w:szCs w:val="32"/>
        </w:rPr>
        <w:t>政府采购支出说明</w:t>
      </w:r>
    </w:p>
    <w:p>
      <w:pPr>
        <w:pStyle w:val="10"/>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本部门202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年度</w:t>
      </w:r>
      <w:r>
        <w:rPr>
          <w:rFonts w:hint="eastAsia" w:asciiTheme="minorEastAsia" w:hAnsiTheme="minorEastAsia" w:eastAsiaTheme="minorEastAsia"/>
          <w:sz w:val="32"/>
          <w:szCs w:val="32"/>
          <w:lang w:eastAsia="zh-CN"/>
        </w:rPr>
        <w:t>无</w:t>
      </w:r>
      <w:r>
        <w:rPr>
          <w:rFonts w:hint="eastAsia" w:asciiTheme="minorEastAsia" w:hAnsiTheme="minorEastAsia" w:eastAsiaTheme="minorEastAsia"/>
          <w:sz w:val="32"/>
          <w:szCs w:val="32"/>
        </w:rPr>
        <w:t>政府采购</w:t>
      </w:r>
      <w:r>
        <w:rPr>
          <w:rFonts w:hint="eastAsia" w:asciiTheme="minorEastAsia" w:hAnsiTheme="minorEastAsia" w:eastAsiaTheme="minorEastAsia"/>
          <w:sz w:val="32"/>
          <w:szCs w:val="32"/>
          <w:lang w:eastAsia="zh-CN"/>
        </w:rPr>
        <w:t>，政府采购</w:t>
      </w:r>
      <w:r>
        <w:rPr>
          <w:rFonts w:hint="eastAsia" w:asciiTheme="minorEastAsia" w:hAnsiTheme="minorEastAsia" w:eastAsiaTheme="minorEastAsia"/>
          <w:sz w:val="32"/>
          <w:szCs w:val="32"/>
        </w:rPr>
        <w:t>支出总额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lang w:eastAsia="zh-CN"/>
        </w:rPr>
        <w:t>（</w:t>
      </w:r>
      <w:r>
        <w:rPr>
          <w:rFonts w:hint="eastAsia" w:hAnsi="黑体"/>
          <w:b/>
          <w:sz w:val="32"/>
          <w:szCs w:val="32"/>
          <w:lang w:val="en-US" w:eastAsia="zh-CN"/>
        </w:rPr>
        <w:t>四</w:t>
      </w:r>
      <w:r>
        <w:rPr>
          <w:rFonts w:hint="eastAsia" w:hAnsi="黑体"/>
          <w:b/>
          <w:sz w:val="32"/>
          <w:szCs w:val="32"/>
          <w:lang w:eastAsia="zh-CN"/>
        </w:rPr>
        <w:t>）</w:t>
      </w:r>
      <w:r>
        <w:rPr>
          <w:rFonts w:hint="eastAsia" w:hAnsi="黑体"/>
          <w:b/>
          <w:sz w:val="32"/>
          <w:szCs w:val="32"/>
        </w:rPr>
        <w:t>国有资产占用情况说明</w:t>
      </w:r>
    </w:p>
    <w:p>
      <w:pPr>
        <w:pStyle w:val="10"/>
        <w:ind w:firstLine="640" w:firstLineChars="200"/>
        <w:rPr>
          <w:rFonts w:hint="eastAsia"/>
          <w:sz w:val="72"/>
          <w:szCs w:val="72"/>
        </w:rPr>
      </w:pPr>
      <w:r>
        <w:rPr>
          <w:rFonts w:hint="eastAsia" w:asciiTheme="minorEastAsia" w:hAnsiTheme="minorEastAsia" w:eastAsiaTheme="minorEastAsia"/>
          <w:sz w:val="32"/>
          <w:szCs w:val="32"/>
        </w:rPr>
        <w:t>截至202</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年12月31日，本单位共有车辆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辆，其他用车主要是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highlight w:val="none"/>
        </w:rPr>
        <w:t>辆</w:t>
      </w:r>
      <w:r>
        <w:rPr>
          <w:rFonts w:hint="eastAsia" w:asciiTheme="minorEastAsia" w:hAnsiTheme="minorEastAsia" w:eastAsiaTheme="minorEastAsia"/>
          <w:sz w:val="32"/>
          <w:szCs w:val="32"/>
        </w:rPr>
        <w:t>；单位价值50万元以上通用设备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jc w:val="both"/>
        <w:rPr>
          <w:rFonts w:hint="eastAsia"/>
          <w:sz w:val="72"/>
          <w:szCs w:val="72"/>
        </w:rPr>
      </w:pPr>
    </w:p>
    <w:p>
      <w:pPr>
        <w:pStyle w:val="10"/>
        <w:jc w:val="both"/>
        <w:rPr>
          <w:rFonts w:hint="eastAsia"/>
          <w:sz w:val="72"/>
          <w:szCs w:val="72"/>
        </w:rPr>
      </w:pPr>
      <w:bookmarkStart w:id="0" w:name="_GoBack"/>
      <w:bookmarkEnd w:id="0"/>
    </w:p>
    <w:p>
      <w:pPr>
        <w:pStyle w:val="10"/>
        <w:ind w:firstLine="3600" w:firstLineChars="500"/>
        <w:jc w:val="both"/>
        <w:rPr>
          <w:sz w:val="72"/>
          <w:szCs w:val="72"/>
        </w:rPr>
      </w:pPr>
      <w:r>
        <w:rPr>
          <w:rFonts w:hint="eastAsia"/>
          <w:sz w:val="72"/>
          <w:szCs w:val="72"/>
        </w:rPr>
        <w:t>第四部分</w:t>
      </w:r>
    </w:p>
    <w:p>
      <w:pPr>
        <w:jc w:val="center"/>
        <w:rPr>
          <w:rFonts w:ascii="黑体" w:eastAsia="黑体" w:cs="黑体"/>
          <w:color w:val="000000"/>
          <w:kern w:val="0"/>
          <w:sz w:val="70"/>
          <w:szCs w:val="70"/>
        </w:rPr>
      </w:pPr>
    </w:p>
    <w:p>
      <w:pPr>
        <w:jc w:val="center"/>
        <w:outlineLvl w:val="0"/>
        <w:rPr>
          <w:rFonts w:hint="eastAsia" w:ascii="黑体" w:eastAsia="黑体" w:cs="黑体"/>
          <w:color w:val="000000"/>
          <w:kern w:val="0"/>
          <w:sz w:val="70"/>
          <w:szCs w:val="70"/>
        </w:rPr>
      </w:pPr>
      <w:r>
        <w:rPr>
          <w:rFonts w:hint="eastAsia" w:ascii="黑体" w:eastAsia="黑体" w:cs="黑体"/>
          <w:color w:val="000000"/>
          <w:kern w:val="0"/>
          <w:sz w:val="70"/>
          <w:szCs w:val="70"/>
        </w:rPr>
        <w:t>名词解释</w:t>
      </w: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jc w:val="center"/>
        <w:outlineLvl w:val="0"/>
        <w:rPr>
          <w:rFonts w:hint="eastAsia" w:ascii="黑体" w:eastAsia="黑体" w:cs="黑体"/>
          <w:color w:val="000000"/>
          <w:kern w:val="0"/>
          <w:sz w:val="70"/>
          <w:szCs w:val="70"/>
        </w:rPr>
      </w:pPr>
    </w:p>
    <w:p>
      <w:pPr>
        <w:widowControl/>
        <w:numPr>
          <w:ilvl w:val="0"/>
          <w:numId w:val="0"/>
        </w:numPr>
        <w:spacing w:line="240" w:lineRule="auto"/>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lang w:val="en-US" w:eastAsia="zh-CN"/>
        </w:rPr>
        <w:t>财</w:t>
      </w:r>
      <w:r>
        <w:rPr>
          <w:rFonts w:hint="eastAsia" w:ascii="仿宋" w:hAnsi="仿宋" w:eastAsia="仿宋" w:cs="仿宋"/>
          <w:color w:val="000000"/>
          <w:kern w:val="0"/>
          <w:sz w:val="32"/>
          <w:szCs w:val="32"/>
          <w:highlight w:val="white"/>
        </w:rPr>
        <w:t>政拨款收入：指本级财政当年拨付的资金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其他收入：指除上述“财政拨款收入”、“上级补助收入”、“事业收入”、“经营收入”、“附属单位上缴收入”等以外的收入。</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上年结转和结余：指以前年度尚未完成、结转到本年按有关规定继续使用的资金。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年末结转和结余资金：指本年度或以前年度预算安排、因客观条件发生变化无法按原计划实施，需要延迟到以后年度按有关规定继续使用的资金。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科学技术支出（类）：是指用于科学技术方面的支出，包括保障机构正常运转、完成日常和特定的工作任务或事业发展目标的支出。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其他支出（类）：是指用于反映除上述项目以外其他不能划分到具体功能科目中的支出项目，包括保障机构正常运转、完成日常和特定的工作任务或事业发展目标的支出。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基本支出：指保障机构正常运转、完成支日常工作任务而发生的人员支出和公用支出。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项目支出：指在基本支出之外为完成特定行政任务和事业发展目标所发生的支出。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工资福利支出：反映单位开支的在职职工和编制外长期聘用人员的各类劳动报酬，以及为上述人员缴纳的各项社会保险费等。基本工资：反映按规定发放的基本工资，包括公务员的职务工资、级别工资；机关工人的岗位工资、技术等级工资；事业单位工作人员的岗位工资、薪级工资；各类学校毕业生试用期(见习期)工资、新参加工作工人学徒期、熟练期工资；军队（武警）军官、文职干部的职务（专业技术等级）工资、军衔（级别）工资、基础工资和军龄工资；军队士官的军衔等级工资、基础工资和军龄工资等。津贴补贴：反映经国家批准建立的机关事业单位艰苦边远地区津贴、机关工作人员地区附加津贴、机关工作人员岗位津贴、事业单位工作人员特殊岗位津贴补贴等。奖金：反映机关工作人员年终一次性奖金。机关事业单位基本养老保险缴费：反映机关事业单位缴纳的基本养老保险费。由单位代扣的工作人员基本养老保险缴费，不在此科目反映。职工基本医疗保险缴费：反映单位为职工缴纳的基本医疗保险费。公务员医疗补助缴费：反映按规定可享受公务员医疗补助单位为职工缴纳的公务员医疗补助费。其他社会保障缴费：反映单位为职工缴纳的基本医疗、失业、工伤、生育等社会保险费，残疾人就业保障金，军队（含武警）为军人缴纳的伤亡、退役医疗等社会保险费。住房公积金：反映行政事业单位按人力资源和社会保障部、财政部规定的基本工资和津贴补贴以及规定比例为职工缴纳的住房公积金。</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rPr>
      </w:pPr>
      <w:r>
        <w:rPr>
          <w:rFonts w:hint="eastAsia" w:ascii="仿宋" w:hAnsi="仿宋" w:eastAsia="仿宋" w:cs="仿宋"/>
          <w:color w:val="000000"/>
          <w:kern w:val="0"/>
          <w:sz w:val="32"/>
          <w:szCs w:val="32"/>
          <w:highlight w:val="white"/>
        </w:rPr>
        <w:t>商品和服务支出：反映单位购买商品和服务的支出（不包括用于购置固定资产的支出、战略性和应急储备支出）。办公费：反映单位购买按财务会计制度规定不符合固定资产确认标准的日常办公用品、书报杂志等支出。印刷费：反映单位的印刷费支出。邮电费：反映单位开支的信函、包裹、货物等物品的邮寄费及电话费、电报费、传真费、网络通讯费等。差旅费：反映单位工作人员出差发生的城市间交通费、住宿费、伙食补贴费和市内交通费。维修(护)费：反映单位日常开支的固定资产（不包括车船等交通工具）修理和维护费用，网络信息系统运行与维护费用，以及按规定提取的修购基金。培训费：反映除因公出国（境）培训费以外的各类培训支出。公务接待费：反映单位按规定开支的各类公务接待（含外宾接待）费用。劳务费：反映支付给单位和个人的劳务费用，如临时聘用人员、钟点工工资，稿费、翻译费，评审费等</w:t>
      </w:r>
      <w:r>
        <w:rPr>
          <w:rFonts w:hint="eastAsia" w:ascii="仿宋" w:hAnsi="仿宋" w:eastAsia="仿宋" w:cs="仿宋"/>
          <w:color w:val="000000"/>
          <w:kern w:val="0"/>
          <w:sz w:val="32"/>
          <w:szCs w:val="32"/>
          <w:highlight w:val="white"/>
          <w:lang w:val="en-US" w:eastAsia="zh-CN"/>
        </w:rPr>
        <w:t>.</w:t>
      </w:r>
      <w:r>
        <w:rPr>
          <w:rFonts w:hint="eastAsia" w:ascii="仿宋" w:hAnsi="仿宋" w:eastAsia="仿宋" w:cs="仿宋"/>
          <w:color w:val="000000"/>
          <w:kern w:val="0"/>
          <w:sz w:val="32"/>
          <w:szCs w:val="32"/>
          <w:highlight w:val="white"/>
        </w:rPr>
        <w:t>工会经费：反映单位按规定提取的工会经费。其他交通费用：反映单位除公务用车运行维护费以外的其他交通费用。如公务交通补贴，租车费用、出租车费用，飞机、船舶等的燃料费、维修费、保险费等。其他商品和服务支出：反映上述科目未包括的日常公用支出。如行政赔偿费和诉讼费、国内组织的会员费、来访费、广告宣传、其他劳务费及离休人员特需费、公用经费等。</w:t>
      </w:r>
    </w:p>
    <w:p>
      <w:pPr>
        <w:widowControl/>
        <w:numPr>
          <w:ilvl w:val="0"/>
          <w:numId w:val="0"/>
        </w:numPr>
        <w:spacing w:line="600" w:lineRule="exact"/>
        <w:ind w:firstLine="640" w:firstLineChars="200"/>
        <w:rPr>
          <w:rFonts w:hint="eastAsia" w:ascii="仿宋" w:hAnsi="仿宋" w:eastAsia="仿宋" w:cs="仿宋"/>
          <w:color w:val="000000"/>
          <w:kern w:val="0"/>
          <w:sz w:val="32"/>
          <w:szCs w:val="32"/>
          <w:highlight w:val="white"/>
          <w:lang w:val="en-US" w:eastAsia="zh-CN"/>
        </w:rPr>
      </w:pPr>
      <w:r>
        <w:rPr>
          <w:rFonts w:hint="eastAsia" w:ascii="仿宋" w:hAnsi="仿宋" w:eastAsia="仿宋" w:cs="仿宋"/>
          <w:color w:val="000000"/>
          <w:kern w:val="0"/>
          <w:sz w:val="32"/>
          <w:szCs w:val="32"/>
          <w:highlight w:val="white"/>
        </w:rPr>
        <w:t>对个人和家庭的补助：反映政府用于对个人和家庭的补助支出。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r>
        <w:rPr>
          <w:rFonts w:hint="eastAsia" w:ascii="仿宋" w:hAnsi="仿宋" w:eastAsia="仿宋" w:cs="仿宋"/>
          <w:color w:val="000000"/>
          <w:kern w:val="0"/>
          <w:sz w:val="32"/>
          <w:szCs w:val="32"/>
          <w:highlight w:val="white"/>
          <w:lang w:val="en-US" w:eastAsia="zh-CN"/>
        </w:rPr>
        <w:t xml:space="preserve">   </w:t>
      </w:r>
    </w:p>
    <w:p>
      <w:pPr>
        <w:keepNext/>
        <w:keepLines/>
        <w:autoSpaceDE w:val="0"/>
        <w:autoSpaceDN w:val="0"/>
        <w:adjustRightInd w:val="0"/>
        <w:spacing w:beforeLines="0" w:afterLines="0"/>
        <w:ind w:firstLine="640"/>
        <w:rPr>
          <w:rFonts w:eastAsia="黑体" w:cs="黑体" w:asciiTheme="minorEastAsia" w:hAnsiTheme="minorEastAsia"/>
          <w:color w:val="000000"/>
          <w:kern w:val="0"/>
          <w:sz w:val="28"/>
          <w:szCs w:val="32"/>
          <w:highlight w:val="none"/>
        </w:rPr>
      </w:pPr>
      <w:r>
        <w:rPr>
          <w:rFonts w:hint="eastAsia" w:ascii="仿宋" w:hAnsi="仿宋" w:eastAsia="仿宋" w:cs="仿宋"/>
          <w:color w:val="000000"/>
          <w:kern w:val="0"/>
          <w:sz w:val="32"/>
          <w:szCs w:val="32"/>
          <w:highlight w:val="white"/>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 办公用房物业管理费、 公务用车运行维护费以及其他费用。</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rFonts w:hint="eastAsia"/>
          <w:sz w:val="72"/>
          <w:szCs w:val="72"/>
        </w:rPr>
      </w:pPr>
    </w:p>
    <w:p>
      <w:pPr>
        <w:pStyle w:val="10"/>
        <w:jc w:val="center"/>
        <w:rPr>
          <w:rFonts w:hint="eastAsia"/>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3200" w:firstLineChars="10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0000" w:usb1="00000000" w:usb2="00000000" w:usb3="00000000" w:csb0="00000000" w:csb1="00000000"/>
  </w:font>
  <w:font w:name="宋体">
    <w:panose1 w:val="02010600030101010101"/>
    <w:charset w:val="7A"/>
    <w:family w:val="auto"/>
    <w:pitch w:val="default"/>
    <w:sig w:usb0="00000000" w:usb1="00000000" w:usb2="00000000" w:usb3="00000000" w:csb0="0016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panose1 w:val="02010609060101010101"/>
    <w:charset w:val="86"/>
    <w:family w:val="auto"/>
    <w:pitch w:val="default"/>
    <w:sig w:usb0="00000000" w:usb1="00000000" w:usb2="00000000" w:usb3="00000000" w:csb0="00160000"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00000000" w:usb1="00000000" w:usb2="00000000" w:usb3="00000000" w:csb0="00160000" w:csb1="00000000"/>
  </w:font>
  <w:font w:name="方正仿宋_GBK">
    <w:panose1 w:val="02000000000000000000"/>
    <w:charset w:val="86"/>
    <w:family w:val="auto"/>
    <w:pitch w:val="default"/>
    <w:sig w:usb0="00000000" w:usb1="00000000" w:usb2="00000000" w:usb3="00000000" w:csb0="00160000" w:csb1="00000000"/>
  </w:font>
  <w:font w:name="PingFang SC">
    <w:panose1 w:val="020B0400000000000000"/>
    <w:charset w:val="86"/>
    <w:family w:val="auto"/>
    <w:pitch w:val="default"/>
    <w:sig w:usb0="00000000" w:usb1="00000000" w:usb2="00000000" w:usb3="00000000" w:csb0="00160000" w:csb1="00000000"/>
  </w:font>
  <w:font w:name="Tahoma">
    <w:panose1 w:val="020B0604030504040204"/>
    <w:charset w:val="00"/>
    <w:family w:val="auto"/>
    <w:pitch w:val="default"/>
    <w:sig w:usb0="00000000" w:usb1="00000000" w:usb2="00000000" w:usb3="00000000" w:csb0="00000000" w:csb1="00000000"/>
  </w:font>
  <w:font w:name="Kingsoft Sign">
    <w:panose1 w:val="05050102010706020507"/>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wYjE5MDRlMzUzYjI0NmJhN2JiYWE4OTAwMjc5Njc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2C551CC"/>
    <w:rsid w:val="0F927BB6"/>
    <w:rsid w:val="11247CC3"/>
    <w:rsid w:val="115F7498"/>
    <w:rsid w:val="120F1E49"/>
    <w:rsid w:val="124F2BE8"/>
    <w:rsid w:val="1A4B61EF"/>
    <w:rsid w:val="29533F67"/>
    <w:rsid w:val="32EB4D72"/>
    <w:rsid w:val="38FD77E2"/>
    <w:rsid w:val="3FEB6DF4"/>
    <w:rsid w:val="42232093"/>
    <w:rsid w:val="44716B4D"/>
    <w:rsid w:val="474B5914"/>
    <w:rsid w:val="4D4D766F"/>
    <w:rsid w:val="52ED230C"/>
    <w:rsid w:val="5AE674DD"/>
    <w:rsid w:val="5C7A663B"/>
    <w:rsid w:val="66CD6FBE"/>
    <w:rsid w:val="70344547"/>
    <w:rsid w:val="7FFD1D1C"/>
    <w:rsid w:val="9FBEF3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qFormat/>
    <w:uiPriority w:val="99"/>
    <w:rPr>
      <w:sz w:val="18"/>
      <w:szCs w:val="18"/>
    </w:rPr>
  </w:style>
  <w:style w:type="character" w:customStyle="1" w:styleId="9">
    <w:name w:val="页脚 Char"/>
    <w:basedOn w:val="7"/>
    <w:link w:val="4"/>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17</Pages>
  <Words>5242</Words>
  <Characters>5540</Characters>
  <Lines>69</Lines>
  <Paragraphs>19</Paragraphs>
  <TotalTime>5</TotalTime>
  <ScaleCrop>false</ScaleCrop>
  <LinksUpToDate>false</LinksUpToDate>
  <CharactersWithSpaces>5554</CharactersWithSpaces>
  <Application>WPS Office_6.0.0.8068_F1E327BC-269C-435d-A152-05C5408002CA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2020-07-02T10:32:00Z</dcterms:created>
  <dc:creator>李航 null</dc:creator>
  <cp:lastModifiedBy>花卉子</cp:lastModifiedBy>
  <cp:lastPrinted>2022-07-27T20:55:00Z</cp:lastPrinted>
  <dcterms:modified xsi:type="dcterms:W3CDTF">2023-09-15T15:07:06Z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2052-6.0.0.8068</vt:lpwstr>
  </property>
  <property fmtid="{D5CDD505-2E9C-101B-9397-08002B2CF9AE}" pid="3" name="ICV">
    <vt:lpwstr>6130E5A09B9F4B9292A658C3A98E989E</vt:lpwstr>
  </property>
</Properties>
</file>