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2" w:name="_GoBack"/>
      <w:bookmarkEnd w:id="2"/>
    </w:p>
    <w:p>
      <w:pPr>
        <w:spacing w:line="348" w:lineRule="auto"/>
        <w:rPr>
          <w:rFonts w:ascii="黑体" w:hAnsi="黑体" w:eastAsia="黑体" w:cs="黑体"/>
          <w:bCs/>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eastAsia" w:ascii="仿宋" w:hAnsi="仿宋" w:eastAsia="仿宋" w:cs="仿宋"/>
          <w:sz w:val="32"/>
          <w:szCs w:val="32"/>
          <w:u w:val="single"/>
        </w:rPr>
      </w:pPr>
      <w:r>
        <w:rPr>
          <w:rFonts w:hint="eastAsia" w:ascii="仿宋" w:hAnsi="仿宋" w:eastAsia="仿宋" w:cs="仿宋"/>
          <w:sz w:val="32"/>
          <w:szCs w:val="32"/>
        </w:rPr>
        <w:t>部门(单位)名称</w:t>
      </w:r>
      <w:r>
        <w:rPr>
          <w:rFonts w:hint="eastAsia" w:ascii="仿宋" w:hAnsi="仿宋" w:eastAsia="仿宋" w:cs="仿宋"/>
          <w:sz w:val="32"/>
          <w:szCs w:val="32"/>
          <w:lang w:eastAsia="zh-CN"/>
        </w:rPr>
        <w:t>：</w:t>
      </w:r>
      <w:r>
        <w:rPr>
          <w:rFonts w:hint="eastAsia" w:ascii="仿宋" w:hAnsi="仿宋" w:eastAsia="仿宋" w:cs="仿宋"/>
          <w:sz w:val="32"/>
          <w:szCs w:val="32"/>
          <w:u w:val="single"/>
          <w:lang w:eastAsia="zh-CN"/>
        </w:rPr>
        <w:t>岳阳高新技术产业园区管理委员会</w:t>
      </w:r>
      <w:r>
        <w:rPr>
          <w:rFonts w:hint="eastAsia" w:ascii="仿宋" w:hAnsi="仿宋" w:eastAsia="仿宋" w:cs="仿宋"/>
          <w:sz w:val="32"/>
          <w:szCs w:val="32"/>
          <w:u w:val="single"/>
        </w:rPr>
        <w:t xml:space="preserve">  </w:t>
      </w:r>
    </w:p>
    <w:p>
      <w:pPr>
        <w:spacing w:before="156" w:beforeLines="50" w:line="348" w:lineRule="auto"/>
        <w:ind w:firstLine="476" w:firstLineChars="150"/>
        <w:rPr>
          <w:rFonts w:hint="eastAsia" w:ascii="仿宋" w:hAnsi="仿宋" w:eastAsia="仿宋" w:cs="仿宋"/>
          <w:sz w:val="32"/>
          <w:szCs w:val="32"/>
        </w:rPr>
      </w:pPr>
      <w:r>
        <w:rPr>
          <w:rFonts w:hint="eastAsia" w:ascii="仿宋" w:hAnsi="仿宋" w:eastAsia="仿宋" w:cs="仿宋"/>
          <w:sz w:val="32"/>
          <w:szCs w:val="32"/>
        </w:rPr>
        <w:t>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算</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码</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yyx342</w:t>
      </w:r>
      <w:r>
        <w:rPr>
          <w:rFonts w:hint="eastAsia" w:ascii="仿宋" w:hAnsi="仿宋" w:eastAsia="仿宋" w:cs="仿宋"/>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rPr>
          <w:rFonts w:eastAsia="仿宋_GB2312"/>
          <w:sz w:val="32"/>
        </w:rPr>
      </w:pPr>
    </w:p>
    <w:p>
      <w:pPr>
        <w:keepNext w:val="0"/>
        <w:keepLines w:val="0"/>
        <w:pageBreakBefore w:val="0"/>
        <w:widowControl w:val="0"/>
        <w:kinsoku/>
        <w:wordWrap/>
        <w:overflowPunct/>
        <w:topLinePunct w:val="0"/>
        <w:autoSpaceDE/>
        <w:autoSpaceDN/>
        <w:bidi w:val="0"/>
        <w:adjustRightInd/>
        <w:snapToGrid w:val="0"/>
        <w:spacing w:line="8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报告日期：</w:t>
      </w:r>
      <w:r>
        <w:rPr>
          <w:rFonts w:hint="eastAsia" w:ascii="仿宋" w:hAnsi="仿宋" w:eastAsia="仿宋" w:cs="仿宋"/>
          <w:sz w:val="32"/>
          <w:szCs w:val="32"/>
          <w:lang w:val="en-US" w:eastAsia="zh-CN"/>
        </w:rPr>
        <w:t>2022</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07</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149"/>
        <w:gridCol w:w="77"/>
        <w:gridCol w:w="455"/>
        <w:gridCol w:w="1080"/>
        <w:gridCol w:w="265"/>
        <w:gridCol w:w="139"/>
        <w:gridCol w:w="316"/>
        <w:gridCol w:w="625"/>
      </w:tblGrid>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黄  梅</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15074061133</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w:t>
            </w:r>
          </w:p>
        </w:tc>
      </w:tr>
      <w:tr>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负责编制园区总体规划和发展计划，制定园区行政管理制度，按规定审批或报批</w:t>
            </w:r>
            <w:r>
              <w:rPr>
                <w:rFonts w:hint="eastAsia" w:ascii="仿宋" w:hAnsi="仿宋" w:eastAsia="仿宋" w:cs="仿宋"/>
                <w:sz w:val="24"/>
                <w:szCs w:val="24"/>
                <w:lang w:val="en-US" w:eastAsia="zh-CN"/>
              </w:rPr>
              <w:t>园区</w:t>
            </w:r>
            <w:r>
              <w:rPr>
                <w:rFonts w:hint="eastAsia" w:ascii="仿宋_GB2312" w:hAnsi="仿宋_GB2312" w:eastAsia="仿宋_GB2312" w:cs="仿宋_GB2312"/>
                <w:color w:val="000000"/>
                <w:sz w:val="24"/>
                <w:szCs w:val="24"/>
                <w:lang w:val="en-US" w:eastAsia="zh-CN"/>
              </w:rPr>
              <w:t>建设和投资项目，代表县政府行使</w:t>
            </w:r>
            <w:r>
              <w:rPr>
                <w:rFonts w:hint="eastAsia" w:ascii="仿宋" w:hAnsi="仿宋" w:eastAsia="仿宋" w:cs="仿宋"/>
                <w:sz w:val="24"/>
                <w:szCs w:val="24"/>
                <w:lang w:val="en-US" w:eastAsia="zh-CN"/>
              </w:rPr>
              <w:t>园区</w:t>
            </w:r>
            <w:r>
              <w:rPr>
                <w:rFonts w:hint="eastAsia" w:ascii="仿宋_GB2312" w:hAnsi="仿宋_GB2312" w:eastAsia="仿宋_GB2312" w:cs="仿宋_GB2312"/>
                <w:color w:val="000000"/>
                <w:sz w:val="24"/>
                <w:szCs w:val="24"/>
                <w:lang w:val="en-US" w:eastAsia="zh-CN"/>
              </w:rPr>
              <w:t>招商引进合同签约主体。</w:t>
            </w:r>
          </w:p>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负责园区项目的招商、筹资、融资、协调工作。</w:t>
            </w:r>
          </w:p>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负责园区征地拆迁、基础设施配套建设等工作，建设县域工业发展平台。</w:t>
            </w:r>
          </w:p>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为入园投资企业提供环境保护、工作服务、行政监督、合同履行等主体工作。</w:t>
            </w:r>
          </w:p>
          <w:p>
            <w:pPr>
              <w:keepNext w:val="0"/>
              <w:keepLines w:val="0"/>
              <w:pageBreakBefore w:val="0"/>
              <w:widowControl w:val="0"/>
              <w:numPr>
                <w:ilvl w:val="0"/>
                <w:numId w:val="2"/>
              </w:numPr>
              <w:kinsoku/>
              <w:wordWrap/>
              <w:overflowPunct/>
              <w:topLinePunct w:val="0"/>
              <w:autoSpaceDE/>
              <w:autoSpaceDN w:val="0"/>
              <w:bidi w:val="0"/>
              <w:adjustRightInd/>
              <w:snapToGrid/>
              <w:spacing w:line="320" w:lineRule="exact"/>
              <w:ind w:left="0" w:leftChars="0" w:firstLine="400" w:firstLineChars="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负责园区规划区内的项目策划、工程建设、劳动就业、综合统计、国资管理、社会保障、环境保护和社会治安等综合行政工作。</w:t>
            </w:r>
          </w:p>
        </w:tc>
      </w:tr>
      <w:tr>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目标1：对照招商项目库，精准出击，敲门招商，确保全年新引进亿元项目20个以上，5亿元以上项目5个以上，10亿元项目1个以上。</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2：加快推进六期和七期扩园土地征拆和报批工作，确保新征用地1000亩以上，报批土地1000亩以上。加速推进园区新建标准化厂房、兴园社区公租房、污水处理厂、六期路网及配套水、电、排水、排污等设施建设，确保开工建设一批，建成投产一批，六期基本建设到位。</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目标3：着力解决企业发展和项目建设的“难点”“痛点”“堵点”问题，打造保姆式政务服务环境，确保项目落地零阻力、零损耗，助力企业发展壮大。</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目标4：园区企业实缴税收突破3.5亿元。 </w:t>
            </w:r>
          </w:p>
        </w:tc>
      </w:tr>
      <w:tr>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3"/>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经济效益逆势提升。2021年，园区企业完成技工贸总收入392.88亿元，同比增长28.89%，实缴税收4.28亿元，同比增长13.8%。</w:t>
            </w:r>
          </w:p>
          <w:p>
            <w:pPr>
              <w:keepNext w:val="0"/>
              <w:keepLines w:val="0"/>
              <w:pageBreakBefore w:val="0"/>
              <w:widowControl w:val="0"/>
              <w:numPr>
                <w:ilvl w:val="0"/>
                <w:numId w:val="3"/>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招商引资成效显著。2021年成功引进42</w:t>
            </w:r>
            <w:r>
              <w:rPr>
                <w:rFonts w:hint="eastAsia" w:ascii="仿宋_GB2312" w:hAnsi="仿宋_GB2312" w:eastAsia="仿宋_GB2312" w:cs="仿宋_GB2312"/>
                <w:color w:val="000000"/>
                <w:sz w:val="24"/>
                <w:szCs w:val="24"/>
                <w:lang w:val="zh-CN" w:eastAsia="zh-CN"/>
              </w:rPr>
              <w:t>个链上项目，</w:t>
            </w:r>
            <w:r>
              <w:rPr>
                <w:rFonts w:hint="eastAsia" w:ascii="仿宋_GB2312" w:hAnsi="仿宋_GB2312" w:eastAsia="仿宋_GB2312" w:cs="仿宋_GB2312"/>
                <w:color w:val="000000"/>
                <w:sz w:val="24"/>
                <w:szCs w:val="24"/>
                <w:lang w:val="en-US" w:eastAsia="zh-CN"/>
              </w:rPr>
              <w:t>合同引资125.6亿元，其中过10亿元项目4个，过5亿元项目4个。</w:t>
            </w:r>
          </w:p>
          <w:p>
            <w:pPr>
              <w:keepNext w:val="0"/>
              <w:keepLines w:val="0"/>
              <w:pageBreakBefore w:val="0"/>
              <w:widowControl w:val="0"/>
              <w:numPr>
                <w:ilvl w:val="0"/>
                <w:numId w:val="3"/>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项目建设换挡提速。全年园区新开工产业项目38个，竣工投产产业项目34个。</w:t>
            </w:r>
          </w:p>
          <w:p>
            <w:pPr>
              <w:keepNext w:val="0"/>
              <w:keepLines w:val="0"/>
              <w:pageBreakBefore w:val="0"/>
              <w:widowControl w:val="0"/>
              <w:numPr>
                <w:ilvl w:val="0"/>
                <w:numId w:val="3"/>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基础设施不断完善。新建的标准化厂房、兴园社区公租房已竣工并投入使用。</w:t>
            </w:r>
            <w:r>
              <w:rPr>
                <w:rFonts w:hint="default" w:ascii="仿宋_GB2312" w:hAnsi="仿宋_GB2312" w:eastAsia="仿宋_GB2312" w:cs="仿宋_GB2312"/>
                <w:color w:val="000000"/>
                <w:sz w:val="24"/>
                <w:szCs w:val="24"/>
                <w:lang w:val="en-US" w:eastAsia="zh-CN"/>
              </w:rPr>
              <w:t>对园区现有污水处理厂进行了</w:t>
            </w:r>
            <w:r>
              <w:rPr>
                <w:rFonts w:hint="eastAsia" w:ascii="仿宋_GB2312" w:hAnsi="仿宋_GB2312" w:eastAsia="仿宋_GB2312" w:cs="仿宋_GB2312"/>
                <w:color w:val="000000"/>
                <w:sz w:val="24"/>
                <w:szCs w:val="24"/>
                <w:lang w:val="en-US" w:eastAsia="zh-CN"/>
              </w:rPr>
              <w:t>提质</w:t>
            </w:r>
            <w:r>
              <w:rPr>
                <w:rFonts w:hint="default" w:ascii="仿宋_GB2312" w:hAnsi="仿宋_GB2312" w:eastAsia="仿宋_GB2312" w:cs="仿宋_GB2312"/>
                <w:color w:val="000000"/>
                <w:sz w:val="24"/>
                <w:szCs w:val="24"/>
                <w:lang w:val="en-US" w:eastAsia="zh-CN"/>
              </w:rPr>
              <w:t>整改，并启动了新建工业污水处理厂建设</w:t>
            </w:r>
            <w:r>
              <w:rPr>
                <w:rFonts w:hint="eastAsia" w:ascii="仿宋_GB2312" w:hAnsi="仿宋_GB2312" w:eastAsia="仿宋_GB2312" w:cs="仿宋_GB2312"/>
                <w:color w:val="000000"/>
                <w:sz w:val="24"/>
                <w:szCs w:val="24"/>
                <w:lang w:val="en-US" w:eastAsia="zh-CN"/>
              </w:rPr>
              <w:t>。</w:t>
            </w:r>
          </w:p>
          <w:p>
            <w:pPr>
              <w:keepNext w:val="0"/>
              <w:keepLines w:val="0"/>
              <w:pageBreakBefore w:val="0"/>
              <w:widowControl w:val="0"/>
              <w:numPr>
                <w:ilvl w:val="0"/>
                <w:numId w:val="3"/>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土地要素保障充分。全力推进了六期、七期土地征收、调规、报批工作；全面开展批而未供土地清零工作；扎实开展园区企业闲置用地清理和盘活工作，目前园区“僵尸企业”清理全部清退，闲置低效用地逐渐清零。</w:t>
            </w:r>
          </w:p>
          <w:p>
            <w:pPr>
              <w:keepNext w:val="0"/>
              <w:keepLines w:val="0"/>
              <w:pageBreakBefore w:val="0"/>
              <w:widowControl w:val="0"/>
              <w:numPr>
                <w:ilvl w:val="0"/>
                <w:numId w:val="3"/>
              </w:numPr>
              <w:kinsoku/>
              <w:wordWrap/>
              <w:overflowPunct/>
              <w:topLinePunct w:val="0"/>
              <w:autoSpaceDE/>
              <w:autoSpaceDN w:val="0"/>
              <w:bidi w:val="0"/>
              <w:adjustRightInd/>
              <w:snapToGrid/>
              <w:spacing w:line="400" w:lineRule="exact"/>
              <w:ind w:left="0" w:leftChars="0" w:firstLine="400" w:firstLineChars="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营商环境全面优化。高效运转园区企业服务中心，积极搭建智能化、信息化园区综合管理系统平台，提高专业化管理水平和服务效能。</w:t>
            </w: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33822.09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2252.39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51</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19220</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93</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527</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26</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33822.09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2252.39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51</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19220</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93</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527</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26</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33822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935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432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8</w:t>
            </w:r>
            <w:r>
              <w:rPr>
                <w:rFonts w:hint="eastAsia" w:ascii="仿宋_GB2312" w:hAnsi="仿宋_GB2312" w:eastAsia="仿宋_GB2312" w:cs="仿宋_GB2312"/>
                <w:color w:val="000000"/>
                <w:sz w:val="24"/>
                <w:lang w:val="en-US" w:eastAsia="zh-CN"/>
              </w:rPr>
              <w:t>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502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32886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64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33822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8</w:t>
            </w:r>
            <w:r>
              <w:rPr>
                <w:rFonts w:hint="eastAsia" w:ascii="仿宋_GB2312" w:hAnsi="仿宋_GB2312" w:eastAsia="仿宋_GB2312" w:cs="仿宋_GB2312"/>
                <w:color w:val="000000"/>
                <w:sz w:val="24"/>
                <w:lang w:val="en-US" w:eastAsia="zh-CN"/>
              </w:rPr>
              <w:t>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32886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64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297.97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297.97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297.97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297.97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101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86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目标1：对照招商项目库，精准出击，敲门招商，确保全年新引进亿元项目20个以上，5亿元以上项目5个以上，10亿元项目1个以上。</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2：加快推进六期和七期扩园土地征拆和报批工作，确保新征用地1000亩以上，报批土地1000亩以上。加速推进园区新建标准化厂房、兴园社区公租房、污水处理厂、六期路网及配套水、电、排水、排污等设施建设，确保开工建设一批，建成投产一批，六期基本建设到位。</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目标3：着力解决企业发展和项目建设的“难点”“痛点”“堵点”问题，打造保姆式政务服务环境，确保项目落地零阻力、零损耗，助力企业发展壮大。</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lang w:val="en-US" w:eastAsia="zh-CN"/>
              </w:rPr>
            </w:pPr>
            <w:r>
              <w:rPr>
                <w:rFonts w:hint="eastAsia" w:ascii="仿宋_GB2312" w:hAnsi="仿宋_GB2312" w:eastAsia="仿宋_GB2312" w:cs="仿宋_GB2312"/>
                <w:color w:val="000000"/>
                <w:sz w:val="24"/>
                <w:szCs w:val="24"/>
                <w:lang w:val="en-US" w:eastAsia="zh-CN"/>
              </w:rPr>
              <w:t>目标4：园区企业实缴税收突破3.5亿元。</w:t>
            </w:r>
            <w:r>
              <w:rPr>
                <w:rFonts w:hint="eastAsia"/>
                <w:lang w:val="en-US" w:eastAsia="zh-CN"/>
              </w:rPr>
              <w:t xml:space="preserve"> </w:t>
            </w:r>
          </w:p>
          <w:p>
            <w:pPr>
              <w:pStyle w:val="2"/>
              <w:rPr>
                <w:rFonts w:hint="eastAsia"/>
                <w:lang w:eastAsia="zh-CN"/>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完成目标1任务：2021年成功引进42</w:t>
            </w:r>
            <w:r>
              <w:rPr>
                <w:rFonts w:hint="eastAsia" w:ascii="仿宋_GB2312" w:hAnsi="仿宋_GB2312" w:eastAsia="仿宋_GB2312" w:cs="仿宋_GB2312"/>
                <w:color w:val="000000"/>
                <w:sz w:val="24"/>
                <w:szCs w:val="24"/>
                <w:lang w:val="zh-CN" w:eastAsia="zh-CN"/>
              </w:rPr>
              <w:t>个链上项目，</w:t>
            </w:r>
            <w:r>
              <w:rPr>
                <w:rFonts w:hint="eastAsia" w:ascii="仿宋_GB2312" w:hAnsi="仿宋_GB2312" w:eastAsia="仿宋_GB2312" w:cs="仿宋_GB2312"/>
                <w:color w:val="000000"/>
                <w:sz w:val="24"/>
                <w:szCs w:val="24"/>
                <w:lang w:val="en-US" w:eastAsia="zh-CN"/>
              </w:rPr>
              <w:t>合同引资125.6亿元，其中过10亿元项目4个，过5亿元项目4个。</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完成目标2任务：全力推进了六期、七期土地征收、调规、报批工作；全面开展批而未供土地清零工作；扎实开展园区企业闲置用地清理和盘活工作，目前园区“僵尸企业”清理全部清退，闲置低效用地逐渐清零。</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完成目标3任务：高效运转园区企业服务中心，积极搭建智能化、信息化园区综合管理系统平台，提高专业化管理水平和服务效能。</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完成目标4任务：2021年，园区企业完成技工贸总收入392.88亿元，同比增长28.89%，实缴税收4.28亿元，同比增长13.8%。</w:t>
            </w:r>
          </w:p>
          <w:p>
            <w:pPr>
              <w:pStyle w:val="2"/>
              <w:rPr>
                <w:rFonts w:hint="default"/>
                <w:lang w:val="en-US" w:eastAsia="zh-CN"/>
              </w:rPr>
            </w:pPr>
          </w:p>
        </w:tc>
      </w:tr>
      <w:tr>
        <w:trPr>
          <w:trHeight w:val="692"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评价内容</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绩效目标</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完成情况</w:t>
            </w:r>
          </w:p>
        </w:tc>
      </w:tr>
      <w:tr>
        <w:trPr>
          <w:trHeight w:val="79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产出目标</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政府采购执行率</w:t>
            </w:r>
            <w:r>
              <w:rPr>
                <w:rFonts w:hint="eastAsia" w:ascii="仿宋_GB2312" w:hAnsi="仿宋_GB2312" w:eastAsia="仿宋_GB2312" w:cs="仿宋_GB2312"/>
                <w:color w:val="000000"/>
                <w:sz w:val="24"/>
                <w:szCs w:val="24"/>
                <w:lang w:val="en-US" w:eastAsia="zh-CN"/>
              </w:rPr>
              <w:t>100%</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100%</w:t>
            </w:r>
          </w:p>
        </w:tc>
      </w:tr>
      <w:tr>
        <w:trPr>
          <w:trHeight w:val="66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公务卡刷卡率</w:t>
            </w:r>
            <w:r>
              <w:rPr>
                <w:rFonts w:hint="eastAsia" w:ascii="仿宋_GB2312" w:hAnsi="仿宋_GB2312" w:eastAsia="仿宋_GB2312" w:cs="仿宋_GB2312"/>
                <w:color w:val="000000"/>
                <w:sz w:val="24"/>
                <w:szCs w:val="24"/>
                <w:lang w:val="en-US" w:eastAsia="zh-CN"/>
              </w:rPr>
              <w:t>60%</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85%</w:t>
            </w:r>
          </w:p>
        </w:tc>
      </w:tr>
      <w:tr>
        <w:trPr>
          <w:trHeight w:val="72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固定资产利用率</w:t>
            </w:r>
            <w:r>
              <w:rPr>
                <w:rFonts w:hint="eastAsia" w:ascii="仿宋_GB2312" w:hAnsi="仿宋_GB2312" w:eastAsia="仿宋_GB2312" w:cs="仿宋_GB2312"/>
                <w:color w:val="000000"/>
                <w:sz w:val="24"/>
                <w:szCs w:val="24"/>
                <w:lang w:val="en-US" w:eastAsia="zh-CN"/>
              </w:rPr>
              <w:t>100%</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100%</w:t>
            </w:r>
          </w:p>
        </w:tc>
      </w:tr>
      <w:tr>
        <w:trPr>
          <w:trHeight w:val="79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财政供养人员控制率100%</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val="0"/>
                <w:bCs/>
                <w:color w:val="000000"/>
                <w:sz w:val="24"/>
                <w:szCs w:val="24"/>
                <w:lang w:val="en-US" w:eastAsia="zh-CN"/>
              </w:rPr>
              <w:t>100%</w:t>
            </w:r>
          </w:p>
        </w:tc>
      </w:tr>
      <w:tr>
        <w:trPr>
          <w:trHeight w:val="69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三公经费控制率100%</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val="0"/>
                <w:bCs/>
                <w:color w:val="000000"/>
                <w:sz w:val="24"/>
                <w:szCs w:val="24"/>
                <w:lang w:val="en-US" w:eastAsia="zh-CN"/>
              </w:rPr>
              <w:t>100%</w:t>
            </w:r>
          </w:p>
        </w:tc>
      </w:tr>
      <w:tr>
        <w:trPr>
          <w:trHeight w:val="67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三公经费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变动率≤0</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-0.11%</w:t>
            </w:r>
          </w:p>
        </w:tc>
      </w:tr>
      <w:tr>
        <w:trPr>
          <w:trHeight w:val="10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招商项目20个，投资金额24亿元</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lang w:val="en-US" w:eastAsia="zh-CN"/>
              </w:rPr>
              <w:t>招商</w:t>
            </w:r>
            <w:r>
              <w:rPr>
                <w:rFonts w:hint="eastAsia" w:ascii="仿宋_GB2312" w:hAnsi="仿宋_GB2312" w:eastAsia="仿宋_GB2312" w:cs="仿宋_GB2312"/>
                <w:color w:val="000000"/>
                <w:sz w:val="24"/>
                <w:szCs w:val="24"/>
                <w:lang w:val="zh-CN" w:eastAsia="zh-CN"/>
              </w:rPr>
              <w:t>项目</w:t>
            </w:r>
            <w:r>
              <w:rPr>
                <w:rFonts w:hint="eastAsia" w:ascii="仿宋_GB2312" w:hAnsi="仿宋_GB2312" w:eastAsia="仿宋_GB2312" w:cs="仿宋_GB2312"/>
                <w:color w:val="000000"/>
                <w:sz w:val="24"/>
                <w:szCs w:val="24"/>
                <w:lang w:val="en-US" w:eastAsia="zh-CN"/>
              </w:rPr>
              <w:t>42</w:t>
            </w:r>
            <w:r>
              <w:rPr>
                <w:rFonts w:hint="eastAsia" w:ascii="仿宋_GB2312" w:hAnsi="仿宋_GB2312" w:eastAsia="仿宋_GB2312" w:cs="仿宋_GB2312"/>
                <w:color w:val="000000"/>
                <w:sz w:val="24"/>
                <w:szCs w:val="24"/>
                <w:lang w:val="zh-CN" w:eastAsia="zh-CN"/>
              </w:rPr>
              <w:t>个，</w:t>
            </w:r>
            <w:r>
              <w:rPr>
                <w:rFonts w:hint="eastAsia" w:ascii="仿宋_GB2312" w:hAnsi="仿宋_GB2312" w:eastAsia="仿宋_GB2312" w:cs="仿宋_GB2312"/>
                <w:color w:val="000000"/>
                <w:sz w:val="24"/>
                <w:szCs w:val="24"/>
                <w:lang w:val="en-US" w:eastAsia="zh-CN"/>
              </w:rPr>
              <w:t>合同引资125.6亿元</w:t>
            </w:r>
          </w:p>
        </w:tc>
      </w:tr>
      <w:tr>
        <w:trPr>
          <w:trHeight w:val="86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2"/>
                <w:sz w:val="24"/>
                <w:szCs w:val="24"/>
                <w:lang w:val="en-US" w:eastAsia="zh-CN" w:bidi="ar-SA"/>
              </w:rPr>
              <w:t>投入管理资金</w:t>
            </w:r>
            <w:r>
              <w:rPr>
                <w:rFonts w:hint="eastAsia" w:ascii="仿宋_GB2312" w:hAnsi="仿宋_GB2312" w:eastAsia="仿宋_GB2312" w:cs="仿宋_GB2312"/>
                <w:color w:val="000000"/>
                <w:sz w:val="24"/>
                <w:szCs w:val="24"/>
                <w:lang w:val="en-US" w:eastAsia="zh-CN"/>
              </w:rPr>
              <w:t>33822.09万元</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val="0"/>
                <w:bCs/>
                <w:color w:val="000000"/>
                <w:sz w:val="24"/>
                <w:szCs w:val="24"/>
                <w:lang w:val="en-US" w:eastAsia="zh-CN"/>
              </w:rPr>
              <w:t>100%</w:t>
            </w:r>
          </w:p>
        </w:tc>
      </w:tr>
      <w:tr>
        <w:trPr>
          <w:trHeight w:val="69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效益目标</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指标：新增就业500人</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新增就业约800人</w:t>
            </w:r>
          </w:p>
        </w:tc>
      </w:tr>
      <w:tr>
        <w:trPr>
          <w:trHeight w:val="105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指标：园区企业实缴税收3.5亿元</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实缴税收4.29亿元</w:t>
            </w:r>
          </w:p>
        </w:tc>
      </w:tr>
      <w:tr>
        <w:trPr>
          <w:trHeight w:val="101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生态效益</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指标：园区企业污染物排放100%达标</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达标</w:t>
            </w:r>
          </w:p>
        </w:tc>
      </w:tr>
      <w:tr>
        <w:trPr>
          <w:trHeight w:val="106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可持续影响（指标）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园区持续发展后劲不断增强，税收贡献增长10%</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税收同比增长13.8%</w:t>
            </w:r>
          </w:p>
        </w:tc>
      </w:tr>
      <w:tr>
        <w:trPr>
          <w:trHeight w:val="116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社会公众或服务对象满意度</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企业对园区服务满意度95%以上</w:t>
            </w:r>
          </w:p>
        </w:tc>
        <w:tc>
          <w:tcPr>
            <w:tcW w:w="295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95%</w:t>
            </w:r>
          </w:p>
        </w:tc>
      </w:tr>
      <w:tr>
        <w:trPr>
          <w:trHeight w:val="782"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98.5</w:t>
            </w:r>
          </w:p>
        </w:tc>
      </w:tr>
      <w:tr>
        <w:trPr>
          <w:trHeight w:val="79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优</w:t>
            </w:r>
          </w:p>
        </w:tc>
      </w:tr>
      <w:tr>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sz w:val="24"/>
                <w:szCs w:val="24"/>
              </w:rPr>
              <w:t>四、评价人员</w:t>
            </w:r>
          </w:p>
        </w:tc>
      </w:tr>
      <w:tr>
        <w:trPr>
          <w:trHeight w:val="60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吴少锋</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管委会副主任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罗志爱</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财务科科长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李 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黄 梅</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机关会计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评价组组长（签字）：</w:t>
            </w: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pStyle w:val="2"/>
              <w:rPr>
                <w:rFonts w:ascii="仿宋_GB2312" w:hAnsi="仿宋_GB2312" w:eastAsia="仿宋_GB2312" w:cs="仿宋_GB2312"/>
                <w:color w:val="000000"/>
                <w:sz w:val="24"/>
                <w:szCs w:val="24"/>
              </w:rPr>
            </w:pPr>
          </w:p>
          <w:p>
            <w:pPr>
              <w:pStyle w:val="3"/>
              <w:rPr>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部门（单位）意见：</w:t>
            </w:r>
          </w:p>
          <w:p>
            <w:pPr>
              <w:autoSpaceDN w:val="0"/>
              <w:spacing w:line="320" w:lineRule="exact"/>
              <w:jc w:val="left"/>
              <w:textAlignment w:val="center"/>
              <w:rPr>
                <w:sz w:val="24"/>
                <w:szCs w:val="24"/>
              </w:rPr>
            </w:pPr>
          </w:p>
          <w:p>
            <w:pPr>
              <w:autoSpaceDN w:val="0"/>
              <w:spacing w:line="320" w:lineRule="exact"/>
              <w:jc w:val="left"/>
              <w:textAlignment w:val="center"/>
              <w:rPr>
                <w:sz w:val="24"/>
                <w:szCs w:val="24"/>
              </w:rPr>
            </w:pPr>
          </w:p>
          <w:p>
            <w:pPr>
              <w:autoSpaceDN w:val="0"/>
              <w:spacing w:line="320" w:lineRule="exact"/>
              <w:jc w:val="left"/>
              <w:textAlignment w:val="center"/>
              <w:rPr>
                <w:sz w:val="24"/>
                <w:szCs w:val="24"/>
              </w:rPr>
            </w:pPr>
          </w:p>
          <w:p>
            <w:pPr>
              <w:autoSpaceDN w:val="0"/>
              <w:spacing w:line="320" w:lineRule="exact"/>
              <w:jc w:val="left"/>
              <w:textAlignment w:val="center"/>
              <w:rPr>
                <w:sz w:val="24"/>
                <w:szCs w:val="24"/>
              </w:rPr>
            </w:pPr>
          </w:p>
          <w:p>
            <w:pPr>
              <w:pStyle w:val="2"/>
              <w:rPr>
                <w:sz w:val="24"/>
                <w:szCs w:val="24"/>
              </w:rPr>
            </w:pPr>
          </w:p>
          <w:p>
            <w:pPr>
              <w:pStyle w:val="3"/>
              <w:rPr>
                <w:sz w:val="24"/>
                <w:szCs w:val="24"/>
              </w:rPr>
            </w:pPr>
          </w:p>
          <w:p>
            <w:pPr>
              <w:rPr>
                <w:sz w:val="24"/>
                <w:szCs w:val="24"/>
              </w:rPr>
            </w:pPr>
          </w:p>
          <w:p>
            <w:pPr>
              <w:autoSpaceDN w:val="0"/>
              <w:spacing w:line="320" w:lineRule="exact"/>
              <w:jc w:val="left"/>
              <w:textAlignment w:val="center"/>
              <w:rPr>
                <w:sz w:val="24"/>
                <w:szCs w:val="24"/>
              </w:rPr>
            </w:pPr>
          </w:p>
          <w:p>
            <w:pPr>
              <w:autoSpaceDN w:val="0"/>
              <w:spacing w:line="320" w:lineRule="exact"/>
              <w:jc w:val="left"/>
              <w:textAlignment w:val="center"/>
              <w:rPr>
                <w:sz w:val="24"/>
                <w:szCs w:val="24"/>
              </w:rPr>
            </w:pPr>
          </w:p>
          <w:p>
            <w:pPr>
              <w:autoSpaceDN w:val="0"/>
              <w:spacing w:line="320" w:lineRule="exact"/>
              <w:jc w:val="left"/>
              <w:textAlignment w:val="center"/>
              <w:rPr>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p>
            <w:pPr>
              <w:pStyle w:val="2"/>
              <w:rPr>
                <w:sz w:val="24"/>
                <w:szCs w:val="24"/>
              </w:rPr>
            </w:pPr>
          </w:p>
        </w:tc>
      </w:tr>
    </w:tbl>
    <w:p>
      <w:pPr>
        <w:rPr>
          <w:rFonts w:hint="default" w:eastAsia="仿宋_GB2312" w:cs="仿宋_GB2312"/>
          <w:bCs/>
          <w:sz w:val="28"/>
          <w:szCs w:val="28"/>
          <w:lang w:val="en-US" w:eastAsia="zh-CN"/>
        </w:rPr>
      </w:pPr>
      <w:r>
        <w:rPr>
          <w:rFonts w:hint="eastAsia" w:ascii="仿宋_GB2312" w:hAnsi="仿宋_GB2312" w:eastAsia="仿宋_GB2312" w:cs="仿宋_GB2312"/>
          <w:color w:val="000000"/>
          <w:sz w:val="24"/>
          <w:szCs w:val="24"/>
        </w:rPr>
        <w:t>填报人（签名）：</w:t>
      </w:r>
      <w:r>
        <w:rPr>
          <w:rFonts w:hint="eastAsia" w:ascii="仿宋_GB2312" w:hAnsi="仿宋_GB2312" w:eastAsia="仿宋_GB2312" w:cs="仿宋_GB2312"/>
          <w:color w:val="000000"/>
          <w:sz w:val="24"/>
          <w:szCs w:val="24"/>
          <w:lang w:val="en-US" w:eastAsia="zh-CN"/>
        </w:rPr>
        <w:t>黄 梅</w:t>
      </w:r>
      <w:r>
        <w:rPr>
          <w:rFonts w:hint="eastAsia" w:eastAsia="仿宋_GB2312" w:cs="仿宋_GB2312"/>
          <w:bCs/>
          <w:sz w:val="28"/>
          <w:szCs w:val="28"/>
          <w:lang w:val="en-US" w:eastAsia="zh-CN"/>
        </w:rPr>
        <w:t xml:space="preserve">                      </w:t>
      </w:r>
      <w:r>
        <w:rPr>
          <w:rFonts w:hint="eastAsia" w:ascii="仿宋_GB2312" w:hAnsi="仿宋_GB2312" w:eastAsia="仿宋_GB2312" w:cs="仿宋_GB2312"/>
          <w:color w:val="000000"/>
          <w:sz w:val="24"/>
          <w:szCs w:val="24"/>
        </w:rPr>
        <w:t>联系电话：</w:t>
      </w:r>
      <w:r>
        <w:rPr>
          <w:rFonts w:hint="eastAsia" w:ascii="仿宋_GB2312" w:hAnsi="仿宋_GB2312" w:eastAsia="仿宋_GB2312" w:cs="仿宋_GB2312"/>
          <w:color w:val="000000"/>
          <w:sz w:val="24"/>
          <w:szCs w:val="24"/>
          <w:lang w:val="en-US" w:eastAsia="zh-CN"/>
        </w:rPr>
        <w:t>15074061133</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eastAsia="仿宋_GB2312"/>
                <w:sz w:val="24"/>
              </w:rPr>
            </w:pPr>
            <w:r>
              <w:rPr>
                <w:rFonts w:hint="eastAsia" w:ascii="黑体" w:hAnsi="黑体" w:eastAsia="黑体" w:cs="黑体"/>
                <w:b/>
                <w:bCs/>
                <w:sz w:val="32"/>
                <w:szCs w:val="32"/>
              </w:rPr>
              <w:t>五、评价报告综述（文字部分）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560" w:firstLineChars="200"/>
              <w:textAlignment w:val="auto"/>
              <w:outlineLvl w:val="9"/>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sz w:val="24"/>
                <w:szCs w:val="24"/>
              </w:rPr>
            </w:pPr>
            <w:r>
              <w:rPr>
                <w:rFonts w:hint="eastAsia" w:ascii="仿宋_GB2312" w:eastAsia="仿宋_GB2312"/>
                <w:sz w:val="24"/>
                <w:szCs w:val="24"/>
              </w:rPr>
              <w:t>（一）部门（单位）基本情况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20" w:lineRule="exact"/>
              <w:ind w:left="0" w:leftChars="0" w:right="0" w:rightChars="0" w:firstLine="480" w:firstLineChars="200"/>
              <w:jc w:val="both"/>
              <w:textAlignment w:val="auto"/>
              <w:outlineLvl w:val="9"/>
              <w:rPr>
                <w:rFonts w:hint="eastAsia" w:ascii="仿宋_GB2312" w:eastAsia="仿宋_GB2312"/>
                <w:kern w:val="2"/>
                <w:sz w:val="24"/>
                <w:szCs w:val="24"/>
                <w:lang w:val="en-US" w:eastAsia="zh-CN" w:bidi="ar-SA"/>
              </w:rPr>
            </w:pPr>
            <w:r>
              <w:rPr>
                <w:rFonts w:hint="default" w:ascii="仿宋_GB2312" w:eastAsia="仿宋_GB2312"/>
                <w:kern w:val="2"/>
                <w:sz w:val="24"/>
                <w:szCs w:val="24"/>
                <w:lang w:val="en-US" w:eastAsia="zh-CN" w:bidi="ar-SA"/>
              </w:rPr>
              <w:t>岳阳高新技术产业园区管委会（以下简称“高新区管委会”）系由原岳阳县生态工业园和原岳阳县建材产业升级管理办公室合并组建成立。高新区管委会为正科级公益一类事业单位，直属县人民政府，负责高新区开发建设、企业管理和服务等综合事务，并承办县委县政府交办的其它工作任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20" w:lineRule="exact"/>
              <w:ind w:left="0" w:leftChars="0" w:right="0" w:rightChars="0" w:firstLine="480" w:firstLineChars="200"/>
              <w:jc w:val="both"/>
              <w:textAlignment w:val="auto"/>
              <w:outlineLvl w:val="9"/>
              <w:rPr>
                <w:rFonts w:hint="default" w:ascii="仿宋_GB2312" w:eastAsia="仿宋_GB2312"/>
                <w:kern w:val="2"/>
                <w:sz w:val="24"/>
                <w:szCs w:val="24"/>
                <w:lang w:val="en-US" w:eastAsia="zh-CN" w:bidi="ar-SA"/>
              </w:rPr>
            </w:pPr>
            <w:r>
              <w:rPr>
                <w:rFonts w:hint="default" w:ascii="仿宋_GB2312" w:eastAsia="仿宋_GB2312"/>
                <w:kern w:val="2"/>
                <w:sz w:val="24"/>
                <w:szCs w:val="24"/>
                <w:lang w:val="en-US" w:eastAsia="zh-CN" w:bidi="ar-SA"/>
              </w:rPr>
              <w:t>岳阳高新技术产业园区于2015年经省人民政府批准升格为省级高新区并获批湖南省新型工业化产业示范基地（战略新兴产业—生物医药）,现下辖原县生态工业园（生物医药为主）片区、建材产业片区（建筑新材）和临港产业片区（规划筹建）三个片区。</w:t>
            </w:r>
            <w:r>
              <w:rPr>
                <w:rFonts w:hint="eastAsia" w:ascii="仿宋_GB2312" w:eastAsia="仿宋_GB2312"/>
                <w:kern w:val="2"/>
                <w:sz w:val="24"/>
                <w:szCs w:val="24"/>
                <w:lang w:val="en-US" w:eastAsia="zh-CN" w:bidi="ar-SA"/>
              </w:rPr>
              <w:t>园</w:t>
            </w:r>
            <w:r>
              <w:rPr>
                <w:rFonts w:hint="default" w:ascii="仿宋_GB2312" w:eastAsia="仿宋_GB2312"/>
                <w:kern w:val="2"/>
                <w:sz w:val="24"/>
                <w:szCs w:val="24"/>
                <w:lang w:val="en-US" w:eastAsia="zh-CN" w:bidi="ar-SA"/>
              </w:rPr>
              <w:t>区现有规模以上工业企业</w:t>
            </w:r>
            <w:r>
              <w:rPr>
                <w:rFonts w:hint="eastAsia" w:ascii="仿宋_GB2312" w:eastAsia="仿宋_GB2312"/>
                <w:kern w:val="2"/>
                <w:sz w:val="24"/>
                <w:szCs w:val="24"/>
                <w:lang w:val="en-US" w:eastAsia="zh-CN" w:bidi="ar-SA"/>
              </w:rPr>
              <w:t>122</w:t>
            </w:r>
            <w:r>
              <w:rPr>
                <w:rFonts w:hint="default" w:ascii="仿宋_GB2312" w:eastAsia="仿宋_GB2312"/>
                <w:kern w:val="2"/>
                <w:sz w:val="24"/>
                <w:szCs w:val="24"/>
                <w:lang w:val="en-US" w:eastAsia="zh-CN" w:bidi="ar-SA"/>
              </w:rPr>
              <w:t>家，初步形成了以科伦制药、健强药业、民康医材、利尔康生物为龙头的生物医药及原药制造产业集群，以天欣科技、岳盛新材为龙头的建材家居及新材料产业集群，以大力神机械、湘商智能、贝特新能源为龙头的装备制造产业集群。</w:t>
            </w:r>
            <w:r>
              <w:rPr>
                <w:rFonts w:hint="eastAsia" w:ascii="仿宋_GB2312" w:eastAsia="仿宋_GB2312"/>
                <w:kern w:val="2"/>
                <w:sz w:val="24"/>
                <w:szCs w:val="24"/>
                <w:lang w:val="en-US" w:eastAsia="zh-CN" w:bidi="ar-SA"/>
              </w:rPr>
              <w:t>2021年末，单位实有在职人数33人，其中副处级1人，正科级3人，副科级9人，科员及以下20人。</w:t>
            </w:r>
          </w:p>
          <w:p>
            <w:pPr>
              <w:keepNext w:val="0"/>
              <w:keepLines w:val="0"/>
              <w:pageBreakBefore w:val="0"/>
              <w:widowControl w:val="0"/>
              <w:numPr>
                <w:ilvl w:val="0"/>
                <w:numId w:val="4"/>
              </w:numPr>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sz w:val="24"/>
                <w:szCs w:val="24"/>
                <w:lang w:eastAsia="zh-CN"/>
              </w:rPr>
            </w:pPr>
            <w:r>
              <w:rPr>
                <w:rFonts w:hint="eastAsia" w:ascii="仿宋_GB2312" w:eastAsia="仿宋_GB2312"/>
                <w:sz w:val="24"/>
                <w:szCs w:val="24"/>
              </w:rPr>
              <w:t>部门（单位）整体支出规模、使用方向和主要内容、涉及范围等</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20" w:lineRule="exact"/>
              <w:ind w:left="0" w:leftChars="0" w:right="0" w:rightChars="0"/>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eastAsia="仿宋_GB2312"/>
                <w:sz w:val="24"/>
                <w:szCs w:val="24"/>
                <w:lang w:val="en-US" w:eastAsia="zh-CN"/>
              </w:rPr>
              <w:t xml:space="preserve">     </w:t>
            </w:r>
            <w:r>
              <w:rPr>
                <w:rFonts w:hint="default" w:ascii="仿宋_GB2312" w:eastAsia="仿宋_GB2312"/>
                <w:kern w:val="2"/>
                <w:sz w:val="24"/>
                <w:szCs w:val="24"/>
                <w:lang w:val="en-US" w:eastAsia="zh-CN" w:bidi="ar-SA"/>
              </w:rPr>
              <w:t>高新区管委会</w:t>
            </w:r>
            <w:r>
              <w:rPr>
                <w:rFonts w:hint="eastAsia" w:ascii="仿宋_GB2312" w:eastAsia="仿宋_GB2312"/>
                <w:sz w:val="24"/>
                <w:szCs w:val="24"/>
                <w:lang w:val="en-US" w:eastAsia="zh-CN"/>
              </w:rPr>
              <w:t>2021年整体支出</w:t>
            </w:r>
            <w:r>
              <w:rPr>
                <w:rFonts w:hint="eastAsia" w:ascii="仿宋_GB2312" w:hAnsi="仿宋_GB2312" w:eastAsia="仿宋_GB2312" w:cs="仿宋_GB2312"/>
                <w:color w:val="000000"/>
                <w:sz w:val="24"/>
                <w:szCs w:val="24"/>
                <w:lang w:val="en-US" w:eastAsia="zh-CN"/>
              </w:rPr>
              <w:t>33822.09万元，其中基本支出935.46万元，主要包括人员经费支出、一般公用经费支出；项目支出32886.64万元，主要包含园区项目建设支出、对企业补助支出、招商工作经费、项目协调经费、创新创业大楼工作经费等。</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黑体" w:hAnsi="黑体" w:eastAsia="黑体" w:cs="黑体"/>
                <w:bCs/>
                <w:sz w:val="24"/>
                <w:szCs w:val="24"/>
              </w:rPr>
            </w:pPr>
            <w:r>
              <w:rPr>
                <w:rFonts w:hint="eastAsia" w:ascii="黑体" w:hAnsi="黑体" w:eastAsia="黑体" w:cs="黑体"/>
                <w:bCs/>
                <w:sz w:val="24"/>
                <w:szCs w:val="24"/>
              </w:rPr>
              <w:t>二、部门（单位）整体支出管理及使用情况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sz w:val="24"/>
                <w:szCs w:val="24"/>
              </w:rPr>
            </w:pPr>
            <w:r>
              <w:rPr>
                <w:rFonts w:hint="eastAsia" w:ascii="仿宋_GB2312" w:eastAsia="仿宋_GB2312"/>
                <w:sz w:val="24"/>
                <w:szCs w:val="24"/>
              </w:rPr>
              <w:t>（一）基本支出</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kern w:val="2"/>
                <w:sz w:val="24"/>
                <w:szCs w:val="24"/>
                <w:lang w:val="en-US" w:eastAsia="zh-CN" w:bidi="ar-SA"/>
              </w:rPr>
            </w:pPr>
            <w:r>
              <w:rPr>
                <w:rFonts w:hint="default" w:ascii="仿宋_GB2312" w:eastAsia="仿宋_GB2312"/>
                <w:kern w:val="2"/>
                <w:sz w:val="24"/>
                <w:szCs w:val="24"/>
                <w:lang w:val="en-US" w:eastAsia="zh-CN" w:bidi="ar-SA"/>
              </w:rPr>
              <w:t>高新区管委会</w:t>
            </w:r>
            <w:r>
              <w:rPr>
                <w:rFonts w:hint="eastAsia" w:ascii="仿宋_GB2312" w:eastAsia="仿宋_GB2312"/>
                <w:kern w:val="2"/>
                <w:sz w:val="24"/>
                <w:szCs w:val="24"/>
                <w:lang w:val="en-US" w:eastAsia="zh-CN" w:bidi="ar-SA"/>
              </w:rPr>
              <w:t>2021年基本支出共计</w:t>
            </w:r>
            <w:r>
              <w:rPr>
                <w:rFonts w:hint="eastAsia" w:ascii="仿宋_GB2312" w:hAnsi="仿宋_GB2312" w:eastAsia="仿宋_GB2312" w:cs="仿宋_GB2312"/>
                <w:color w:val="000000"/>
                <w:sz w:val="24"/>
                <w:szCs w:val="24"/>
                <w:lang w:val="en-US" w:eastAsia="zh-CN"/>
              </w:rPr>
              <w:t>935.46</w:t>
            </w:r>
            <w:r>
              <w:rPr>
                <w:rFonts w:hint="eastAsia" w:ascii="仿宋_GB2312" w:eastAsia="仿宋_GB2312"/>
                <w:kern w:val="2"/>
                <w:sz w:val="24"/>
                <w:szCs w:val="24"/>
                <w:lang w:val="en-US" w:eastAsia="zh-CN" w:bidi="ar-SA"/>
              </w:rPr>
              <w:t>万元，包含人员经费支出432.87万元，主要用于人员工资发放及社会保障、医疗险、住房公积金等福利待遇支出，一般公用经费支出502.59万元，主要用于园区日常工作开展商品和服务支出、资本性支出等（其中：公务接待费0.34万元；公务用车及维护费0.00；因公出国经费为0.00）。</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kern w:val="2"/>
                <w:sz w:val="24"/>
                <w:szCs w:val="24"/>
                <w:lang w:val="en-US" w:eastAsia="zh-CN" w:bidi="ar-SA"/>
              </w:rPr>
            </w:pPr>
            <w:r>
              <w:rPr>
                <w:rFonts w:hint="eastAsia" w:ascii="仿宋_GB2312" w:eastAsia="仿宋_GB2312"/>
                <w:kern w:val="2"/>
                <w:sz w:val="24"/>
                <w:szCs w:val="24"/>
                <w:lang w:val="en-US" w:eastAsia="zh-CN" w:bidi="ar-SA"/>
              </w:rPr>
              <w:t>（二）专项支出</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default" w:ascii="仿宋_GB2312" w:eastAsia="仿宋_GB2312"/>
                <w:kern w:val="2"/>
                <w:sz w:val="24"/>
                <w:szCs w:val="24"/>
                <w:lang w:val="en-US" w:eastAsia="zh-CN" w:bidi="ar-SA"/>
              </w:rPr>
            </w:pPr>
            <w:r>
              <w:rPr>
                <w:rFonts w:hint="default" w:ascii="仿宋_GB2312" w:eastAsia="仿宋_GB2312"/>
                <w:kern w:val="2"/>
                <w:sz w:val="24"/>
                <w:szCs w:val="24"/>
                <w:lang w:val="en-US" w:eastAsia="zh-CN" w:bidi="ar-SA"/>
              </w:rPr>
              <w:t>高新区管委会</w:t>
            </w:r>
            <w:r>
              <w:rPr>
                <w:rFonts w:hint="eastAsia" w:ascii="仿宋_GB2312" w:eastAsia="仿宋_GB2312"/>
                <w:kern w:val="2"/>
                <w:sz w:val="24"/>
                <w:szCs w:val="24"/>
                <w:lang w:val="en-US" w:eastAsia="zh-CN" w:bidi="ar-SA"/>
              </w:rPr>
              <w:t>2021年专项支出共计</w:t>
            </w:r>
            <w:r>
              <w:rPr>
                <w:rFonts w:hint="eastAsia" w:ascii="仿宋_GB2312" w:hAnsi="仿宋_GB2312" w:eastAsia="仿宋_GB2312" w:cs="仿宋_GB2312"/>
                <w:color w:val="000000"/>
                <w:sz w:val="24"/>
                <w:szCs w:val="24"/>
                <w:lang w:val="en-US" w:eastAsia="zh-CN"/>
              </w:rPr>
              <w:t>32886.64</w:t>
            </w:r>
            <w:r>
              <w:rPr>
                <w:rFonts w:hint="eastAsia" w:ascii="仿宋_GB2312" w:eastAsia="仿宋_GB2312"/>
                <w:kern w:val="2"/>
                <w:sz w:val="24"/>
                <w:szCs w:val="24"/>
                <w:lang w:val="en-US" w:eastAsia="zh-CN" w:bidi="ar-SA"/>
              </w:rPr>
              <w:t>万元，其中：基建类项目支出20271.73万元，对企业补助支出10567.10万元（主要包括工业发展资金、企业技改资金、税收奖返资金、人才引进资金等），土地报批专项1147.03万元，调园扩区专项支出254.95万元，园区绿化养护支出20万元，协调工作经费367.43万元，招商专项支出30.67万元，防疫经费支出79.13万元，创新创业办公大楼运行开支67.51万元，企业信用信息平台建设9.19万元，安全环保专项开支44.16万元，产业链专项支出27.74万元。</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黑体" w:hAnsi="黑体" w:eastAsia="黑体" w:cs="黑体"/>
                <w:bCs/>
                <w:sz w:val="24"/>
                <w:szCs w:val="24"/>
              </w:rPr>
            </w:pPr>
            <w:r>
              <w:rPr>
                <w:rFonts w:hint="eastAsia" w:ascii="黑体" w:hAnsi="黑体" w:eastAsia="黑体" w:cs="黑体"/>
                <w:bCs/>
                <w:sz w:val="24"/>
                <w:szCs w:val="24"/>
              </w:rPr>
              <w:t>三、部门（单位）专项组织实施情况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（一）专项组织情况分析</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default"/>
                <w:lang w:val="en-US" w:eastAsia="zh-CN"/>
              </w:rPr>
            </w:pPr>
            <w:r>
              <w:rPr>
                <w:rFonts w:hint="eastAsia" w:ascii="仿宋_GB2312" w:hAnsi="Times New Roman" w:eastAsia="仿宋_GB2312" w:cs="Times New Roman"/>
                <w:b/>
                <w:bCs/>
                <w:kern w:val="2"/>
                <w:sz w:val="24"/>
                <w:szCs w:val="24"/>
                <w:lang w:val="en-US" w:eastAsia="zh-CN" w:bidi="ar-SA"/>
              </w:rPr>
              <w:t>1.基础设施不断完善。</w:t>
            </w:r>
            <w:r>
              <w:rPr>
                <w:rFonts w:hint="eastAsia" w:ascii="仿宋_GB2312" w:hAnsi="Times New Roman" w:eastAsia="仿宋_GB2312" w:cs="Times New Roman"/>
                <w:b w:val="0"/>
                <w:bCs w:val="0"/>
                <w:kern w:val="2"/>
                <w:sz w:val="24"/>
                <w:szCs w:val="24"/>
                <w:lang w:val="en-US" w:eastAsia="zh-CN" w:bidi="ar-SA"/>
              </w:rPr>
              <w:t>园区自建的标准化厂房（一期）建设项目、兴园路公租房已竣工并投入使用，纬三路经四路、纬四路经三路等道路工程建设项目加速推进，同时，</w:t>
            </w:r>
            <w:r>
              <w:rPr>
                <w:rFonts w:hint="default" w:ascii="仿宋_GB2312" w:hAnsi="Times New Roman" w:eastAsia="仿宋_GB2312" w:cs="Times New Roman"/>
                <w:b w:val="0"/>
                <w:bCs w:val="0"/>
                <w:kern w:val="2"/>
                <w:sz w:val="24"/>
                <w:szCs w:val="24"/>
                <w:lang w:val="en-US" w:eastAsia="zh-CN" w:bidi="ar-SA"/>
              </w:rPr>
              <w:t>对现有污水处理厂</w:t>
            </w:r>
            <w:r>
              <w:rPr>
                <w:rFonts w:hint="eastAsia" w:ascii="仿宋_GB2312" w:hAnsi="Times New Roman" w:eastAsia="仿宋_GB2312" w:cs="Times New Roman"/>
                <w:b w:val="0"/>
                <w:bCs w:val="0"/>
                <w:kern w:val="2"/>
                <w:sz w:val="24"/>
                <w:szCs w:val="24"/>
                <w:lang w:val="en-US" w:eastAsia="zh-CN" w:bidi="ar-SA"/>
              </w:rPr>
              <w:t>提质</w:t>
            </w:r>
            <w:r>
              <w:rPr>
                <w:rFonts w:hint="default" w:ascii="仿宋_GB2312" w:hAnsi="Times New Roman" w:eastAsia="仿宋_GB2312" w:cs="Times New Roman"/>
                <w:b w:val="0"/>
                <w:bCs w:val="0"/>
                <w:kern w:val="2"/>
                <w:sz w:val="24"/>
                <w:szCs w:val="24"/>
                <w:lang w:val="en-US" w:eastAsia="zh-CN" w:bidi="ar-SA"/>
              </w:rPr>
              <w:t>整改，并启动新工业污水处理厂建设</w:t>
            </w:r>
            <w:r>
              <w:rPr>
                <w:rFonts w:hint="eastAsia" w:ascii="仿宋_GB2312" w:hAnsi="Times New Roman" w:eastAsia="仿宋_GB2312" w:cs="Times New Roman"/>
                <w:b w:val="0"/>
                <w:bCs w:val="0"/>
                <w:kern w:val="2"/>
                <w:sz w:val="24"/>
                <w:szCs w:val="24"/>
                <w:lang w:val="en-US" w:eastAsia="zh-CN" w:bidi="ar-SA"/>
              </w:rPr>
              <w:t>。2021年标准化厂房（一期）建设项目工程支出8953.85万元，纬三路经四路、纬四路经三路等道路工程支出4393.74万元，兴园路、林冲路公租房工程支出2018.18万元，污水处理厂工程项目支出905.03万元。</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eastAsia" w:ascii="仿宋_GB2312" w:eastAsia="仿宋_GB2312"/>
                <w:kern w:val="2"/>
                <w:sz w:val="24"/>
                <w:szCs w:val="24"/>
                <w:lang w:val="en-US" w:eastAsia="zh-CN" w:bidi="ar-SA"/>
              </w:rPr>
            </w:pPr>
            <w:r>
              <w:rPr>
                <w:rFonts w:hint="eastAsia" w:ascii="仿宋_GB2312" w:hAnsi="Times New Roman" w:eastAsia="仿宋_GB2312" w:cs="Times New Roman"/>
                <w:b/>
                <w:bCs/>
                <w:kern w:val="2"/>
                <w:sz w:val="24"/>
                <w:szCs w:val="24"/>
                <w:lang w:val="en-US" w:eastAsia="zh-CN" w:bidi="ar-SA"/>
              </w:rPr>
              <w:t>2.土地要素保障充分。</w:t>
            </w:r>
            <w:r>
              <w:rPr>
                <w:rFonts w:hint="eastAsia" w:ascii="仿宋_GB2312" w:hAnsi="Times New Roman" w:eastAsia="仿宋_GB2312" w:cs="Times New Roman"/>
                <w:b w:val="0"/>
                <w:bCs w:val="0"/>
                <w:kern w:val="2"/>
                <w:sz w:val="24"/>
                <w:szCs w:val="24"/>
                <w:lang w:val="en-US" w:eastAsia="zh-CN" w:bidi="ar-SA"/>
              </w:rPr>
              <w:t>全力推进了六期、七期土地征收、调规、报批工作，2021年已取得省政府313亩用地批单，完成六期432亩、七期234亩土地的调规，土地报批资料已上报省自然资源厅，力争尽快取得省政府用地批文。</w:t>
            </w:r>
            <w:r>
              <w:rPr>
                <w:rFonts w:hint="eastAsia" w:ascii="仿宋_GB2312" w:hAnsi="Times New Roman" w:eastAsia="仿宋_GB2312" w:cs="Times New Roman"/>
                <w:kern w:val="2"/>
                <w:sz w:val="24"/>
                <w:szCs w:val="24"/>
                <w:lang w:val="en-US" w:eastAsia="zh-CN" w:bidi="ar-SA"/>
              </w:rPr>
              <w:t>2021年园区调园扩区专项支出254.95万元，土地报批支出</w:t>
            </w:r>
            <w:r>
              <w:rPr>
                <w:rFonts w:hint="eastAsia" w:ascii="仿宋_GB2312" w:eastAsia="仿宋_GB2312"/>
                <w:kern w:val="2"/>
                <w:sz w:val="24"/>
                <w:szCs w:val="24"/>
                <w:lang w:val="en-US" w:eastAsia="zh-CN" w:bidi="ar-SA"/>
              </w:rPr>
              <w:t>1147.03万元。</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仿宋_GB2312" w:eastAsia="仿宋_GB2312"/>
                <w:kern w:val="2"/>
                <w:sz w:val="24"/>
                <w:szCs w:val="24"/>
                <w:lang w:val="en-US" w:eastAsia="zh-CN" w:bidi="ar-SA"/>
              </w:rPr>
            </w:pPr>
            <w:r>
              <w:rPr>
                <w:rFonts w:hint="eastAsia" w:ascii="仿宋_GB2312" w:hAnsi="Times New Roman" w:eastAsia="仿宋_GB2312" w:cs="Times New Roman"/>
                <w:b/>
                <w:bCs/>
                <w:kern w:val="2"/>
                <w:sz w:val="24"/>
                <w:szCs w:val="24"/>
                <w:lang w:val="en-US" w:eastAsia="zh-CN" w:bidi="ar-SA"/>
              </w:rPr>
              <w:t>3.招商引资成效显著。</w:t>
            </w:r>
            <w:r>
              <w:rPr>
                <w:rFonts w:hint="eastAsia" w:ascii="仿宋_GB2312" w:hAnsi="Times New Roman" w:eastAsia="仿宋_GB2312" w:cs="Times New Roman"/>
                <w:b w:val="0"/>
                <w:bCs w:val="0"/>
                <w:kern w:val="2"/>
                <w:sz w:val="24"/>
                <w:szCs w:val="24"/>
                <w:lang w:val="en-US" w:eastAsia="zh-CN" w:bidi="ar-SA"/>
              </w:rPr>
              <w:t>2021年成功引进了润天智科、晶威新材、湘盛福诺</w:t>
            </w:r>
            <w:r>
              <w:rPr>
                <w:rFonts w:hint="eastAsia" w:ascii="仿宋_GB2312" w:hAnsi="Times New Roman" w:eastAsia="仿宋_GB2312" w:cs="Times New Roman"/>
                <w:b w:val="0"/>
                <w:bCs w:val="0"/>
                <w:kern w:val="2"/>
                <w:sz w:val="24"/>
                <w:szCs w:val="24"/>
                <w:lang w:val="zh-CN" w:eastAsia="zh-CN" w:bidi="ar-SA"/>
              </w:rPr>
              <w:t>等</w:t>
            </w:r>
            <w:r>
              <w:rPr>
                <w:rFonts w:hint="eastAsia" w:ascii="仿宋_GB2312" w:hAnsi="Times New Roman" w:eastAsia="仿宋_GB2312" w:cs="Times New Roman"/>
                <w:b w:val="0"/>
                <w:bCs w:val="0"/>
                <w:kern w:val="2"/>
                <w:sz w:val="24"/>
                <w:szCs w:val="24"/>
                <w:lang w:val="en-US" w:eastAsia="zh-CN" w:bidi="ar-SA"/>
              </w:rPr>
              <w:t>42</w:t>
            </w:r>
            <w:r>
              <w:rPr>
                <w:rFonts w:hint="eastAsia" w:ascii="仿宋_GB2312" w:hAnsi="Times New Roman" w:eastAsia="仿宋_GB2312" w:cs="Times New Roman"/>
                <w:b w:val="0"/>
                <w:bCs w:val="0"/>
                <w:kern w:val="2"/>
                <w:sz w:val="24"/>
                <w:szCs w:val="24"/>
                <w:lang w:val="zh-CN" w:eastAsia="zh-CN" w:bidi="ar-SA"/>
              </w:rPr>
              <w:t>个链上项目，</w:t>
            </w:r>
            <w:r>
              <w:rPr>
                <w:rFonts w:hint="eastAsia" w:ascii="仿宋_GB2312" w:hAnsi="Times New Roman" w:eastAsia="仿宋_GB2312" w:cs="Times New Roman"/>
                <w:b w:val="0"/>
                <w:bCs w:val="0"/>
                <w:kern w:val="2"/>
                <w:sz w:val="24"/>
                <w:szCs w:val="24"/>
                <w:lang w:val="en-US" w:eastAsia="zh-CN" w:bidi="ar-SA"/>
              </w:rPr>
              <w:t>合同引资125.6亿元，其中过10亿元项目4个，过5亿元项目4个，</w:t>
            </w:r>
            <w:r>
              <w:rPr>
                <w:rFonts w:hint="default" w:ascii="仿宋_GB2312" w:hAnsi="Times New Roman" w:eastAsia="仿宋_GB2312" w:cs="Times New Roman"/>
                <w:b w:val="0"/>
                <w:bCs w:val="0"/>
                <w:kern w:val="2"/>
                <w:sz w:val="24"/>
                <w:szCs w:val="24"/>
                <w:lang w:val="en-US" w:eastAsia="zh-CN" w:bidi="ar-SA"/>
              </w:rPr>
              <w:t>招商引资总额和重大项目引进个数均</w:t>
            </w:r>
            <w:r>
              <w:rPr>
                <w:rFonts w:hint="eastAsia" w:ascii="仿宋_GB2312" w:hAnsi="Times New Roman" w:eastAsia="仿宋_GB2312" w:cs="Times New Roman"/>
                <w:b w:val="0"/>
                <w:bCs w:val="0"/>
                <w:kern w:val="2"/>
                <w:sz w:val="24"/>
                <w:szCs w:val="24"/>
                <w:lang w:val="en-US" w:eastAsia="zh-CN" w:bidi="ar-SA"/>
              </w:rPr>
              <w:t>实现</w:t>
            </w:r>
            <w:r>
              <w:rPr>
                <w:rFonts w:hint="default" w:ascii="仿宋_GB2312" w:hAnsi="Times New Roman" w:eastAsia="仿宋_GB2312" w:cs="Times New Roman"/>
                <w:b w:val="0"/>
                <w:bCs w:val="0"/>
                <w:kern w:val="2"/>
                <w:sz w:val="24"/>
                <w:szCs w:val="24"/>
                <w:lang w:val="en-US" w:eastAsia="zh-CN" w:bidi="ar-SA"/>
              </w:rPr>
              <w:t>新突破</w:t>
            </w:r>
            <w:r>
              <w:rPr>
                <w:rFonts w:hint="eastAsia" w:ascii="仿宋_GB2312" w:hAnsi="Times New Roman" w:eastAsia="仿宋_GB2312" w:cs="Times New Roman"/>
                <w:b w:val="0"/>
                <w:bCs w:val="0"/>
                <w:kern w:val="2"/>
                <w:sz w:val="24"/>
                <w:szCs w:val="24"/>
                <w:lang w:val="en-US" w:eastAsia="zh-CN" w:bidi="ar-SA"/>
              </w:rPr>
              <w:t>，形成了大项目支撑园区高质量发展的良性循环。2021年</w:t>
            </w:r>
            <w:r>
              <w:rPr>
                <w:rFonts w:hint="eastAsia" w:ascii="仿宋_GB2312" w:eastAsia="仿宋_GB2312"/>
                <w:kern w:val="2"/>
                <w:sz w:val="24"/>
                <w:szCs w:val="24"/>
                <w:lang w:val="en-US" w:eastAsia="zh-CN" w:bidi="ar-SA"/>
              </w:rPr>
              <w:t>招商专项支出30.67万元，产业链专项支出27.74万元。</w:t>
            </w:r>
          </w:p>
          <w:p>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jc w:val="both"/>
              <w:textAlignment w:val="auto"/>
              <w:rPr>
                <w:rFonts w:hint="default"/>
                <w:lang w:val="en-US" w:eastAsia="zh-CN"/>
              </w:rPr>
            </w:pPr>
            <w:r>
              <w:rPr>
                <w:rFonts w:hint="eastAsia" w:ascii="仿宋_GB2312" w:hAnsi="Times New Roman" w:eastAsia="仿宋_GB2312" w:cs="Times New Roman"/>
                <w:b/>
                <w:bCs/>
                <w:kern w:val="2"/>
                <w:sz w:val="24"/>
                <w:szCs w:val="24"/>
                <w:lang w:val="en-US" w:eastAsia="zh-CN" w:bidi="ar-SA"/>
              </w:rPr>
              <w:t>4.</w:t>
            </w:r>
            <w:r>
              <w:rPr>
                <w:rFonts w:hint="default" w:ascii="仿宋_GB2312" w:hAnsi="Times New Roman" w:eastAsia="仿宋_GB2312" w:cs="Times New Roman"/>
                <w:b/>
                <w:bCs/>
                <w:kern w:val="2"/>
                <w:sz w:val="24"/>
                <w:szCs w:val="24"/>
                <w:lang w:val="en-US" w:eastAsia="zh-CN" w:bidi="ar-SA"/>
              </w:rPr>
              <w:t>产业项目建设提速。</w:t>
            </w:r>
            <w:r>
              <w:rPr>
                <w:rFonts w:hint="default" w:ascii="仿宋_GB2312" w:hAnsi="Times New Roman" w:eastAsia="仿宋_GB2312" w:cs="Times New Roman"/>
                <w:b w:val="0"/>
                <w:bCs w:val="0"/>
                <w:kern w:val="2"/>
                <w:sz w:val="24"/>
                <w:szCs w:val="24"/>
                <w:lang w:val="en-US" w:eastAsia="zh-CN" w:bidi="ar-SA"/>
              </w:rPr>
              <w:t>全年累计召开协调会</w:t>
            </w:r>
            <w:r>
              <w:rPr>
                <w:rFonts w:hint="eastAsia" w:ascii="仿宋_GB2312" w:hAnsi="Times New Roman" w:eastAsia="仿宋_GB2312" w:cs="Times New Roman"/>
                <w:b w:val="0"/>
                <w:bCs w:val="0"/>
                <w:kern w:val="2"/>
                <w:sz w:val="24"/>
                <w:szCs w:val="24"/>
                <w:lang w:val="en-US" w:eastAsia="zh-CN" w:bidi="ar-SA"/>
              </w:rPr>
              <w:t>和</w:t>
            </w:r>
            <w:r>
              <w:rPr>
                <w:rFonts w:hint="default" w:ascii="仿宋_GB2312" w:hAnsi="Times New Roman" w:eastAsia="仿宋_GB2312" w:cs="Times New Roman"/>
                <w:b w:val="0"/>
                <w:bCs w:val="0"/>
                <w:kern w:val="2"/>
                <w:sz w:val="24"/>
                <w:szCs w:val="24"/>
                <w:lang w:val="en-US" w:eastAsia="zh-CN" w:bidi="ar-SA"/>
              </w:rPr>
              <w:t>现场办公会100余次，解决</w:t>
            </w:r>
            <w:r>
              <w:rPr>
                <w:rFonts w:hint="eastAsia" w:ascii="仿宋_GB2312" w:hAnsi="Times New Roman" w:eastAsia="仿宋_GB2312" w:cs="Times New Roman"/>
                <w:b w:val="0"/>
                <w:bCs w:val="0"/>
                <w:kern w:val="2"/>
                <w:sz w:val="24"/>
                <w:szCs w:val="24"/>
                <w:lang w:val="en-US" w:eastAsia="zh-CN" w:bidi="ar-SA"/>
              </w:rPr>
              <w:t>阻碍</w:t>
            </w:r>
            <w:r>
              <w:rPr>
                <w:rFonts w:hint="default" w:ascii="仿宋_GB2312" w:hAnsi="Times New Roman" w:eastAsia="仿宋_GB2312" w:cs="Times New Roman"/>
                <w:b w:val="0"/>
                <w:bCs w:val="0"/>
                <w:kern w:val="2"/>
                <w:sz w:val="24"/>
                <w:szCs w:val="24"/>
                <w:lang w:val="en-US" w:eastAsia="zh-CN" w:bidi="ar-SA"/>
              </w:rPr>
              <w:t>企业</w:t>
            </w:r>
            <w:r>
              <w:rPr>
                <w:rFonts w:hint="eastAsia" w:ascii="仿宋_GB2312" w:hAnsi="Times New Roman" w:eastAsia="仿宋_GB2312" w:cs="Times New Roman"/>
                <w:b w:val="0"/>
                <w:bCs w:val="0"/>
                <w:kern w:val="2"/>
                <w:sz w:val="24"/>
                <w:szCs w:val="24"/>
                <w:lang w:val="en-US" w:eastAsia="zh-CN" w:bidi="ar-SA"/>
              </w:rPr>
              <w:t>发展、</w:t>
            </w:r>
            <w:r>
              <w:rPr>
                <w:rFonts w:hint="default" w:ascii="仿宋_GB2312" w:hAnsi="Times New Roman" w:eastAsia="仿宋_GB2312" w:cs="Times New Roman"/>
                <w:b w:val="0"/>
                <w:bCs w:val="0"/>
                <w:kern w:val="2"/>
                <w:sz w:val="24"/>
                <w:szCs w:val="24"/>
                <w:lang w:val="en-US" w:eastAsia="zh-CN" w:bidi="ar-SA"/>
              </w:rPr>
              <w:t>项目建设</w:t>
            </w:r>
            <w:r>
              <w:rPr>
                <w:rFonts w:hint="eastAsia" w:ascii="仿宋_GB2312" w:hAnsi="Times New Roman" w:eastAsia="仿宋_GB2312" w:cs="Times New Roman"/>
                <w:b w:val="0"/>
                <w:bCs w:val="0"/>
                <w:kern w:val="2"/>
                <w:sz w:val="24"/>
                <w:szCs w:val="24"/>
                <w:lang w:val="en-US" w:eastAsia="zh-CN" w:bidi="ar-SA"/>
              </w:rPr>
              <w:t>各类</w:t>
            </w:r>
            <w:r>
              <w:rPr>
                <w:rFonts w:hint="default" w:ascii="仿宋_GB2312" w:hAnsi="Times New Roman" w:eastAsia="仿宋_GB2312" w:cs="Times New Roman"/>
                <w:b w:val="0"/>
                <w:bCs w:val="0"/>
                <w:kern w:val="2"/>
                <w:sz w:val="24"/>
                <w:szCs w:val="24"/>
                <w:lang w:val="en-US" w:eastAsia="zh-CN" w:bidi="ar-SA"/>
              </w:rPr>
              <w:t>“卡脖子”问题</w:t>
            </w:r>
            <w:r>
              <w:rPr>
                <w:rFonts w:hint="eastAsia" w:ascii="仿宋_GB2312" w:hAnsi="Times New Roman" w:eastAsia="仿宋_GB2312" w:cs="Times New Roman"/>
                <w:b w:val="0"/>
                <w:bCs w:val="0"/>
                <w:kern w:val="2"/>
                <w:sz w:val="24"/>
                <w:szCs w:val="24"/>
                <w:lang w:val="en-US" w:eastAsia="zh-CN" w:bidi="ar-SA"/>
              </w:rPr>
              <w:t>200</w:t>
            </w:r>
            <w:r>
              <w:rPr>
                <w:rFonts w:hint="default" w:ascii="仿宋_GB2312" w:hAnsi="Times New Roman" w:eastAsia="仿宋_GB2312" w:cs="Times New Roman"/>
                <w:b w:val="0"/>
                <w:bCs w:val="0"/>
                <w:kern w:val="2"/>
                <w:sz w:val="24"/>
                <w:szCs w:val="24"/>
                <w:lang w:val="en-US" w:eastAsia="zh-CN" w:bidi="ar-SA"/>
              </w:rPr>
              <w:t>余个。</w:t>
            </w:r>
            <w:r>
              <w:rPr>
                <w:rFonts w:hint="eastAsia" w:ascii="仿宋_GB2312" w:hAnsi="Times New Roman" w:eastAsia="仿宋_GB2312" w:cs="Times New Roman"/>
                <w:b w:val="0"/>
                <w:bCs w:val="0"/>
                <w:kern w:val="2"/>
                <w:sz w:val="24"/>
                <w:szCs w:val="24"/>
                <w:lang w:val="en-US" w:eastAsia="zh-CN" w:bidi="ar-SA"/>
              </w:rPr>
              <w:t>省“三高四新”项目财纳福诺石晶地板一期产能释放、二期竣工投产、三期加快施工10月底已竣工投产，三期加快建设中。科伦二期、渔美康三期（市级领导联点项目）、云隆新材二期、润天智科、盛博新型、晶威新料、天乐环保等项目加快主体工程施工建设。中轶信、连心科技、冬达实验设备、鹏镜特材、宝易通项目竣工投产。宸博铝型材及通讯基材项目（市级领导联点项目）一期已竣工，全年园区新开工产业项目38个，竣工投产产业项目34个，</w:t>
            </w:r>
            <w:r>
              <w:rPr>
                <w:rFonts w:hint="default" w:ascii="仿宋_GB2312" w:hAnsi="Times New Roman" w:eastAsia="仿宋_GB2312" w:cs="Times New Roman"/>
                <w:b w:val="0"/>
                <w:bCs w:val="0"/>
                <w:kern w:val="2"/>
                <w:sz w:val="24"/>
                <w:szCs w:val="24"/>
                <w:lang w:val="en-US" w:eastAsia="zh-CN" w:bidi="ar-SA"/>
              </w:rPr>
              <w:t>预计可新增产值</w:t>
            </w:r>
            <w:r>
              <w:rPr>
                <w:rFonts w:hint="eastAsia" w:ascii="仿宋_GB2312" w:hAnsi="Times New Roman" w:eastAsia="仿宋_GB2312" w:cs="Times New Roman"/>
                <w:b w:val="0"/>
                <w:bCs w:val="0"/>
                <w:kern w:val="2"/>
                <w:sz w:val="24"/>
                <w:szCs w:val="24"/>
                <w:lang w:val="en-US" w:eastAsia="zh-CN" w:bidi="ar-SA"/>
              </w:rPr>
              <w:t>95.7</w:t>
            </w:r>
            <w:r>
              <w:rPr>
                <w:rFonts w:hint="default" w:ascii="仿宋_GB2312" w:hAnsi="Times New Roman" w:eastAsia="仿宋_GB2312" w:cs="Times New Roman"/>
                <w:b w:val="0"/>
                <w:bCs w:val="0"/>
                <w:kern w:val="2"/>
                <w:sz w:val="24"/>
                <w:szCs w:val="24"/>
                <w:lang w:val="en-US" w:eastAsia="zh-CN" w:bidi="ar-SA"/>
              </w:rPr>
              <w:t>亿元以上，新增税收</w:t>
            </w:r>
            <w:r>
              <w:rPr>
                <w:rFonts w:hint="eastAsia" w:ascii="仿宋_GB2312" w:hAnsi="Times New Roman" w:eastAsia="仿宋_GB2312" w:cs="Times New Roman"/>
                <w:b w:val="0"/>
                <w:bCs w:val="0"/>
                <w:kern w:val="2"/>
                <w:sz w:val="24"/>
                <w:szCs w:val="24"/>
                <w:lang w:val="en-US" w:eastAsia="zh-CN" w:bidi="ar-SA"/>
              </w:rPr>
              <w:t>2.45亿元</w:t>
            </w:r>
            <w:r>
              <w:rPr>
                <w:rFonts w:hint="default" w:ascii="仿宋_GB2312" w:hAnsi="Times New Roman" w:eastAsia="仿宋_GB2312" w:cs="Times New Roman"/>
                <w:b w:val="0"/>
                <w:bCs w:val="0"/>
                <w:kern w:val="2"/>
                <w:sz w:val="24"/>
                <w:szCs w:val="24"/>
                <w:lang w:val="en-US" w:eastAsia="zh-CN" w:bidi="ar-SA"/>
              </w:rPr>
              <w:t>以上。</w:t>
            </w:r>
            <w:r>
              <w:rPr>
                <w:rFonts w:hint="eastAsia" w:ascii="仿宋_GB2312" w:hAnsi="Times New Roman" w:eastAsia="仿宋_GB2312" w:cs="Times New Roman"/>
                <w:b w:val="0"/>
                <w:bCs w:val="0"/>
                <w:kern w:val="2"/>
                <w:sz w:val="24"/>
                <w:szCs w:val="24"/>
                <w:lang w:val="en-US" w:eastAsia="zh-CN" w:bidi="ar-SA"/>
              </w:rPr>
              <w:t>2021年</w:t>
            </w:r>
            <w:r>
              <w:rPr>
                <w:rFonts w:hint="eastAsia" w:ascii="仿宋_GB2312" w:eastAsia="仿宋_GB2312"/>
                <w:kern w:val="2"/>
                <w:sz w:val="24"/>
                <w:szCs w:val="24"/>
                <w:lang w:val="en-US" w:eastAsia="zh-CN" w:bidi="ar-SA"/>
              </w:rPr>
              <w:t>对企业补助支出10567.10万元（主要包括工业发展资金、企业技改资金、税收奖返资金、人才引进资金等），协调工作经费367.43万元。</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default"/>
                <w:lang w:val="en-US" w:eastAsia="zh-CN"/>
              </w:rPr>
            </w:pPr>
            <w:r>
              <w:rPr>
                <w:rFonts w:hint="eastAsia" w:ascii="仿宋_GB2312" w:hAnsi="Times New Roman" w:eastAsia="仿宋_GB2312" w:cs="Times New Roman"/>
                <w:b/>
                <w:bCs/>
                <w:kern w:val="2"/>
                <w:sz w:val="24"/>
                <w:szCs w:val="24"/>
                <w:lang w:val="en-US" w:eastAsia="zh-CN" w:bidi="ar-SA"/>
              </w:rPr>
              <w:t>5.营商环境全面优化。</w:t>
            </w:r>
            <w:r>
              <w:rPr>
                <w:rFonts w:hint="eastAsia" w:ascii="仿宋_GB2312" w:hAnsi="Times New Roman" w:eastAsia="仿宋_GB2312" w:cs="Times New Roman"/>
                <w:b w:val="0"/>
                <w:bCs w:val="0"/>
                <w:kern w:val="2"/>
                <w:sz w:val="24"/>
                <w:szCs w:val="24"/>
                <w:lang w:val="en-US" w:eastAsia="zh-CN" w:bidi="ar-SA"/>
              </w:rPr>
              <w:t>高效运行企业</w:t>
            </w:r>
            <w:r>
              <w:rPr>
                <w:rFonts w:hint="default" w:ascii="仿宋_GB2312" w:hAnsi="Times New Roman" w:eastAsia="仿宋_GB2312" w:cs="Times New Roman"/>
                <w:b w:val="0"/>
                <w:bCs w:val="0"/>
                <w:kern w:val="2"/>
                <w:sz w:val="24"/>
                <w:szCs w:val="24"/>
                <w:lang w:val="en-US" w:eastAsia="zh-CN" w:bidi="ar-SA"/>
              </w:rPr>
              <w:t>服务中心</w:t>
            </w:r>
            <w:r>
              <w:rPr>
                <w:rFonts w:hint="eastAsia" w:ascii="仿宋_GB2312" w:hAnsi="Times New Roman" w:eastAsia="仿宋_GB2312" w:cs="Times New Roman"/>
                <w:b w:val="0"/>
                <w:bCs w:val="0"/>
                <w:kern w:val="2"/>
                <w:sz w:val="24"/>
                <w:szCs w:val="24"/>
                <w:lang w:val="en-US" w:eastAsia="zh-CN" w:bidi="ar-SA"/>
              </w:rPr>
              <w:t>，</w:t>
            </w:r>
            <w:r>
              <w:rPr>
                <w:rFonts w:hint="default" w:ascii="仿宋_GB2312" w:hAnsi="Times New Roman" w:eastAsia="仿宋_GB2312" w:cs="Times New Roman"/>
                <w:b w:val="0"/>
                <w:bCs w:val="0"/>
                <w:kern w:val="2"/>
                <w:sz w:val="24"/>
                <w:szCs w:val="24"/>
                <w:lang w:val="en-US" w:eastAsia="zh-CN" w:bidi="ar-SA"/>
              </w:rPr>
              <w:t>为园区企业提供全方位、宽领域、精细化服务，势必进一步完善园区服务功能，优化服务企业效能。</w:t>
            </w:r>
            <w:r>
              <w:rPr>
                <w:rFonts w:hint="eastAsia" w:ascii="仿宋_GB2312" w:hAnsi="Times New Roman" w:eastAsia="仿宋_GB2312" w:cs="Times New Roman"/>
                <w:b w:val="0"/>
                <w:bCs w:val="0"/>
                <w:kern w:val="2"/>
                <w:sz w:val="24"/>
                <w:szCs w:val="24"/>
                <w:lang w:val="en-US" w:eastAsia="zh-CN" w:bidi="ar-SA"/>
              </w:rPr>
              <w:t>全力支持工人文化宫建成投运，进一步丰富了企业员工业余生活，创造舒心的工作环境。2021年</w:t>
            </w:r>
            <w:r>
              <w:rPr>
                <w:rFonts w:hint="eastAsia" w:ascii="仿宋_GB2312" w:eastAsia="仿宋_GB2312"/>
                <w:kern w:val="2"/>
                <w:sz w:val="24"/>
                <w:szCs w:val="24"/>
                <w:lang w:val="en-US" w:eastAsia="zh-CN" w:bidi="ar-SA"/>
              </w:rPr>
              <w:t>创新创业办公大楼运行开支67.51万元，企业信用信息平台建设9.19万元。</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default" w:ascii="仿宋_GB2312" w:eastAsia="仿宋_GB2312"/>
                <w:kern w:val="2"/>
                <w:sz w:val="24"/>
                <w:szCs w:val="24"/>
                <w:lang w:val="en-US" w:eastAsia="zh-CN" w:bidi="ar-SA"/>
              </w:rPr>
            </w:pPr>
            <w:bookmarkStart w:id="0" w:name="_Toc432019392"/>
            <w:bookmarkStart w:id="1" w:name="_Toc432060368"/>
            <w:r>
              <w:rPr>
                <w:rFonts w:hint="eastAsia" w:ascii="仿宋_GB2312" w:eastAsia="仿宋_GB2312"/>
                <w:kern w:val="2"/>
                <w:sz w:val="24"/>
                <w:szCs w:val="24"/>
                <w:lang w:val="en-US" w:eastAsia="zh-CN" w:bidi="ar-SA"/>
              </w:rPr>
              <w:t>（二）专项管理情况分析</w:t>
            </w:r>
          </w:p>
          <w:bookmarkEnd w:id="0"/>
          <w:bookmarkEnd w:id="1"/>
          <w:p>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在使用专项资金时，</w:t>
            </w:r>
            <w:r>
              <w:rPr>
                <w:rFonts w:hint="default" w:ascii="仿宋_GB2312" w:eastAsia="仿宋_GB2312"/>
                <w:color w:val="auto"/>
                <w:kern w:val="2"/>
                <w:sz w:val="24"/>
                <w:szCs w:val="24"/>
                <w:lang w:val="en-US" w:eastAsia="zh-CN" w:bidi="ar-SA"/>
              </w:rPr>
              <w:t>强化预算意识，实行部门综合预算管理，形成以单位领导支持、财务部门牵头、其他部门密切配合的工作格局，保证预算编制质量。结合单位业务情况，进行科学合理分配细化，部门预算经批复后，跟踪预算执行进度，及时组织收入，严格按照专项资金使用制度和财务制度执行项目支出预算，合理安排项目实施，项目组织实施分工明确按计划开展。季度开展账目清理，做到专款专用，定期对账、定期清理往来、定期结算、定期总结，对各项专项资金的使用流程进行监督，保障</w:t>
            </w:r>
            <w:r>
              <w:rPr>
                <w:rFonts w:hint="eastAsia" w:ascii="仿宋_GB2312" w:eastAsia="仿宋_GB2312"/>
                <w:color w:val="auto"/>
                <w:kern w:val="2"/>
                <w:sz w:val="24"/>
                <w:szCs w:val="24"/>
                <w:lang w:val="en-US" w:eastAsia="zh-CN" w:bidi="ar-SA"/>
              </w:rPr>
              <w:t>园区</w:t>
            </w:r>
            <w:r>
              <w:rPr>
                <w:rFonts w:hint="default" w:ascii="仿宋_GB2312" w:eastAsia="仿宋_GB2312"/>
                <w:color w:val="auto"/>
                <w:kern w:val="2"/>
                <w:sz w:val="24"/>
                <w:szCs w:val="24"/>
                <w:lang w:val="en-US" w:eastAsia="zh-CN" w:bidi="ar-SA"/>
              </w:rPr>
              <w:t>正常运行，项目财务管理水平不断提升。</w:t>
            </w:r>
          </w:p>
          <w:p>
            <w:pPr>
              <w:keepNext w:val="0"/>
              <w:keepLines w:val="0"/>
              <w:pageBreakBefore w:val="0"/>
              <w:widowControl w:val="0"/>
              <w:numPr>
                <w:ilvl w:val="0"/>
                <w:numId w:val="5"/>
              </w:numPr>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部门（单位）整体支出绩效情况</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2021</w:t>
            </w:r>
            <w:r>
              <w:rPr>
                <w:rFonts w:hint="default" w:ascii="仿宋_GB2312" w:eastAsia="仿宋_GB2312"/>
                <w:color w:val="auto"/>
                <w:kern w:val="2"/>
                <w:sz w:val="24"/>
                <w:szCs w:val="24"/>
                <w:lang w:val="en-US" w:eastAsia="zh-CN" w:bidi="ar-SA"/>
              </w:rPr>
              <w:t>年，</w:t>
            </w:r>
            <w:r>
              <w:rPr>
                <w:rFonts w:hint="eastAsia" w:ascii="仿宋_GB2312" w:eastAsia="仿宋_GB2312"/>
                <w:color w:val="auto"/>
                <w:kern w:val="2"/>
                <w:sz w:val="24"/>
                <w:szCs w:val="24"/>
                <w:lang w:val="en-US" w:eastAsia="zh-CN" w:bidi="ar-SA"/>
              </w:rPr>
              <w:t>园区</w:t>
            </w:r>
            <w:r>
              <w:rPr>
                <w:rFonts w:hint="default" w:ascii="仿宋_GB2312" w:eastAsia="仿宋_GB2312"/>
                <w:color w:val="auto"/>
                <w:kern w:val="2"/>
                <w:sz w:val="24"/>
                <w:szCs w:val="24"/>
                <w:lang w:val="en-US" w:eastAsia="zh-CN" w:bidi="ar-SA"/>
              </w:rPr>
              <w:t>根据年初工作规划和重点工作，</w:t>
            </w:r>
            <w:r>
              <w:rPr>
                <w:rFonts w:hint="eastAsia" w:ascii="仿宋_GB2312" w:eastAsia="仿宋_GB2312"/>
                <w:color w:val="auto"/>
                <w:kern w:val="2"/>
                <w:sz w:val="24"/>
                <w:szCs w:val="24"/>
                <w:lang w:val="en-US" w:eastAsia="zh-CN" w:bidi="ar-SA"/>
              </w:rPr>
              <w:t>紧紧</w:t>
            </w:r>
            <w:r>
              <w:rPr>
                <w:rFonts w:hint="default" w:ascii="仿宋_GB2312" w:eastAsia="仿宋_GB2312"/>
                <w:color w:val="auto"/>
                <w:kern w:val="2"/>
                <w:sz w:val="24"/>
                <w:szCs w:val="24"/>
                <w:lang w:val="en-US" w:eastAsia="zh-CN" w:bidi="ar-SA"/>
              </w:rPr>
              <w:t>围绕</w:t>
            </w:r>
            <w:r>
              <w:rPr>
                <w:rFonts w:hint="eastAsia" w:ascii="仿宋_GB2312" w:eastAsia="仿宋_GB2312"/>
                <w:color w:val="auto"/>
                <w:kern w:val="2"/>
                <w:sz w:val="24"/>
                <w:szCs w:val="24"/>
                <w:lang w:val="en-US" w:eastAsia="zh-CN" w:bidi="ar-SA"/>
              </w:rPr>
              <w:t>县</w:t>
            </w:r>
            <w:r>
              <w:rPr>
                <w:rFonts w:hint="default" w:ascii="仿宋_GB2312" w:eastAsia="仿宋_GB2312"/>
                <w:color w:val="auto"/>
                <w:kern w:val="2"/>
                <w:sz w:val="24"/>
                <w:szCs w:val="24"/>
                <w:lang w:val="en-US" w:eastAsia="zh-CN" w:bidi="ar-SA"/>
              </w:rPr>
              <w:t>委、</w:t>
            </w:r>
            <w:r>
              <w:rPr>
                <w:rFonts w:hint="eastAsia" w:ascii="仿宋_GB2312" w:eastAsia="仿宋_GB2312"/>
                <w:color w:val="auto"/>
                <w:kern w:val="2"/>
                <w:sz w:val="24"/>
                <w:szCs w:val="24"/>
                <w:lang w:val="en-US" w:eastAsia="zh-CN" w:bidi="ar-SA"/>
              </w:rPr>
              <w:t>县</w:t>
            </w:r>
            <w:r>
              <w:rPr>
                <w:rFonts w:hint="default" w:ascii="仿宋_GB2312" w:eastAsia="仿宋_GB2312"/>
                <w:color w:val="auto"/>
                <w:kern w:val="2"/>
                <w:sz w:val="24"/>
                <w:szCs w:val="24"/>
                <w:lang w:val="en-US" w:eastAsia="zh-CN" w:bidi="ar-SA"/>
              </w:rPr>
              <w:t>政府的工作部署</w:t>
            </w:r>
            <w:r>
              <w:rPr>
                <w:rFonts w:hint="eastAsia" w:ascii="仿宋_GB2312" w:eastAsia="仿宋_GB2312"/>
                <w:color w:val="auto"/>
                <w:kern w:val="2"/>
                <w:sz w:val="24"/>
                <w:szCs w:val="24"/>
                <w:lang w:val="en-US" w:eastAsia="zh-CN" w:bidi="ar-SA"/>
              </w:rPr>
              <w:t>安排</w:t>
            </w:r>
            <w:r>
              <w:rPr>
                <w:rFonts w:hint="default" w:ascii="仿宋_GB2312" w:eastAsia="仿宋_GB2312"/>
                <w:color w:val="auto"/>
                <w:kern w:val="2"/>
                <w:sz w:val="24"/>
                <w:szCs w:val="24"/>
                <w:lang w:val="en-US" w:eastAsia="zh-CN" w:bidi="ar-SA"/>
              </w:rPr>
              <w:t>，积极履行职责，强化管理，圆满完成了年度工作目标，同时加强预算收支的管理，建立健全内部管理制度，严格内部管理流程，部门整体支出管理得到了提升。根据《部门整体支出绩效评价</w:t>
            </w:r>
            <w:r>
              <w:rPr>
                <w:rFonts w:hint="eastAsia" w:ascii="仿宋_GB2312" w:eastAsia="仿宋_GB2312"/>
                <w:color w:val="auto"/>
                <w:kern w:val="2"/>
                <w:sz w:val="24"/>
                <w:szCs w:val="24"/>
                <w:lang w:val="en-US" w:eastAsia="zh-CN" w:bidi="ar-SA"/>
              </w:rPr>
              <w:t>评分表</w:t>
            </w:r>
            <w:r>
              <w:rPr>
                <w:rFonts w:hint="default" w:ascii="仿宋_GB2312" w:eastAsia="仿宋_GB2312"/>
                <w:color w:val="auto"/>
                <w:kern w:val="2"/>
                <w:sz w:val="24"/>
                <w:szCs w:val="24"/>
                <w:lang w:val="en-US" w:eastAsia="zh-CN" w:bidi="ar-SA"/>
              </w:rPr>
              <w:t>》评分，得分9</w:t>
            </w:r>
            <w:r>
              <w:rPr>
                <w:rFonts w:hint="eastAsia" w:ascii="仿宋_GB2312" w:eastAsia="仿宋_GB2312"/>
                <w:color w:val="auto"/>
                <w:kern w:val="2"/>
                <w:sz w:val="24"/>
                <w:szCs w:val="24"/>
                <w:lang w:val="en-US" w:eastAsia="zh-CN" w:bidi="ar-SA"/>
              </w:rPr>
              <w:t>8.5</w:t>
            </w:r>
            <w:r>
              <w:rPr>
                <w:rFonts w:hint="default" w:ascii="仿宋_GB2312" w:eastAsia="仿宋_GB2312"/>
                <w:color w:val="auto"/>
                <w:kern w:val="2"/>
                <w:sz w:val="24"/>
                <w:szCs w:val="24"/>
                <w:lang w:val="en-US" w:eastAsia="zh-CN" w:bidi="ar-SA"/>
              </w:rPr>
              <w:t>分（详见附表</w:t>
            </w:r>
            <w:r>
              <w:rPr>
                <w:rFonts w:hint="eastAsia" w:ascii="仿宋_GB2312" w:eastAsia="仿宋_GB2312"/>
                <w:color w:val="auto"/>
                <w:kern w:val="2"/>
                <w:sz w:val="24"/>
                <w:szCs w:val="24"/>
                <w:lang w:val="en-US" w:eastAsia="zh-CN" w:bidi="ar-SA"/>
              </w:rPr>
              <w:t>3</w:t>
            </w:r>
            <w:r>
              <w:rPr>
                <w:rFonts w:hint="default" w:ascii="仿宋_GB2312" w:eastAsia="仿宋_GB2312"/>
                <w:color w:val="auto"/>
                <w:kern w:val="2"/>
                <w:sz w:val="24"/>
                <w:szCs w:val="24"/>
                <w:lang w:val="en-US" w:eastAsia="zh-CN" w:bidi="ar-SA"/>
              </w:rPr>
              <w:t>），财政支出绩效</w:t>
            </w:r>
            <w:r>
              <w:rPr>
                <w:rFonts w:hint="eastAsia" w:ascii="仿宋_GB2312" w:eastAsia="仿宋_GB2312"/>
                <w:color w:val="auto"/>
                <w:kern w:val="2"/>
                <w:sz w:val="24"/>
                <w:szCs w:val="24"/>
                <w:lang w:val="en-US" w:eastAsia="zh-CN" w:bidi="ar-SA"/>
              </w:rPr>
              <w:t>评价为</w:t>
            </w:r>
            <w:r>
              <w:rPr>
                <w:rFonts w:hint="default" w:ascii="仿宋_GB2312" w:eastAsia="仿宋_GB2312"/>
                <w:color w:val="auto"/>
                <w:kern w:val="2"/>
                <w:sz w:val="24"/>
                <w:szCs w:val="24"/>
                <w:lang w:val="en-US" w:eastAsia="zh-CN" w:bidi="ar-SA"/>
              </w:rPr>
              <w:t>“优”。</w:t>
            </w:r>
            <w:r>
              <w:rPr>
                <w:rFonts w:hint="eastAsia" w:ascii="仿宋_GB2312" w:eastAsia="仿宋_GB2312"/>
                <w:color w:val="auto"/>
                <w:kern w:val="2"/>
                <w:sz w:val="24"/>
                <w:szCs w:val="24"/>
                <w:lang w:val="en-US" w:eastAsia="zh-CN" w:bidi="ar-SA"/>
              </w:rPr>
              <w:t>单位</w:t>
            </w:r>
            <w:r>
              <w:rPr>
                <w:rFonts w:hint="default" w:ascii="仿宋_GB2312" w:eastAsia="仿宋_GB2312"/>
                <w:color w:val="auto"/>
                <w:kern w:val="2"/>
                <w:sz w:val="24"/>
                <w:szCs w:val="24"/>
                <w:lang w:val="en-US" w:eastAsia="zh-CN" w:bidi="ar-SA"/>
              </w:rPr>
              <w:t>整体支出绩效情况如下：</w:t>
            </w:r>
          </w:p>
          <w:p>
            <w:pPr>
              <w:pStyle w:val="9"/>
              <w:keepNext w:val="0"/>
              <w:keepLines w:val="0"/>
              <w:pageBreakBefore w:val="0"/>
              <w:widowControl w:val="0"/>
              <w:numPr>
                <w:ilvl w:val="0"/>
                <w:numId w:val="6"/>
              </w:numPr>
              <w:kinsoku/>
              <w:wordWrap/>
              <w:overflowPunct/>
              <w:topLinePunct w:val="0"/>
              <w:autoSpaceDE/>
              <w:autoSpaceDN/>
              <w:bidi w:val="0"/>
              <w:adjustRightInd/>
              <w:snapToGrid w:val="0"/>
              <w:spacing w:before="0" w:beforeLines="0" w:beforeAutospacing="0" w:after="0" w:afterLines="0" w:afterAutospacing="0" w:line="520" w:lineRule="exact"/>
              <w:ind w:left="0" w:leftChars="0" w:right="0" w:rightChars="0" w:firstLine="482" w:firstLineChars="200"/>
              <w:textAlignment w:val="auto"/>
              <w:outlineLvl w:val="9"/>
              <w:rPr>
                <w:rFonts w:hint="eastAsia"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预算配置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20" w:lineRule="exact"/>
              <w:ind w:left="0" w:leftChars="0" w:right="0" w:rightChars="0" w:firstLine="420"/>
              <w:jc w:val="both"/>
              <w:textAlignment w:val="auto"/>
              <w:outlineLvl w:val="9"/>
              <w:rPr>
                <w:rFonts w:hint="eastAsia" w:ascii="仿宋_GB2312" w:eastAsia="仿宋_GB2312"/>
                <w:color w:val="auto"/>
                <w:kern w:val="2"/>
                <w:sz w:val="24"/>
                <w:szCs w:val="24"/>
                <w:lang w:val="en-US" w:eastAsia="zh-CN" w:bidi="ar-SA"/>
              </w:rPr>
            </w:pPr>
            <w:r>
              <w:rPr>
                <w:rFonts w:hint="default" w:ascii="仿宋_GB2312" w:eastAsia="仿宋_GB2312"/>
                <w:color w:val="auto"/>
                <w:kern w:val="2"/>
                <w:sz w:val="24"/>
                <w:szCs w:val="24"/>
                <w:lang w:val="en-US" w:eastAsia="zh-CN" w:bidi="ar-SA"/>
              </w:rPr>
              <w:t>为更好地贯彻落实中央厉行节约的有关规定，财务管理不断加强</w:t>
            </w:r>
            <w:r>
              <w:rPr>
                <w:rFonts w:hint="eastAsia" w:ascii="仿宋_GB2312" w:eastAsia="仿宋_GB2312"/>
                <w:color w:val="auto"/>
                <w:kern w:val="2"/>
                <w:sz w:val="24"/>
                <w:szCs w:val="24"/>
                <w:lang w:val="en-US" w:eastAsia="zh-CN" w:bidi="ar-SA"/>
              </w:rPr>
              <w:t>对“三公经费”的管理控制。2021</w:t>
            </w:r>
            <w:r>
              <w:rPr>
                <w:rFonts w:hint="default" w:ascii="仿宋_GB2312" w:eastAsia="仿宋_GB2312"/>
                <w:color w:val="auto"/>
                <w:kern w:val="2"/>
                <w:sz w:val="24"/>
                <w:szCs w:val="24"/>
                <w:lang w:val="en-US" w:eastAsia="zh-CN" w:bidi="ar-SA"/>
              </w:rPr>
              <w:t>年</w:t>
            </w:r>
            <w:r>
              <w:rPr>
                <w:rFonts w:hint="eastAsia" w:ascii="仿宋_GB2312" w:eastAsia="仿宋_GB2312"/>
                <w:color w:val="auto"/>
                <w:kern w:val="2"/>
                <w:sz w:val="24"/>
                <w:szCs w:val="24"/>
                <w:lang w:val="en-US" w:eastAsia="zh-CN" w:bidi="ar-SA"/>
              </w:rPr>
              <w:t>园区</w:t>
            </w:r>
            <w:r>
              <w:rPr>
                <w:rFonts w:hint="default" w:ascii="仿宋_GB2312" w:eastAsia="仿宋_GB2312"/>
                <w:color w:val="auto"/>
                <w:kern w:val="2"/>
                <w:sz w:val="24"/>
                <w:szCs w:val="24"/>
                <w:lang w:val="en-US" w:eastAsia="zh-CN" w:bidi="ar-SA"/>
              </w:rPr>
              <w:t>“三公经费”</w:t>
            </w:r>
            <w:r>
              <w:rPr>
                <w:rFonts w:hint="eastAsia" w:ascii="仿宋_GB2312" w:eastAsia="仿宋_GB2312"/>
                <w:color w:val="auto"/>
                <w:kern w:val="2"/>
                <w:sz w:val="24"/>
                <w:szCs w:val="24"/>
                <w:lang w:val="en-US" w:eastAsia="zh-CN" w:bidi="ar-SA"/>
              </w:rPr>
              <w:t>开支0.34万元，</w:t>
            </w:r>
            <w:r>
              <w:rPr>
                <w:rFonts w:hint="default" w:ascii="仿宋_GB2312" w:eastAsia="仿宋_GB2312"/>
                <w:color w:val="auto"/>
                <w:kern w:val="2"/>
                <w:sz w:val="24"/>
                <w:szCs w:val="24"/>
                <w:lang w:val="en-US" w:eastAsia="zh-CN" w:bidi="ar-SA"/>
              </w:rPr>
              <w:t>其中：公务接待费</w:t>
            </w:r>
            <w:r>
              <w:rPr>
                <w:rFonts w:hint="eastAsia" w:ascii="仿宋_GB2312" w:eastAsia="仿宋_GB2312"/>
                <w:color w:val="auto"/>
                <w:kern w:val="2"/>
                <w:sz w:val="24"/>
                <w:szCs w:val="24"/>
                <w:lang w:val="en-US" w:eastAsia="zh-CN" w:bidi="ar-SA"/>
              </w:rPr>
              <w:t>用0.34</w:t>
            </w:r>
            <w:r>
              <w:rPr>
                <w:rFonts w:hint="default" w:ascii="仿宋_GB2312" w:eastAsia="仿宋_GB2312"/>
                <w:color w:val="auto"/>
                <w:kern w:val="2"/>
                <w:sz w:val="24"/>
                <w:szCs w:val="24"/>
                <w:lang w:val="en-US" w:eastAsia="zh-CN" w:bidi="ar-SA"/>
              </w:rPr>
              <w:t>万元，较去年降低了</w:t>
            </w:r>
            <w:r>
              <w:rPr>
                <w:rFonts w:hint="eastAsia" w:ascii="仿宋_GB2312" w:eastAsia="仿宋_GB2312"/>
                <w:color w:val="auto"/>
                <w:kern w:val="2"/>
                <w:sz w:val="24"/>
                <w:szCs w:val="24"/>
                <w:lang w:val="en-US" w:eastAsia="zh-CN" w:bidi="ar-SA"/>
              </w:rPr>
              <w:t>37.04</w:t>
            </w:r>
            <w:r>
              <w:rPr>
                <w:rFonts w:hint="default" w:ascii="仿宋_GB2312" w:eastAsia="仿宋_GB2312"/>
                <w:color w:val="auto"/>
                <w:kern w:val="2"/>
                <w:sz w:val="24"/>
                <w:szCs w:val="24"/>
                <w:lang w:val="en-US" w:eastAsia="zh-CN" w:bidi="ar-SA"/>
              </w:rPr>
              <w:t>%</w:t>
            </w:r>
            <w:r>
              <w:rPr>
                <w:rFonts w:hint="eastAsia" w:ascii="仿宋_GB2312" w:eastAsia="仿宋_GB2312"/>
                <w:color w:val="auto"/>
                <w:kern w:val="2"/>
                <w:sz w:val="24"/>
                <w:szCs w:val="24"/>
                <w:lang w:val="en-US" w:eastAsia="zh-CN" w:bidi="ar-SA"/>
              </w:rPr>
              <w:t>；园区实行公车改革后，单位无公务用车，</w:t>
            </w:r>
            <w:r>
              <w:rPr>
                <w:rFonts w:hint="default" w:ascii="仿宋_GB2312" w:eastAsia="仿宋_GB2312"/>
                <w:color w:val="auto"/>
                <w:kern w:val="2"/>
                <w:sz w:val="24"/>
                <w:szCs w:val="24"/>
                <w:lang w:val="en-US" w:eastAsia="zh-CN" w:bidi="ar-SA"/>
              </w:rPr>
              <w:t>公务用车运行维护费</w:t>
            </w:r>
            <w:r>
              <w:rPr>
                <w:rFonts w:hint="eastAsia" w:ascii="仿宋_GB2312" w:eastAsia="仿宋_GB2312"/>
                <w:color w:val="auto"/>
                <w:kern w:val="2"/>
                <w:sz w:val="24"/>
                <w:szCs w:val="24"/>
                <w:lang w:val="en-US" w:eastAsia="zh-CN" w:bidi="ar-SA"/>
              </w:rPr>
              <w:t>0</w:t>
            </w:r>
            <w:r>
              <w:rPr>
                <w:rFonts w:hint="default" w:ascii="仿宋_GB2312" w:eastAsia="仿宋_GB2312"/>
                <w:color w:val="auto"/>
                <w:kern w:val="2"/>
                <w:sz w:val="24"/>
                <w:szCs w:val="24"/>
                <w:lang w:val="en-US" w:eastAsia="zh-CN" w:bidi="ar-SA"/>
              </w:rPr>
              <w:t>元</w:t>
            </w:r>
            <w:r>
              <w:rPr>
                <w:rFonts w:hint="eastAsia" w:ascii="仿宋_GB2312" w:eastAsia="仿宋_GB2312"/>
                <w:color w:val="auto"/>
                <w:kern w:val="2"/>
                <w:sz w:val="24"/>
                <w:szCs w:val="24"/>
                <w:lang w:val="en-US" w:eastAsia="zh-CN" w:bidi="ar-SA"/>
              </w:rPr>
              <w:t>；</w:t>
            </w:r>
            <w:r>
              <w:rPr>
                <w:rFonts w:hint="default" w:ascii="仿宋_GB2312" w:eastAsia="仿宋_GB2312"/>
                <w:color w:val="auto"/>
                <w:kern w:val="2"/>
                <w:sz w:val="24"/>
                <w:szCs w:val="24"/>
                <w:lang w:val="en-US" w:eastAsia="zh-CN" w:bidi="ar-SA"/>
              </w:rPr>
              <w:t>由于本单位厉行节俭，严格执行八项规定</w:t>
            </w:r>
            <w:r>
              <w:rPr>
                <w:rFonts w:hint="eastAsia" w:ascii="仿宋_GB2312" w:eastAsia="仿宋_GB2312"/>
                <w:color w:val="auto"/>
                <w:kern w:val="2"/>
                <w:sz w:val="24"/>
                <w:szCs w:val="24"/>
                <w:lang w:val="en-US" w:eastAsia="zh-CN" w:bidi="ar-SA"/>
              </w:rPr>
              <w:t>，</w:t>
            </w:r>
            <w:r>
              <w:rPr>
                <w:rFonts w:hint="default" w:ascii="仿宋_GB2312" w:eastAsia="仿宋_GB2312"/>
                <w:color w:val="auto"/>
                <w:kern w:val="2"/>
                <w:sz w:val="24"/>
                <w:szCs w:val="24"/>
                <w:lang w:val="en-US" w:eastAsia="zh-CN" w:bidi="ar-SA"/>
              </w:rPr>
              <w:t>本单位无因公出国（境）费用支出。</w:t>
            </w:r>
            <w:r>
              <w:rPr>
                <w:rFonts w:hint="eastAsia" w:ascii="仿宋_GB2312" w:eastAsia="仿宋_GB2312"/>
                <w:color w:val="auto"/>
                <w:kern w:val="2"/>
                <w:sz w:val="24"/>
                <w:szCs w:val="24"/>
                <w:lang w:val="en-US" w:eastAsia="zh-CN" w:bidi="ar-SA"/>
              </w:rPr>
              <w:t>财政供养人员控制率100%；重点支出安排率</w:t>
            </w:r>
            <w:r>
              <w:rPr>
                <w:rFonts w:hint="default" w:ascii="仿宋_GB2312" w:eastAsia="仿宋_GB2312"/>
                <w:color w:val="auto"/>
                <w:kern w:val="2"/>
                <w:sz w:val="24"/>
                <w:szCs w:val="24"/>
                <w:lang w:val="en-US" w:eastAsia="zh-CN" w:bidi="ar-SA"/>
              </w:rPr>
              <w:t>100%</w:t>
            </w:r>
            <w:r>
              <w:rPr>
                <w:rFonts w:hint="eastAsia" w:ascii="仿宋_GB2312" w:eastAsia="仿宋_GB2312"/>
                <w:color w:val="auto"/>
                <w:kern w:val="2"/>
                <w:sz w:val="24"/>
                <w:szCs w:val="24"/>
                <w:lang w:val="en-US" w:eastAsia="zh-CN" w:bidi="ar-SA"/>
              </w:rPr>
              <w:t>。</w:t>
            </w:r>
          </w:p>
          <w:p>
            <w:pPr>
              <w:pStyle w:val="6"/>
              <w:rPr>
                <w:rFonts w:hint="eastAsia"/>
                <w:lang w:val="en-US" w:eastAsia="zh-CN"/>
              </w:rPr>
            </w:pPr>
          </w:p>
          <w:p>
            <w:pPr>
              <w:pStyle w:val="6"/>
              <w:keepNext w:val="0"/>
              <w:keepLines w:val="0"/>
              <w:pageBreakBefore w:val="0"/>
              <w:widowControl w:val="0"/>
              <w:numPr>
                <w:ilvl w:val="0"/>
                <w:numId w:val="6"/>
              </w:numPr>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default"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预算执行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2021年根据财政政策要求，年末结转和结余资金收回国库，预算调整率按扣除年初结转和结余资金计算，预算调整率为-12.75%。预算调整主要原因一方面是受疫情影响，园区项目建设进度缓慢，支付进度滞后。</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2021年“三公经费”开支0.34万元，“三公”经费控制率100</w:t>
            </w:r>
            <w:r>
              <w:rPr>
                <w:rFonts w:hint="default" w:ascii="仿宋_GB2312" w:eastAsia="仿宋_GB2312"/>
                <w:color w:val="auto"/>
                <w:kern w:val="2"/>
                <w:sz w:val="24"/>
                <w:szCs w:val="24"/>
                <w:lang w:val="en-US" w:eastAsia="zh-CN" w:bidi="ar-SA"/>
              </w:rPr>
              <w:t>%</w:t>
            </w:r>
            <w:r>
              <w:rPr>
                <w:rFonts w:hint="eastAsia" w:ascii="仿宋_GB2312" w:eastAsia="仿宋_GB2312"/>
                <w:color w:val="auto"/>
                <w:kern w:val="2"/>
                <w:sz w:val="24"/>
                <w:szCs w:val="24"/>
                <w:lang w:val="en-US" w:eastAsia="zh-CN" w:bidi="ar-SA"/>
              </w:rPr>
              <w:t>。</w:t>
            </w:r>
          </w:p>
          <w:p>
            <w:pPr>
              <w:pStyle w:val="6"/>
              <w:keepNext w:val="0"/>
              <w:keepLines w:val="0"/>
              <w:pageBreakBefore w:val="0"/>
              <w:widowControl w:val="0"/>
              <w:numPr>
                <w:ilvl w:val="0"/>
                <w:numId w:val="6"/>
              </w:numPr>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eastAsia"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预算管理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完善了预算管理制度、内部控制制度和财务管理制度等财务相关制度，实行财务会审报账制，重大财务支出交委党组成员讨论，集体研究决定通过；单位无超标准发放津补贴、奖金款项；专项资金做到专款专用，资金使用无截留、挤占、挪用、虚列支出等情况；按财政要求，预决算信息在规定时间内在相关网站及时公开。严格执行《湖南省政府采购电子卖场管理办法》、《岳阳市2020年-2021年政府集中采购目录及政府采购限额标准》等政府采购相关规定，2021年政府采购执行力率100%。加强对公务卡消费的控制力度，2021年公务卡刷卡率达到85%。</w:t>
            </w:r>
          </w:p>
          <w:p>
            <w:pPr>
              <w:pStyle w:val="6"/>
              <w:keepNext w:val="0"/>
              <w:keepLines w:val="0"/>
              <w:pageBreakBefore w:val="0"/>
              <w:widowControl w:val="0"/>
              <w:numPr>
                <w:ilvl w:val="0"/>
                <w:numId w:val="6"/>
              </w:numPr>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default"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资产管理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根据中共岳阳县委督查室岳县督办（2021）21号关于开展国有资产自查工作的通知要求，我单位2021年对资产进行了全面摸底清查，形成《固定资产自查工作方案》，成立固定资产清查工作领导小组，并出具《岳阳高新技术产业园区管理委员会国有资产清查清理工作自查报告》，固定资产利用率达</w:t>
            </w:r>
            <w:r>
              <w:rPr>
                <w:rFonts w:hint="default" w:ascii="仿宋_GB2312" w:eastAsia="仿宋_GB2312"/>
                <w:color w:val="auto"/>
                <w:kern w:val="2"/>
                <w:sz w:val="24"/>
                <w:szCs w:val="24"/>
                <w:lang w:val="en-US" w:eastAsia="zh-CN" w:bidi="ar-SA"/>
              </w:rPr>
              <w:t>100%</w:t>
            </w:r>
            <w:r>
              <w:rPr>
                <w:rFonts w:hint="eastAsia" w:ascii="仿宋_GB2312" w:eastAsia="仿宋_GB2312"/>
                <w:color w:val="auto"/>
                <w:kern w:val="2"/>
                <w:sz w:val="24"/>
                <w:szCs w:val="24"/>
                <w:lang w:val="en-US" w:eastAsia="zh-CN" w:bidi="ar-SA"/>
              </w:rPr>
              <w:t>。</w:t>
            </w:r>
          </w:p>
          <w:p>
            <w:pPr>
              <w:pStyle w:val="6"/>
              <w:keepNext w:val="0"/>
              <w:keepLines w:val="0"/>
              <w:pageBreakBefore w:val="0"/>
              <w:widowControl w:val="0"/>
              <w:numPr>
                <w:ilvl w:val="0"/>
                <w:numId w:val="6"/>
              </w:numPr>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eastAsia" w:ascii="仿宋_GB2312" w:eastAsia="仿宋_GB2312"/>
                <w:b/>
                <w:bCs/>
                <w:color w:val="auto"/>
                <w:kern w:val="2"/>
                <w:sz w:val="24"/>
                <w:szCs w:val="24"/>
                <w:highlight w:val="none"/>
                <w:lang w:val="en-US" w:eastAsia="zh-CN" w:bidi="ar-SA"/>
              </w:rPr>
            </w:pPr>
            <w:r>
              <w:rPr>
                <w:rFonts w:hint="eastAsia" w:ascii="仿宋_GB2312" w:eastAsia="仿宋_GB2312"/>
                <w:b/>
                <w:bCs/>
                <w:color w:val="auto"/>
                <w:kern w:val="2"/>
                <w:sz w:val="24"/>
                <w:szCs w:val="24"/>
                <w:highlight w:val="none"/>
                <w:lang w:val="en-US" w:eastAsia="zh-CN" w:bidi="ar-SA"/>
              </w:rPr>
              <w:t>职责履行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根据县政府2021年重点工作分解任务的部署安排，园区对相关工作任务进行了认真梳理和分解，按照“一项任务、一套班子、一套措施”的要求，强化责任、细化分工，切实推进目标任务的落实。</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聚焦“规划定位好、创新平台好、产业项目好、体制机制好、发展形象好”，突出主职主业，真抓实干，扛起县域经济大旗。全力落实“三高四新”战略，加快融入“三区一中心”建设，扎实推进县委“四区”建设，积极应对挑战，破解发展难题，着力创建“五好”园区。</w:t>
            </w:r>
          </w:p>
          <w:p>
            <w:pPr>
              <w:pStyle w:val="26"/>
              <w:rPr>
                <w:rFonts w:hint="default"/>
                <w:lang w:val="en-US" w:eastAsia="zh-CN"/>
              </w:rPr>
            </w:pPr>
          </w:p>
          <w:p>
            <w:pPr>
              <w:pStyle w:val="6"/>
              <w:keepNext w:val="0"/>
              <w:keepLines w:val="0"/>
              <w:pageBreakBefore w:val="0"/>
              <w:widowControl w:val="0"/>
              <w:numPr>
                <w:ilvl w:val="0"/>
                <w:numId w:val="6"/>
              </w:numPr>
              <w:kinsoku/>
              <w:wordWrap/>
              <w:overflowPunct/>
              <w:topLinePunct w:val="0"/>
              <w:autoSpaceDE/>
              <w:autoSpaceDN/>
              <w:bidi w:val="0"/>
              <w:adjustRightInd/>
              <w:snapToGrid w:val="0"/>
              <w:spacing w:before="0" w:beforeLines="0" w:after="0" w:afterLines="0" w:line="520" w:lineRule="exact"/>
              <w:ind w:left="0" w:leftChars="0" w:right="0" w:rightChars="0" w:firstLine="482" w:firstLineChars="200"/>
              <w:textAlignment w:val="auto"/>
              <w:outlineLvl w:val="9"/>
              <w:rPr>
                <w:rFonts w:hint="default" w:ascii="仿宋_GB2312" w:eastAsia="仿宋_GB2312"/>
                <w:b/>
                <w:bCs/>
                <w:color w:val="auto"/>
                <w:kern w:val="2"/>
                <w:sz w:val="24"/>
                <w:szCs w:val="24"/>
                <w:highlight w:val="none"/>
                <w:lang w:val="en-US" w:eastAsia="zh-CN" w:bidi="ar-SA"/>
              </w:rPr>
            </w:pPr>
            <w:r>
              <w:rPr>
                <w:rFonts w:hint="eastAsia" w:ascii="仿宋_GB2312" w:eastAsia="仿宋_GB2312"/>
                <w:b/>
                <w:bCs/>
                <w:color w:val="auto"/>
                <w:kern w:val="2"/>
                <w:sz w:val="24"/>
                <w:szCs w:val="24"/>
                <w:highlight w:val="none"/>
                <w:lang w:val="en-US" w:eastAsia="zh-CN" w:bidi="ar-SA"/>
              </w:rPr>
              <w:t>履职效益</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default"/>
                <w:lang w:val="en-US" w:eastAsia="zh-CN"/>
              </w:rPr>
            </w:pPr>
            <w:r>
              <w:rPr>
                <w:rFonts w:hint="eastAsia" w:ascii="仿宋_GB2312" w:hAnsi="Times New Roman" w:eastAsia="仿宋_GB2312" w:cs="Times New Roman"/>
                <w:color w:val="auto"/>
                <w:kern w:val="2"/>
                <w:sz w:val="24"/>
                <w:szCs w:val="24"/>
                <w:lang w:val="en-US" w:eastAsia="zh-CN" w:bidi="ar-SA"/>
              </w:rPr>
              <w:t>2021年，园区经济逆势增长，园区企业完成技工贸总收入392.88亿元，同比增长28.89%，实缴税收4.2</w:t>
            </w:r>
            <w:r>
              <w:rPr>
                <w:rFonts w:hint="eastAsia" w:ascii="仿宋_GB2312" w:eastAsia="仿宋_GB2312" w:cs="Times New Roman"/>
                <w:color w:val="auto"/>
                <w:kern w:val="2"/>
                <w:sz w:val="24"/>
                <w:szCs w:val="24"/>
                <w:lang w:val="en-US" w:eastAsia="zh-CN" w:bidi="ar-SA"/>
              </w:rPr>
              <w:t>9</w:t>
            </w:r>
            <w:r>
              <w:rPr>
                <w:rFonts w:hint="eastAsia" w:ascii="仿宋_GB2312" w:hAnsi="Times New Roman" w:eastAsia="仿宋_GB2312" w:cs="Times New Roman"/>
                <w:color w:val="auto"/>
                <w:kern w:val="2"/>
                <w:sz w:val="24"/>
                <w:szCs w:val="24"/>
                <w:lang w:val="en-US" w:eastAsia="zh-CN" w:bidi="ar-SA"/>
              </w:rPr>
              <w:t>亿元，同比增长13.8%。全年引进优质项目42</w:t>
            </w:r>
            <w:r>
              <w:rPr>
                <w:rFonts w:hint="eastAsia" w:ascii="仿宋_GB2312" w:hAnsi="Times New Roman" w:eastAsia="仿宋_GB2312" w:cs="Times New Roman"/>
                <w:color w:val="auto"/>
                <w:kern w:val="2"/>
                <w:sz w:val="24"/>
                <w:szCs w:val="24"/>
                <w:lang w:val="zh-CN" w:eastAsia="zh-CN" w:bidi="ar-SA"/>
              </w:rPr>
              <w:t>个</w:t>
            </w:r>
            <w:r>
              <w:rPr>
                <w:rFonts w:hint="eastAsia" w:ascii="仿宋_GB2312" w:hAnsi="Times New Roman" w:eastAsia="仿宋_GB2312" w:cs="Times New Roman"/>
                <w:color w:val="auto"/>
                <w:kern w:val="2"/>
                <w:sz w:val="24"/>
                <w:szCs w:val="24"/>
                <w:lang w:val="en-US" w:eastAsia="zh-CN" w:bidi="ar-SA"/>
              </w:rPr>
              <w:t>，合同引资125.6亿元，其中过10亿元项目4个，过5亿元项目4个，</w:t>
            </w:r>
            <w:r>
              <w:rPr>
                <w:rFonts w:hint="default" w:ascii="仿宋_GB2312" w:hAnsi="Times New Roman" w:eastAsia="仿宋_GB2312" w:cs="Times New Roman"/>
                <w:color w:val="auto"/>
                <w:kern w:val="2"/>
                <w:sz w:val="24"/>
                <w:szCs w:val="24"/>
                <w:lang w:val="en-US" w:eastAsia="zh-CN" w:bidi="ar-SA"/>
              </w:rPr>
              <w:t>招商引资总额和重大项目引进个数均</w:t>
            </w:r>
            <w:r>
              <w:rPr>
                <w:rFonts w:hint="eastAsia" w:ascii="仿宋_GB2312" w:hAnsi="Times New Roman" w:eastAsia="仿宋_GB2312" w:cs="Times New Roman"/>
                <w:color w:val="auto"/>
                <w:kern w:val="2"/>
                <w:sz w:val="24"/>
                <w:szCs w:val="24"/>
                <w:lang w:val="en-US" w:eastAsia="zh-CN" w:bidi="ar-SA"/>
              </w:rPr>
              <w:t>实现</w:t>
            </w:r>
            <w:r>
              <w:rPr>
                <w:rFonts w:hint="default" w:ascii="仿宋_GB2312" w:hAnsi="Times New Roman" w:eastAsia="仿宋_GB2312" w:cs="Times New Roman"/>
                <w:color w:val="auto"/>
                <w:kern w:val="2"/>
                <w:sz w:val="24"/>
                <w:szCs w:val="24"/>
                <w:lang w:val="en-US" w:eastAsia="zh-CN" w:bidi="ar-SA"/>
              </w:rPr>
              <w:t>新突破</w:t>
            </w:r>
            <w:r>
              <w:rPr>
                <w:rFonts w:hint="eastAsia" w:ascii="仿宋_GB2312" w:hAnsi="Times New Roman" w:eastAsia="仿宋_GB2312" w:cs="Times New Roman"/>
                <w:color w:val="auto"/>
                <w:kern w:val="2"/>
                <w:sz w:val="24"/>
                <w:szCs w:val="24"/>
                <w:lang w:val="en-US" w:eastAsia="zh-CN" w:bidi="ar-SA"/>
              </w:rPr>
              <w:t>。</w:t>
            </w:r>
            <w:r>
              <w:rPr>
                <w:rFonts w:hint="default" w:ascii="仿宋_GB2312" w:hAnsi="Times New Roman" w:eastAsia="仿宋_GB2312" w:cs="Times New Roman"/>
                <w:color w:val="auto"/>
                <w:kern w:val="2"/>
                <w:sz w:val="24"/>
                <w:szCs w:val="24"/>
                <w:lang w:val="en-US" w:eastAsia="zh-CN" w:bidi="ar-SA"/>
              </w:rPr>
              <w:t>产业项目建设换挡提速</w:t>
            </w:r>
            <w:r>
              <w:rPr>
                <w:rFonts w:hint="eastAsia" w:ascii="仿宋_GB2312" w:hAnsi="Times New Roman" w:eastAsia="仿宋_GB2312" w:cs="Times New Roman"/>
                <w:color w:val="auto"/>
                <w:kern w:val="2"/>
                <w:sz w:val="24"/>
                <w:szCs w:val="24"/>
                <w:lang w:val="en-US" w:eastAsia="zh-CN" w:bidi="ar-SA"/>
              </w:rPr>
              <w:t>，全年园区新开工产业项目38个，竣工投产产业项目34个，</w:t>
            </w:r>
            <w:r>
              <w:rPr>
                <w:rFonts w:hint="default" w:ascii="仿宋_GB2312" w:hAnsi="Times New Roman" w:eastAsia="仿宋_GB2312" w:cs="Times New Roman"/>
                <w:color w:val="auto"/>
                <w:kern w:val="2"/>
                <w:sz w:val="24"/>
                <w:szCs w:val="24"/>
                <w:lang w:val="en-US" w:eastAsia="zh-CN" w:bidi="ar-SA"/>
              </w:rPr>
              <w:t>预计可新增产值</w:t>
            </w:r>
            <w:r>
              <w:rPr>
                <w:rFonts w:hint="eastAsia" w:ascii="仿宋_GB2312" w:hAnsi="Times New Roman" w:eastAsia="仿宋_GB2312" w:cs="Times New Roman"/>
                <w:color w:val="auto"/>
                <w:kern w:val="2"/>
                <w:sz w:val="24"/>
                <w:szCs w:val="24"/>
                <w:lang w:val="en-US" w:eastAsia="zh-CN" w:bidi="ar-SA"/>
              </w:rPr>
              <w:t>95.7</w:t>
            </w:r>
            <w:r>
              <w:rPr>
                <w:rFonts w:hint="default" w:ascii="仿宋_GB2312" w:hAnsi="Times New Roman" w:eastAsia="仿宋_GB2312" w:cs="Times New Roman"/>
                <w:color w:val="auto"/>
                <w:kern w:val="2"/>
                <w:sz w:val="24"/>
                <w:szCs w:val="24"/>
                <w:lang w:val="en-US" w:eastAsia="zh-CN" w:bidi="ar-SA"/>
              </w:rPr>
              <w:t>亿元以上，新增税收</w:t>
            </w:r>
            <w:r>
              <w:rPr>
                <w:rFonts w:hint="eastAsia" w:ascii="仿宋_GB2312" w:hAnsi="Times New Roman" w:eastAsia="仿宋_GB2312" w:cs="Times New Roman"/>
                <w:color w:val="auto"/>
                <w:kern w:val="2"/>
                <w:sz w:val="24"/>
                <w:szCs w:val="24"/>
                <w:lang w:val="en-US" w:eastAsia="zh-CN" w:bidi="ar-SA"/>
              </w:rPr>
              <w:t>2.45亿元</w:t>
            </w:r>
            <w:r>
              <w:rPr>
                <w:rFonts w:hint="default" w:ascii="仿宋_GB2312" w:hAnsi="Times New Roman" w:eastAsia="仿宋_GB2312" w:cs="Times New Roman"/>
                <w:color w:val="auto"/>
                <w:kern w:val="2"/>
                <w:sz w:val="24"/>
                <w:szCs w:val="24"/>
                <w:lang w:val="en-US" w:eastAsia="zh-CN" w:bidi="ar-SA"/>
              </w:rPr>
              <w:t>以上。</w:t>
            </w:r>
            <w:r>
              <w:rPr>
                <w:rFonts w:hint="eastAsia" w:ascii="仿宋_GB2312" w:hAnsi="Times New Roman" w:eastAsia="仿宋_GB2312" w:cs="Times New Roman"/>
                <w:color w:val="auto"/>
                <w:kern w:val="2"/>
                <w:sz w:val="24"/>
                <w:szCs w:val="24"/>
                <w:lang w:val="en-US" w:eastAsia="zh-CN" w:bidi="ar-SA"/>
              </w:rPr>
              <w:t>基础设施不断完善，园区自建的标准化厂房、兴园社区（金信路）公租房已竣工并投入使用。</w:t>
            </w:r>
            <w:r>
              <w:rPr>
                <w:rFonts w:hint="default" w:ascii="仿宋_GB2312" w:hAnsi="Times New Roman" w:eastAsia="仿宋_GB2312" w:cs="Times New Roman"/>
                <w:color w:val="auto"/>
                <w:kern w:val="2"/>
                <w:sz w:val="24"/>
                <w:szCs w:val="24"/>
                <w:lang w:val="en-US" w:eastAsia="zh-CN" w:bidi="ar-SA"/>
              </w:rPr>
              <w:t>立足生态环境保护，对园区现有污水处理厂进行了</w:t>
            </w:r>
            <w:r>
              <w:rPr>
                <w:rFonts w:hint="eastAsia" w:ascii="仿宋_GB2312" w:hAnsi="Times New Roman" w:eastAsia="仿宋_GB2312" w:cs="Times New Roman"/>
                <w:color w:val="auto"/>
                <w:kern w:val="2"/>
                <w:sz w:val="24"/>
                <w:szCs w:val="24"/>
                <w:lang w:val="en-US" w:eastAsia="zh-CN" w:bidi="ar-SA"/>
              </w:rPr>
              <w:t>提质</w:t>
            </w:r>
            <w:r>
              <w:rPr>
                <w:rFonts w:hint="default" w:ascii="仿宋_GB2312" w:hAnsi="Times New Roman" w:eastAsia="仿宋_GB2312" w:cs="Times New Roman"/>
                <w:color w:val="auto"/>
                <w:kern w:val="2"/>
                <w:sz w:val="24"/>
                <w:szCs w:val="24"/>
                <w:lang w:val="en-US" w:eastAsia="zh-CN" w:bidi="ar-SA"/>
              </w:rPr>
              <w:t>整改，并启动了新建工业污水处理厂建设，最大限度满足企业污水处理环保要求。</w:t>
            </w:r>
            <w:r>
              <w:rPr>
                <w:rFonts w:hint="eastAsia" w:ascii="仿宋_GB2312" w:hAnsi="Times New Roman" w:eastAsia="仿宋_GB2312" w:cs="Times New Roman"/>
                <w:color w:val="auto"/>
                <w:kern w:val="2"/>
                <w:sz w:val="24"/>
                <w:szCs w:val="24"/>
                <w:lang w:val="en-US" w:eastAsia="zh-CN" w:bidi="ar-SA"/>
              </w:rPr>
              <w:t>高效运行企业</w:t>
            </w:r>
            <w:r>
              <w:rPr>
                <w:rFonts w:hint="default" w:ascii="仿宋_GB2312" w:hAnsi="Times New Roman" w:eastAsia="仿宋_GB2312" w:cs="Times New Roman"/>
                <w:color w:val="auto"/>
                <w:kern w:val="2"/>
                <w:sz w:val="24"/>
                <w:szCs w:val="24"/>
                <w:lang w:val="en-US" w:eastAsia="zh-CN" w:bidi="ar-SA"/>
              </w:rPr>
              <w:t>服务中心</w:t>
            </w:r>
            <w:r>
              <w:rPr>
                <w:rFonts w:hint="eastAsia" w:ascii="仿宋_GB2312" w:hAnsi="Times New Roman" w:eastAsia="仿宋_GB2312" w:cs="Times New Roman"/>
                <w:color w:val="auto"/>
                <w:kern w:val="2"/>
                <w:sz w:val="24"/>
                <w:szCs w:val="24"/>
                <w:lang w:val="en-US" w:eastAsia="zh-CN" w:bidi="ar-SA"/>
              </w:rPr>
              <w:t>，</w:t>
            </w:r>
            <w:r>
              <w:rPr>
                <w:rFonts w:hint="default" w:ascii="仿宋_GB2312" w:hAnsi="Times New Roman" w:eastAsia="仿宋_GB2312" w:cs="Times New Roman"/>
                <w:color w:val="auto"/>
                <w:kern w:val="2"/>
                <w:sz w:val="24"/>
                <w:szCs w:val="24"/>
                <w:lang w:val="en-US" w:eastAsia="zh-CN" w:bidi="ar-SA"/>
              </w:rPr>
              <w:t>为园区企业提供全方位、宽领域、精细化服务，势必进一步完善园区服务功能，优化服务企业效能。一以贯之抓好了企业安全生产和</w:t>
            </w:r>
            <w:r>
              <w:rPr>
                <w:rFonts w:hint="eastAsia" w:ascii="仿宋_GB2312" w:hAnsi="Times New Roman" w:eastAsia="仿宋_GB2312" w:cs="Times New Roman"/>
                <w:color w:val="auto"/>
                <w:kern w:val="2"/>
                <w:sz w:val="24"/>
                <w:szCs w:val="24"/>
                <w:lang w:val="en-US" w:eastAsia="zh-CN" w:bidi="ar-SA"/>
              </w:rPr>
              <w:t>生态</w:t>
            </w:r>
            <w:r>
              <w:rPr>
                <w:rFonts w:hint="default" w:ascii="仿宋_GB2312" w:hAnsi="Times New Roman" w:eastAsia="仿宋_GB2312" w:cs="Times New Roman"/>
                <w:color w:val="auto"/>
                <w:kern w:val="2"/>
                <w:sz w:val="24"/>
                <w:szCs w:val="24"/>
                <w:lang w:val="en-US" w:eastAsia="zh-CN" w:bidi="ar-SA"/>
              </w:rPr>
              <w:t>环境保护</w:t>
            </w:r>
            <w:r>
              <w:rPr>
                <w:rFonts w:hint="eastAsia" w:ascii="仿宋_GB2312" w:hAnsi="Times New Roman" w:eastAsia="仿宋_GB2312" w:cs="Times New Roman"/>
                <w:color w:val="auto"/>
                <w:kern w:val="2"/>
                <w:sz w:val="24"/>
                <w:szCs w:val="24"/>
                <w:lang w:val="en-US" w:eastAsia="zh-CN" w:bidi="ar-SA"/>
              </w:rPr>
              <w:t>监管</w:t>
            </w:r>
            <w:r>
              <w:rPr>
                <w:rFonts w:hint="default" w:ascii="仿宋_GB2312" w:hAnsi="Times New Roman" w:eastAsia="仿宋_GB2312" w:cs="Times New Roman"/>
                <w:color w:val="auto"/>
                <w:kern w:val="2"/>
                <w:sz w:val="24"/>
                <w:szCs w:val="24"/>
                <w:lang w:val="en-US" w:eastAsia="zh-CN" w:bidi="ar-SA"/>
              </w:rPr>
              <w:t>工作，确保了园区安全生产和生态环保形势持续好转</w:t>
            </w:r>
            <w:r>
              <w:rPr>
                <w:rFonts w:hint="eastAsia" w:ascii="仿宋_GB2312" w:hAnsi="Times New Roman" w:eastAsia="仿宋_GB2312" w:cs="Times New Roman"/>
                <w:color w:val="auto"/>
                <w:kern w:val="2"/>
                <w:sz w:val="24"/>
                <w:szCs w:val="24"/>
                <w:lang w:val="en-US" w:eastAsia="zh-CN" w:bidi="ar-SA"/>
              </w:rPr>
              <w:t>，保护了人民生命财产安全，守护了一方蓝天、碧水、净土</w:t>
            </w:r>
            <w:r>
              <w:rPr>
                <w:rFonts w:hint="default" w:ascii="仿宋_GB2312" w:hAnsi="Times New Roman" w:eastAsia="仿宋_GB2312" w:cs="Times New Roman"/>
                <w:color w:val="auto"/>
                <w:kern w:val="2"/>
                <w:sz w:val="24"/>
                <w:szCs w:val="24"/>
                <w:lang w:val="en-US" w:eastAsia="zh-CN" w:bidi="ar-SA"/>
              </w:rPr>
              <w:t>。同时，园区高度关注群众诉求，妥善处置了一揽子涉</w:t>
            </w:r>
            <w:r>
              <w:rPr>
                <w:rFonts w:hint="eastAsia" w:ascii="仿宋_GB2312" w:hAnsi="Times New Roman" w:eastAsia="仿宋_GB2312" w:cs="Times New Roman"/>
                <w:color w:val="auto"/>
                <w:kern w:val="2"/>
                <w:sz w:val="24"/>
                <w:szCs w:val="24"/>
                <w:lang w:val="en-US" w:eastAsia="zh-CN" w:bidi="ar-SA"/>
              </w:rPr>
              <w:t>园</w:t>
            </w:r>
            <w:r>
              <w:rPr>
                <w:rFonts w:hint="default" w:ascii="仿宋_GB2312" w:hAnsi="Times New Roman" w:eastAsia="仿宋_GB2312" w:cs="Times New Roman"/>
                <w:color w:val="auto"/>
                <w:kern w:val="2"/>
                <w:sz w:val="24"/>
                <w:szCs w:val="24"/>
                <w:lang w:val="en-US" w:eastAsia="zh-CN" w:bidi="ar-SA"/>
              </w:rPr>
              <w:t>涉企矛盾纠纷，疏导了民意，安抚了民情，助力了园区</w:t>
            </w:r>
            <w:r>
              <w:rPr>
                <w:rFonts w:hint="eastAsia" w:ascii="仿宋_GB2312" w:hAnsi="Times New Roman" w:eastAsia="仿宋_GB2312" w:cs="Times New Roman"/>
                <w:color w:val="auto"/>
                <w:kern w:val="2"/>
                <w:sz w:val="24"/>
                <w:szCs w:val="24"/>
                <w:lang w:val="en-US" w:eastAsia="zh-CN" w:bidi="ar-SA"/>
              </w:rPr>
              <w:t>发展</w:t>
            </w:r>
            <w:r>
              <w:rPr>
                <w:rFonts w:hint="default" w:ascii="仿宋_GB2312" w:hAnsi="Times New Roman" w:eastAsia="仿宋_GB2312" w:cs="Times New Roman"/>
                <w:color w:val="auto"/>
                <w:kern w:val="2"/>
                <w:sz w:val="24"/>
                <w:szCs w:val="24"/>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存在的主要问题</w:t>
            </w:r>
          </w:p>
          <w:p>
            <w:pPr>
              <w:pStyle w:val="26"/>
              <w:keepNext w:val="0"/>
              <w:keepLines w:val="0"/>
              <w:pageBreakBefore w:val="0"/>
              <w:numPr>
                <w:ilvl w:val="0"/>
                <w:numId w:val="7"/>
              </w:numPr>
              <w:kinsoku/>
              <w:wordWrap/>
              <w:overflowPunct/>
              <w:topLinePunct w:val="0"/>
              <w:autoSpaceDE/>
              <w:autoSpaceDN/>
              <w:bidi w:val="0"/>
              <w:adjustRightInd/>
              <w:snapToGrid w:val="0"/>
              <w:spacing w:before="0" w:beforeLines="0" w:after="0" w:afterLines="0" w:line="520" w:lineRule="exact"/>
              <w:ind w:left="0" w:leftChars="0" w:right="0" w:rightChars="0"/>
              <w:textAlignment w:val="auto"/>
              <w:outlineLvl w:val="9"/>
              <w:rPr>
                <w:rFonts w:hint="default"/>
                <w:sz w:val="24"/>
                <w:szCs w:val="24"/>
                <w:highlight w:val="none"/>
                <w:lang w:val="en-US" w:eastAsia="zh-CN"/>
              </w:rPr>
            </w:pPr>
            <w:r>
              <w:rPr>
                <w:rFonts w:hint="eastAsia" w:ascii="仿宋_GB2312" w:eastAsia="仿宋_GB2312"/>
                <w:color w:val="auto"/>
                <w:kern w:val="2"/>
                <w:sz w:val="24"/>
                <w:szCs w:val="24"/>
                <w:highlight w:val="none"/>
                <w:lang w:val="en-US" w:eastAsia="zh-CN" w:bidi="ar-SA"/>
              </w:rPr>
              <w:t>年中预算调整率大，预算完成率低，项目资金未能及时按预算安排使用，项目推进力度有待进一步提高。</w:t>
            </w:r>
          </w:p>
          <w:p>
            <w:pPr>
              <w:pStyle w:val="9"/>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20" w:lineRule="exact"/>
              <w:ind w:left="0" w:leftChars="0" w:right="0" w:rightChars="0" w:firstLine="480" w:firstLineChars="200"/>
              <w:textAlignment w:val="auto"/>
              <w:outlineLvl w:val="9"/>
              <w:rPr>
                <w:rFonts w:hint="eastAsia" w:ascii="仿宋_GB2312" w:eastAsia="仿宋_GB2312"/>
                <w:color w:val="auto"/>
                <w:kern w:val="2"/>
                <w:sz w:val="24"/>
                <w:szCs w:val="24"/>
                <w:highlight w:val="none"/>
                <w:lang w:val="en-US" w:eastAsia="zh-CN" w:bidi="ar-SA"/>
              </w:rPr>
            </w:pPr>
            <w:r>
              <w:rPr>
                <w:rFonts w:hint="eastAsia" w:ascii="仿宋_GB2312" w:eastAsia="仿宋_GB2312"/>
                <w:color w:val="auto"/>
                <w:kern w:val="2"/>
                <w:sz w:val="24"/>
                <w:szCs w:val="24"/>
                <w:highlight w:val="none"/>
                <w:lang w:val="en-US" w:eastAsia="zh-CN" w:bidi="ar-SA"/>
              </w:rPr>
              <w:t>（二）2021年，园区完善了预算管理制度、内部控制制度和财务管理制度等财务相关制度，但仍需根据绩效管理目标进一步完善。</w:t>
            </w:r>
          </w:p>
          <w:p>
            <w:pPr>
              <w:pStyle w:val="9"/>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20" w:lineRule="exact"/>
              <w:ind w:left="0" w:leftChars="0" w:right="0" w:rightChars="0" w:firstLine="480" w:firstLineChars="200"/>
              <w:textAlignment w:val="auto"/>
              <w:outlineLvl w:val="9"/>
              <w:rPr>
                <w:rFonts w:hint="eastAsia"/>
                <w:sz w:val="24"/>
                <w:szCs w:val="24"/>
              </w:rPr>
            </w:pPr>
            <w:r>
              <w:rPr>
                <w:rFonts w:hint="eastAsia" w:ascii="黑体" w:hAnsi="黑体" w:eastAsia="黑体" w:cs="黑体"/>
                <w:bCs/>
                <w:sz w:val="24"/>
                <w:szCs w:val="24"/>
              </w:rPr>
              <w:t>六、改进措施和有关建议</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一）强化预算执行，提高预算完成率。严格按项目和进度执行预算，合理安排资金支出，增强预算执行的规范性和严肃性；完善项目责任制，业务科室要加强与财务部门的沟通协调和项目实施，定期做好预算执行分析，及时了解预算执行差异，合理调整、纠正预算执行偏差，加快预算的执行进度，减少存量资金，切实提高预算完成率及资金使用效益。</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480" w:firstLineChars="200"/>
              <w:textAlignment w:val="auto"/>
              <w:outlineLvl w:val="9"/>
              <w:rPr>
                <w:rFonts w:eastAsia="楷体_GB2312"/>
                <w:bCs/>
                <w:sz w:val="24"/>
                <w:szCs w:val="24"/>
              </w:rPr>
            </w:pPr>
            <w:r>
              <w:rPr>
                <w:rFonts w:hint="eastAsia" w:ascii="仿宋_GB2312" w:eastAsia="仿宋_GB2312"/>
                <w:sz w:val="24"/>
                <w:szCs w:val="24"/>
                <w:lang w:val="en-US" w:eastAsia="zh-CN"/>
              </w:rPr>
              <w:t>（二）进一步完善相关财务制度，特别是绩效管理制度，坚决把权利关进制度的笼子。</w:t>
            </w:r>
          </w:p>
          <w:p>
            <w:pPr>
              <w:keepNext w:val="0"/>
              <w:keepLines w:val="0"/>
              <w:pageBreakBefore w:val="0"/>
              <w:kinsoku/>
              <w:wordWrap/>
              <w:overflowPunct/>
              <w:topLinePunct w:val="0"/>
              <w:autoSpaceDE/>
              <w:autoSpaceDN/>
              <w:bidi w:val="0"/>
              <w:adjustRightInd/>
              <w:snapToGrid w:val="0"/>
              <w:spacing w:line="520" w:lineRule="exact"/>
              <w:textAlignment w:val="auto"/>
              <w:rPr>
                <w:rFonts w:eastAsia="楷体_GB2312"/>
                <w:bCs/>
                <w:sz w:val="28"/>
                <w:szCs w:val="28"/>
              </w:rPr>
            </w:pPr>
            <w:r>
              <w:rPr>
                <w:rFonts w:hint="eastAsia" w:ascii="仿宋_GB2312" w:eastAsia="仿宋_GB2312"/>
                <w:sz w:val="24"/>
                <w:szCs w:val="24"/>
                <w:lang w:val="en-US" w:eastAsia="zh-CN"/>
              </w:rPr>
              <w:t xml:space="preserve">                                                二〇二二年七月十二日</w:t>
            </w:r>
          </w:p>
        </w:tc>
      </w:tr>
    </w:tbl>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10"/>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“五好园区”创建目标任务完成情况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园区</w:t>
            </w:r>
            <w:r>
              <w:rPr>
                <w:rFonts w:hint="eastAsia" w:ascii="仿宋_GB2312" w:hAnsi="宋体" w:eastAsia="仿宋_GB2312" w:cs="宋体"/>
                <w:kern w:val="0"/>
                <w:sz w:val="18"/>
                <w:szCs w:val="18"/>
              </w:rPr>
              <w:t>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全年园区完成技工贸收入392.88亿元，实缴税收4.28亿元</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全年园区安置就业人数800余人</w:t>
            </w: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园区企业污染物排放100%达标</w:t>
            </w: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widowControl/>
        <w:jc w:val="left"/>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0"/>
      <w:lvlText w:val="%1."/>
      <w:lvlJc w:val="left"/>
      <w:pPr>
        <w:tabs>
          <w:tab w:val="left" w:pos="780"/>
        </w:tabs>
        <w:ind w:left="780" w:hanging="360"/>
      </w:pPr>
    </w:lvl>
  </w:abstractNum>
  <w:abstractNum w:abstractNumId="1">
    <w:nsid w:val="00000006"/>
    <w:multiLevelType w:val="singleLevel"/>
    <w:tmpl w:val="00000006"/>
    <w:lvl w:ilvl="0" w:tentative="0">
      <w:start w:val="1"/>
      <w:numFmt w:val="chineseCounting"/>
      <w:suff w:val="nothing"/>
      <w:lvlText w:val="（%1）"/>
      <w:lvlJc w:val="left"/>
      <w:rPr>
        <w:rFonts w:hint="eastAsia"/>
      </w:rPr>
    </w:lvl>
  </w:abstractNum>
  <w:abstractNum w:abstractNumId="2">
    <w:nsid w:val="00000008"/>
    <w:multiLevelType w:val="singleLevel"/>
    <w:tmpl w:val="00000008"/>
    <w:lvl w:ilvl="0" w:tentative="0">
      <w:start w:val="2"/>
      <w:numFmt w:val="chineseCounting"/>
      <w:suff w:val="nothing"/>
      <w:lvlText w:val="（%1）"/>
      <w:lvlJc w:val="left"/>
      <w:rPr>
        <w:rFonts w:hint="eastAsia"/>
      </w:rPr>
    </w:lvl>
  </w:abstractNum>
  <w:abstractNum w:abstractNumId="3">
    <w:nsid w:val="0000000E"/>
    <w:multiLevelType w:val="singleLevel"/>
    <w:tmpl w:val="0000000E"/>
    <w:lvl w:ilvl="0" w:tentative="0">
      <w:start w:val="4"/>
      <w:numFmt w:val="chineseCounting"/>
      <w:suff w:val="nothing"/>
      <w:lvlText w:val="%1、"/>
      <w:lvlJc w:val="left"/>
      <w:rPr>
        <w:rFonts w:hint="eastAsia"/>
      </w:rPr>
    </w:lvl>
  </w:abstractNum>
  <w:abstractNum w:abstractNumId="4">
    <w:nsid w:val="0000000F"/>
    <w:multiLevelType w:val="singleLevel"/>
    <w:tmpl w:val="0000000F"/>
    <w:lvl w:ilvl="0" w:tentative="0">
      <w:start w:val="1"/>
      <w:numFmt w:val="chineseCounting"/>
      <w:suff w:val="nothing"/>
      <w:lvlText w:val="（%1）"/>
      <w:lvlJc w:val="left"/>
      <w:rPr>
        <w:rFonts w:hint="eastAsia"/>
      </w:rPr>
    </w:lvl>
  </w:abstractNum>
  <w:abstractNum w:abstractNumId="5">
    <w:nsid w:val="31A544CF"/>
    <w:multiLevelType w:val="singleLevel"/>
    <w:tmpl w:val="31A544CF"/>
    <w:lvl w:ilvl="0" w:tentative="0">
      <w:start w:val="1"/>
      <w:numFmt w:val="decimal"/>
      <w:suff w:val="nothing"/>
      <w:lvlText w:val="%1．"/>
      <w:lvlJc w:val="left"/>
      <w:pPr>
        <w:ind w:left="0" w:firstLine="400"/>
      </w:pPr>
      <w:rPr>
        <w:rFonts w:hint="default"/>
      </w:rPr>
    </w:lvl>
  </w:abstractNum>
  <w:abstractNum w:abstractNumId="6">
    <w:nsid w:val="40181F2A"/>
    <w:multiLevelType w:val="singleLevel"/>
    <w:tmpl w:val="40181F2A"/>
    <w:lvl w:ilvl="0" w:tentative="0">
      <w:start w:val="1"/>
      <w:numFmt w:val="decimal"/>
      <w:suff w:val="nothing"/>
      <w:lvlText w:val="%1．"/>
      <w:lvlJc w:val="left"/>
      <w:pPr>
        <w:ind w:left="0" w:firstLine="400"/>
      </w:pPr>
      <w:rPr>
        <w:rFonts w:hint="default"/>
      </w:rPr>
    </w:lvl>
  </w:abstractNum>
  <w:num w:numId="1">
    <w:abstractNumId w:val="0"/>
    <w:lvlOverride w:ilvl="0">
      <w:startOverride w:val="1"/>
    </w:lvlOverride>
  </w:num>
  <w:num w:numId="2">
    <w:abstractNumId w:val="5"/>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MmQ4Y2NjMTQyNjQwOGM5ZjJlYzlkMjdlZmRjMmU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A3406"/>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A030A34"/>
    <w:rsid w:val="1577727E"/>
    <w:rsid w:val="162C76C0"/>
    <w:rsid w:val="16723EDD"/>
    <w:rsid w:val="19434886"/>
    <w:rsid w:val="19F57379"/>
    <w:rsid w:val="29315E51"/>
    <w:rsid w:val="295B1778"/>
    <w:rsid w:val="29793438"/>
    <w:rsid w:val="2C270DA3"/>
    <w:rsid w:val="405A6371"/>
    <w:rsid w:val="4A1A2930"/>
    <w:rsid w:val="4AAE2E99"/>
    <w:rsid w:val="4D282107"/>
    <w:rsid w:val="54896F0C"/>
    <w:rsid w:val="67578A43"/>
    <w:rsid w:val="68AA4C39"/>
    <w:rsid w:val="69794D27"/>
    <w:rsid w:val="6A10121A"/>
    <w:rsid w:val="6AD76980"/>
    <w:rsid w:val="71B96608"/>
    <w:rsid w:val="71F70998"/>
    <w:rsid w:val="732561B0"/>
    <w:rsid w:val="79AD1BBA"/>
    <w:rsid w:val="7A920274"/>
    <w:rsid w:val="7CB92B3D"/>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Date"/>
    <w:basedOn w:val="1"/>
    <w:next w:val="1"/>
    <w:link w:val="16"/>
    <w:semiHidden/>
    <w:unhideWhenUsed/>
    <w:qFormat/>
    <w:uiPriority w:val="0"/>
    <w:pPr>
      <w:ind w:left="100" w:leftChars="2500"/>
    </w:pPr>
  </w:style>
  <w:style w:type="paragraph" w:styleId="5">
    <w:name w:val="Body Text Indent 2"/>
    <w:basedOn w:val="1"/>
    <w:link w:val="17"/>
    <w:semiHidden/>
    <w:unhideWhenUsed/>
    <w:qFormat/>
    <w:uiPriority w:val="0"/>
    <w:pPr>
      <w:ind w:firstLine="588" w:firstLineChars="200"/>
    </w:pPr>
    <w:rPr>
      <w:rFonts w:ascii="仿宋_GB2312" w:hAnsi="Calibri" w:eastAsia="仿宋_GB2312"/>
      <w:sz w:val="32"/>
    </w:rPr>
  </w:style>
  <w:style w:type="paragraph" w:styleId="6">
    <w:name w:val="Balloon Text"/>
    <w:basedOn w:val="1"/>
    <w:next w:val="1"/>
    <w:qFormat/>
    <w:uiPriority w:val="0"/>
    <w:rPr>
      <w:sz w:val="18"/>
      <w:szCs w:val="18"/>
    </w:rPr>
  </w:style>
  <w:style w:type="paragraph" w:styleId="7">
    <w:name w:val="footer"/>
    <w:basedOn w:val="1"/>
    <w:link w:val="21"/>
    <w:semiHidden/>
    <w:unhideWhenUsed/>
    <w:qFormat/>
    <w:uiPriority w:val="0"/>
    <w:pPr>
      <w:tabs>
        <w:tab w:val="center" w:pos="4153"/>
        <w:tab w:val="right" w:pos="8306"/>
      </w:tabs>
      <w:snapToGrid w:val="0"/>
      <w:jc w:val="left"/>
    </w:pPr>
    <w:rPr>
      <w:kern w:val="0"/>
      <w:sz w:val="18"/>
      <w:szCs w:val="18"/>
    </w:rPr>
  </w:style>
  <w:style w:type="paragraph" w:styleId="8">
    <w:name w:val="header"/>
    <w:basedOn w:val="1"/>
    <w:link w:val="14"/>
    <w:semiHidden/>
    <w:unhideWhenUsed/>
    <w:qFormat/>
    <w:uiPriority w:val="0"/>
    <w:pPr>
      <w:tabs>
        <w:tab w:val="center" w:pos="4153"/>
        <w:tab w:val="right" w:pos="8306"/>
      </w:tabs>
      <w:snapToGrid w:val="0"/>
      <w:jc w:val="center"/>
    </w:pPr>
    <w:rPr>
      <w:sz w:val="18"/>
      <w:szCs w:val="18"/>
    </w:rPr>
  </w:style>
  <w:style w:type="paragraph" w:styleId="9">
    <w:name w:val="Normal (Web)"/>
    <w:basedOn w:val="1"/>
    <w:next w:val="6"/>
    <w:qFormat/>
    <w:uiPriority w:val="0"/>
    <w:pPr>
      <w:spacing w:before="100" w:beforeLines="0" w:beforeAutospacing="1" w:after="100" w:afterLines="0" w:afterAutospacing="1"/>
      <w:ind w:left="0" w:right="0"/>
      <w:jc w:val="left"/>
    </w:pPr>
    <w:rPr>
      <w:kern w:val="0"/>
      <w:sz w:val="24"/>
      <w:lang w:val="en-US" w:eastAsia="zh-CN" w:bidi="ar"/>
    </w:r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semiHidden/>
    <w:unhideWhenUsed/>
    <w:qFormat/>
    <w:uiPriority w:val="0"/>
    <w:rPr>
      <w:color w:val="0000FF"/>
      <w:u w:val="single"/>
    </w:rPr>
  </w:style>
  <w:style w:type="character" w:customStyle="1" w:styleId="14">
    <w:name w:val="页眉 Char"/>
    <w:basedOn w:val="11"/>
    <w:link w:val="8"/>
    <w:semiHidden/>
    <w:qFormat/>
    <w:uiPriority w:val="0"/>
    <w:rPr>
      <w:rFonts w:ascii="Times New Roman" w:hAnsi="Times New Roman" w:eastAsia="宋体" w:cs="Times New Roman"/>
      <w:sz w:val="18"/>
      <w:szCs w:val="18"/>
    </w:rPr>
  </w:style>
  <w:style w:type="character" w:customStyle="1" w:styleId="15">
    <w:name w:val="页脚 Char"/>
    <w:basedOn w:val="11"/>
    <w:link w:val="7"/>
    <w:semiHidden/>
    <w:qFormat/>
    <w:uiPriority w:val="0"/>
    <w:rPr>
      <w:rFonts w:ascii="Times New Roman" w:hAnsi="Times New Roman" w:eastAsia="宋体" w:cs="Times New Roman"/>
      <w:sz w:val="18"/>
      <w:szCs w:val="18"/>
    </w:rPr>
  </w:style>
  <w:style w:type="character" w:customStyle="1" w:styleId="16">
    <w:name w:val="日期 Char"/>
    <w:basedOn w:val="11"/>
    <w:link w:val="4"/>
    <w:semiHidden/>
    <w:qFormat/>
    <w:uiPriority w:val="0"/>
    <w:rPr>
      <w:rFonts w:ascii="Times New Roman" w:hAnsi="Times New Roman" w:eastAsia="宋体" w:cs="Times New Roman"/>
      <w:szCs w:val="24"/>
    </w:rPr>
  </w:style>
  <w:style w:type="character" w:customStyle="1" w:styleId="17">
    <w:name w:val="正文文本缩进 2 Char"/>
    <w:basedOn w:val="11"/>
    <w:link w:val="5"/>
    <w:semiHidden/>
    <w:qFormat/>
    <w:uiPriority w:val="0"/>
    <w:rPr>
      <w:rFonts w:ascii="仿宋_GB2312" w:hAnsi="Calibri" w:eastAsia="仿宋_GB2312" w:cs="Times New Roman"/>
      <w:sz w:val="32"/>
      <w:szCs w:val="24"/>
    </w:rPr>
  </w:style>
  <w:style w:type="paragraph" w:customStyle="1" w:styleId="18">
    <w:name w:val="Char"/>
    <w:basedOn w:val="1"/>
    <w:qFormat/>
    <w:uiPriority w:val="0"/>
    <w:pPr>
      <w:autoSpaceDE w:val="0"/>
      <w:autoSpaceDN w:val="0"/>
      <w:adjustRightInd w:val="0"/>
    </w:pPr>
    <w:rPr>
      <w:rFonts w:ascii="宋体" w:cs="宋体"/>
      <w:kern w:val="0"/>
      <w:sz w:val="20"/>
      <w:szCs w:val="20"/>
      <w:lang w:val="zh-CN"/>
    </w:rPr>
  </w:style>
  <w:style w:type="paragraph" w:customStyle="1" w:styleId="19">
    <w:name w:val="Char1"/>
    <w:basedOn w:val="1"/>
    <w:qFormat/>
    <w:uiPriority w:val="0"/>
    <w:rPr>
      <w:rFonts w:ascii="仿宋_GB2312" w:eastAsia="仿宋_GB2312"/>
      <w:sz w:val="32"/>
    </w:rPr>
  </w:style>
  <w:style w:type="paragraph" w:customStyle="1" w:styleId="20">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1">
    <w:name w:val="页脚 Char1"/>
    <w:basedOn w:val="11"/>
    <w:link w:val="7"/>
    <w:semiHidden/>
    <w:qFormat/>
    <w:locked/>
    <w:uiPriority w:val="0"/>
    <w:rPr>
      <w:rFonts w:ascii="Times New Roman" w:hAnsi="Times New Roman" w:eastAsia="宋体" w:cs="Times New Roman"/>
      <w:kern w:val="0"/>
      <w:sz w:val="18"/>
      <w:szCs w:val="18"/>
    </w:rPr>
  </w:style>
  <w:style w:type="character" w:customStyle="1" w:styleId="22">
    <w:name w:val="标题 3 Char Char"/>
    <w:qFormat/>
    <w:uiPriority w:val="0"/>
    <w:rPr>
      <w:rFonts w:hint="eastAsia" w:ascii="楷体_GB2312" w:eastAsia="楷体_GB2312"/>
      <w:b/>
      <w:kern w:val="2"/>
      <w:sz w:val="32"/>
      <w:szCs w:val="24"/>
      <w:lang w:val="en-US" w:eastAsia="zh-CN" w:bidi="ar-SA"/>
    </w:rPr>
  </w:style>
  <w:style w:type="character" w:customStyle="1" w:styleId="23">
    <w:name w:val="font11"/>
    <w:basedOn w:val="11"/>
    <w:qFormat/>
    <w:uiPriority w:val="0"/>
    <w:rPr>
      <w:rFonts w:hint="eastAsia" w:ascii="宋体" w:hAnsi="宋体" w:eastAsia="宋体" w:cs="宋体"/>
      <w:b/>
      <w:bCs/>
      <w:color w:val="000000"/>
      <w:sz w:val="36"/>
      <w:szCs w:val="36"/>
      <w:u w:val="none"/>
    </w:rPr>
  </w:style>
  <w:style w:type="character" w:customStyle="1" w:styleId="24">
    <w:name w:val="font51"/>
    <w:basedOn w:val="11"/>
    <w:qFormat/>
    <w:uiPriority w:val="0"/>
    <w:rPr>
      <w:rFonts w:hint="eastAsia" w:ascii="宋体" w:hAnsi="宋体" w:eastAsia="宋体" w:cs="宋体"/>
      <w:color w:val="000000"/>
      <w:sz w:val="20"/>
      <w:szCs w:val="20"/>
      <w:u w:val="none"/>
    </w:rPr>
  </w:style>
  <w:style w:type="character" w:customStyle="1" w:styleId="25">
    <w:name w:val="font91"/>
    <w:basedOn w:val="11"/>
    <w:qFormat/>
    <w:uiPriority w:val="0"/>
    <w:rPr>
      <w:rFonts w:hint="eastAsia" w:ascii="宋体" w:hAnsi="宋体" w:eastAsia="宋体" w:cs="宋体"/>
      <w:color w:val="000000"/>
      <w:sz w:val="18"/>
      <w:szCs w:val="18"/>
      <w:u w:val="none"/>
    </w:rPr>
  </w:style>
  <w:style w:type="paragraph" w:customStyle="1" w:styleId="26">
    <w:name w:val="正文-公1"/>
    <w:basedOn w:val="1"/>
    <w:next w:val="9"/>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7586</Words>
  <Characters>8397</Characters>
  <Lines>87</Lines>
  <Paragraphs>24</Paragraphs>
  <TotalTime>0</TotalTime>
  <ScaleCrop>false</ScaleCrop>
  <LinksUpToDate>false</LinksUpToDate>
  <CharactersWithSpaces>8822</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2020-05-20T09:02:00Z</dcterms:created>
  <dc:creator>许节来 10.105.116.156</dc:creator>
  <cp:lastModifiedBy>花卉子</cp:lastModifiedBy>
  <cp:lastPrinted>2022-09-06T10:34:00Z</cp:lastPrinted>
  <dcterms:modified xsi:type="dcterms:W3CDTF">2023-09-15T15:50:36Z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63C02D1576DA3F2ACC0C04656BF39769_43</vt:lpwstr>
  </property>
</Properties>
</file>