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工伤保险中心部门决算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第一部分工伤保险中心单位概况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九、2021年度预算绩效情况说明</w:t>
      </w:r>
    </w:p>
    <w:p>
      <w:pPr>
        <w:pStyle w:val="10"/>
        <w:spacing w:line="500" w:lineRule="exact"/>
        <w:ind w:firstLine="700" w:firstLineChars="250"/>
        <w:rPr>
          <w:rFonts w:hint="default" w:ascii="仿宋_GB2312" w:hAnsi="仿宋_GB2312" w:cs="仿宋_GB2312" w:eastAsiaTheme="minorEastAsia"/>
          <w:sz w:val="28"/>
          <w:szCs w:val="28"/>
          <w:lang w:val="en-US" w:eastAsia="zh-CN"/>
        </w:rPr>
      </w:pPr>
      <w:r>
        <w:rPr>
          <w:rFonts w:hint="eastAsia" w:ascii="仿宋_GB2312" w:hAnsi="仿宋_GB2312" w:cs="仿宋_GB2312" w:eastAsiaTheme="minorEastAsia"/>
          <w:sz w:val="28"/>
          <w:szCs w:val="28"/>
          <w:lang w:val="en-US" w:eastAsia="zh-CN"/>
        </w:rPr>
        <w:t>十、其他重要事项情况说明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outlineLvl w:val="0"/>
        <w:rPr>
          <w:sz w:val="84"/>
          <w:szCs w:val="84"/>
        </w:rPr>
      </w:pPr>
      <w:r>
        <w:rPr>
          <w:rFonts w:hint="eastAsia"/>
          <w:sz w:val="84"/>
          <w:szCs w:val="84"/>
        </w:rPr>
        <w:t>工伤保险中心单位概况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pStyle w:val="5"/>
        <w:widowControl/>
        <w:shd w:val="clear" w:color="auto" w:fill="FFFFFF"/>
        <w:spacing w:before="0" w:beforeAutospacing="0" w:after="0" w:afterAutospacing="0" w:line="240" w:lineRule="atLeast"/>
        <w:ind w:firstLine="420"/>
        <w:jc w:val="both"/>
        <w:textAlignment w:val="baseline"/>
        <w:rPr>
          <w:rFonts w:cs="黑体" w:asciiTheme="minorEastAsia" w:hAnsiTheme="minorEastAsia"/>
          <w:color w:val="000000"/>
          <w:sz w:val="32"/>
          <w:szCs w:val="32"/>
        </w:rPr>
      </w:pPr>
      <w:r>
        <w:rPr>
          <w:rFonts w:hint="eastAsia" w:cs="黑体" w:asciiTheme="minorEastAsia" w:hAnsiTheme="minorEastAsia"/>
          <w:color w:val="000000"/>
          <w:sz w:val="32"/>
          <w:szCs w:val="32"/>
        </w:rPr>
        <w:t>1、负责全县工伤保险基金的管理使用。</w:t>
      </w:r>
    </w:p>
    <w:p>
      <w:pPr>
        <w:pStyle w:val="5"/>
        <w:widowControl/>
        <w:shd w:val="clear" w:color="auto" w:fill="FFFFFF"/>
        <w:spacing w:before="0" w:beforeAutospacing="0" w:after="0" w:afterAutospacing="0" w:line="240" w:lineRule="atLeast"/>
        <w:ind w:firstLine="420"/>
        <w:jc w:val="both"/>
        <w:textAlignment w:val="baseline"/>
        <w:rPr>
          <w:rFonts w:cs="黑体" w:asciiTheme="minorEastAsia" w:hAnsiTheme="minorEastAsia"/>
          <w:color w:val="000000"/>
          <w:sz w:val="32"/>
          <w:szCs w:val="32"/>
        </w:rPr>
      </w:pPr>
      <w:r>
        <w:rPr>
          <w:rFonts w:hint="eastAsia" w:cs="黑体" w:asciiTheme="minorEastAsia" w:hAnsiTheme="minorEastAsia"/>
          <w:color w:val="000000"/>
          <w:sz w:val="32"/>
          <w:szCs w:val="32"/>
        </w:rPr>
        <w:t>2、承办全县用人单位工伤保险参保申报、审核、确定用人单位缴费费率档次和工伤保险基金的征缴、管理、兑付工作;</w:t>
      </w:r>
    </w:p>
    <w:p>
      <w:pPr>
        <w:pStyle w:val="5"/>
        <w:widowControl/>
        <w:shd w:val="clear" w:color="auto" w:fill="FFFFFF"/>
        <w:spacing w:before="0" w:beforeAutospacing="0" w:after="0" w:afterAutospacing="0" w:line="240" w:lineRule="atLeast"/>
        <w:ind w:firstLine="420"/>
        <w:jc w:val="both"/>
        <w:textAlignment w:val="baseline"/>
        <w:rPr>
          <w:rFonts w:cs="黑体" w:asciiTheme="minorEastAsia" w:hAnsiTheme="minorEastAsia"/>
          <w:color w:val="000000"/>
          <w:sz w:val="32"/>
          <w:szCs w:val="32"/>
        </w:rPr>
      </w:pPr>
      <w:r>
        <w:rPr>
          <w:rFonts w:hint="eastAsia" w:cs="黑体" w:asciiTheme="minorEastAsia" w:hAnsiTheme="minorEastAsia"/>
          <w:color w:val="000000"/>
          <w:sz w:val="32"/>
          <w:szCs w:val="32"/>
        </w:rPr>
        <w:t>3、承办对工伤定点医疗机构、职业康复机构的协议签订及管理。</w:t>
      </w:r>
    </w:p>
    <w:p>
      <w:pPr>
        <w:pStyle w:val="5"/>
        <w:widowControl/>
        <w:shd w:val="clear" w:color="auto" w:fill="FFFFFF"/>
        <w:spacing w:before="0" w:beforeAutospacing="0" w:after="0" w:afterAutospacing="0" w:line="240" w:lineRule="atLeast"/>
        <w:ind w:firstLine="420"/>
        <w:jc w:val="both"/>
        <w:textAlignment w:val="baseline"/>
        <w:rPr>
          <w:rFonts w:cs="黑体" w:asciiTheme="minorEastAsia" w:hAnsiTheme="minorEastAsia"/>
          <w:color w:val="000000"/>
          <w:sz w:val="32"/>
          <w:szCs w:val="32"/>
        </w:rPr>
      </w:pPr>
      <w:r>
        <w:rPr>
          <w:rFonts w:hint="eastAsia" w:cs="黑体" w:asciiTheme="minorEastAsia" w:hAnsiTheme="minorEastAsia"/>
          <w:color w:val="000000"/>
          <w:sz w:val="32"/>
          <w:szCs w:val="32"/>
        </w:rPr>
        <w:t>4、负责核实用人单位的工资总额，对用人单位参保情况进行检查并负责工伤调查、统计和信息管理。</w:t>
      </w:r>
    </w:p>
    <w:p>
      <w:pPr>
        <w:pStyle w:val="5"/>
        <w:widowControl/>
        <w:shd w:val="clear" w:color="auto" w:fill="FFFFFF"/>
        <w:spacing w:before="0" w:beforeAutospacing="0" w:after="0" w:afterAutospacing="0" w:line="240" w:lineRule="atLeast"/>
        <w:ind w:firstLine="420"/>
        <w:jc w:val="both"/>
        <w:textAlignment w:val="baseline"/>
        <w:rPr>
          <w:rFonts w:cs="黑体" w:asciiTheme="minorEastAsia" w:hAnsiTheme="minorEastAsia"/>
          <w:color w:val="000000"/>
          <w:sz w:val="32"/>
          <w:szCs w:val="32"/>
        </w:rPr>
      </w:pPr>
      <w:r>
        <w:rPr>
          <w:rFonts w:hint="eastAsia" w:cs="黑体" w:asciiTheme="minorEastAsia" w:hAnsiTheme="minorEastAsia"/>
          <w:color w:val="000000"/>
          <w:sz w:val="32"/>
          <w:szCs w:val="32"/>
        </w:rPr>
        <w:t>5、负责参保职工因工负伤医疗期间的医疗跟踪管理工作，办理转诊、转院住院审批的有关手续。</w:t>
      </w:r>
    </w:p>
    <w:p>
      <w:pPr>
        <w:pStyle w:val="5"/>
        <w:widowControl/>
        <w:shd w:val="clear" w:color="auto" w:fill="FFFFFF"/>
        <w:spacing w:before="0" w:beforeAutospacing="0" w:after="0" w:afterAutospacing="0" w:line="240" w:lineRule="atLeast"/>
        <w:ind w:firstLine="420"/>
        <w:jc w:val="both"/>
        <w:textAlignment w:val="baseline"/>
        <w:rPr>
          <w:rFonts w:cs="黑体" w:asciiTheme="minorEastAsia" w:hAnsiTheme="minorEastAsia"/>
          <w:color w:val="000000"/>
          <w:sz w:val="32"/>
          <w:szCs w:val="32"/>
        </w:rPr>
      </w:pPr>
      <w:r>
        <w:rPr>
          <w:rFonts w:hint="eastAsia" w:cs="黑体" w:asciiTheme="minorEastAsia" w:hAnsiTheme="minorEastAsia"/>
          <w:color w:val="000000"/>
          <w:sz w:val="32"/>
          <w:szCs w:val="32"/>
        </w:rPr>
        <w:t>6、承办工伤职工待遇审核、支付和工亡职工供养遗属的待遇项目审核、支付，为用人单位、工伤职工或其直系亲属提供咨询服务。</w:t>
      </w:r>
    </w:p>
    <w:p>
      <w:pPr>
        <w:pStyle w:val="5"/>
        <w:widowControl/>
        <w:shd w:val="clear" w:color="auto" w:fill="FFFFFF"/>
        <w:spacing w:before="0" w:beforeAutospacing="0" w:after="0" w:afterAutospacing="0" w:line="240" w:lineRule="atLeast"/>
        <w:ind w:firstLine="420"/>
        <w:jc w:val="both"/>
        <w:textAlignment w:val="baseline"/>
        <w:rPr>
          <w:rFonts w:cs="黑体" w:asciiTheme="minorEastAsia" w:hAnsiTheme="minorEastAsia"/>
          <w:color w:val="000000"/>
          <w:sz w:val="32"/>
          <w:szCs w:val="32"/>
        </w:rPr>
      </w:pPr>
      <w:r>
        <w:rPr>
          <w:rFonts w:hint="eastAsia" w:cs="黑体" w:asciiTheme="minorEastAsia" w:hAnsiTheme="minorEastAsia"/>
          <w:color w:val="000000"/>
          <w:sz w:val="32"/>
          <w:szCs w:val="32"/>
        </w:rPr>
        <w:t>7、负责编制工伤保险基金的预决算，各类财务、统计报表及基础数据库管理，按时向上级经办机构上解工伤保险储备金。</w:t>
      </w:r>
    </w:p>
    <w:p>
      <w:pPr>
        <w:pStyle w:val="5"/>
        <w:widowControl/>
        <w:shd w:val="clear" w:color="auto" w:fill="FFFFFF"/>
        <w:spacing w:before="0" w:beforeAutospacing="0" w:after="0" w:afterAutospacing="0" w:line="240" w:lineRule="atLeast"/>
        <w:ind w:firstLine="420"/>
        <w:jc w:val="both"/>
        <w:textAlignment w:val="baseline"/>
        <w:rPr>
          <w:rFonts w:cs="黑体" w:asciiTheme="minorEastAsia" w:hAnsiTheme="minorEastAsia"/>
          <w:color w:val="000000"/>
          <w:sz w:val="32"/>
          <w:szCs w:val="32"/>
        </w:rPr>
      </w:pPr>
      <w:r>
        <w:rPr>
          <w:rFonts w:hint="eastAsia" w:cs="黑体" w:asciiTheme="minorEastAsia" w:hAnsiTheme="minorEastAsia"/>
          <w:color w:val="000000"/>
          <w:sz w:val="32"/>
          <w:szCs w:val="32"/>
        </w:rPr>
        <w:t>8、负责开展工伤预防、安全生产宣传和业务培训工作。</w:t>
      </w:r>
    </w:p>
    <w:p>
      <w:pPr>
        <w:pStyle w:val="5"/>
        <w:widowControl/>
        <w:shd w:val="clear" w:color="auto" w:fill="FFFFFF"/>
        <w:spacing w:before="0" w:beforeAutospacing="0" w:after="0" w:afterAutospacing="0" w:line="240" w:lineRule="atLeast"/>
        <w:ind w:firstLine="420"/>
        <w:jc w:val="both"/>
        <w:textAlignment w:val="baseline"/>
        <w:rPr>
          <w:rFonts w:cs="黑体" w:asciiTheme="minorEastAsia" w:hAnsiTheme="minorEastAsia"/>
          <w:color w:val="000000"/>
          <w:sz w:val="32"/>
          <w:szCs w:val="32"/>
        </w:rPr>
      </w:pPr>
      <w:r>
        <w:rPr>
          <w:rFonts w:hint="eastAsia" w:cs="黑体" w:asciiTheme="minorEastAsia" w:hAnsiTheme="minorEastAsia"/>
          <w:color w:val="000000"/>
          <w:sz w:val="32"/>
          <w:szCs w:val="32"/>
        </w:rPr>
        <w:t>9、协调工伤保险各部门关系，调解处理工伤保险纠纷。</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960" w:firstLineChars="3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（一）内设机构设置。岳阳县工伤保险服务中心有内设股室5个，全中心共有干部职工11人，党员8人，大专及其以上学历11人，副科级及其以上干部1人。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（二）决算单位构成。本单位没有所属二级机构，因此2021年度部门决算仅为本级部门决算。</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outlineLvl w:val="0"/>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2021年度收入总计112.79万元</w:t>
      </w:r>
      <w:r>
        <w:rPr>
          <w:rFonts w:hint="eastAsia" w:ascii="宋体" w:hAnsi="宋体" w:eastAsia="宋体" w:cs="宋体"/>
          <w:sz w:val="32"/>
          <w:szCs w:val="32"/>
        </w:rPr>
        <w:t>（含年初结转和结余资金0万元），与</w:t>
      </w:r>
      <w:r>
        <w:rPr>
          <w:rFonts w:hint="eastAsia" w:ascii="宋体" w:hAnsi="宋体" w:eastAsia="宋体"/>
          <w:sz w:val="32"/>
          <w:szCs w:val="32"/>
        </w:rPr>
        <w:t>上年相比，减少19.6万元，减少14.8%，主要是因为</w:t>
      </w:r>
      <w:r>
        <w:rPr>
          <w:rFonts w:hint="eastAsia" w:ascii="宋体" w:hAnsi="宋体" w:eastAsia="宋体" w:cs="宋体"/>
          <w:sz w:val="32"/>
          <w:szCs w:val="32"/>
        </w:rPr>
        <w:t>认真贯彻落实中央“八项规定”精神和厉行节约要求，从严控制“三公”经费开支，全年支出比上年有所压减。</w:t>
      </w:r>
    </w:p>
    <w:p>
      <w:pPr>
        <w:pStyle w:val="10"/>
        <w:ind w:firstLine="640" w:firstLineChars="200"/>
        <w:rPr>
          <w:rFonts w:asciiTheme="minorEastAsia" w:hAnsiTheme="minorEastAsia" w:eastAsiaTheme="minorEastAsia"/>
          <w:sz w:val="32"/>
          <w:szCs w:val="32"/>
        </w:rPr>
      </w:pPr>
      <w:r>
        <w:rPr>
          <w:rFonts w:hint="eastAsia" w:ascii="宋体" w:hAnsi="宋体" w:eastAsia="宋体"/>
          <w:sz w:val="32"/>
          <w:szCs w:val="32"/>
        </w:rPr>
        <w:t>2021年度支出总计112.79万</w:t>
      </w:r>
      <w:r>
        <w:rPr>
          <w:rFonts w:hint="eastAsia" w:ascii="宋体" w:hAnsi="宋体" w:eastAsia="宋体" w:cs="宋体"/>
          <w:sz w:val="32"/>
          <w:szCs w:val="32"/>
        </w:rPr>
        <w:t>元（含年初结转和结余资金0万元）</w:t>
      </w:r>
      <w:r>
        <w:rPr>
          <w:rFonts w:hint="eastAsia" w:ascii="宋体" w:hAnsi="宋体" w:eastAsia="宋体"/>
          <w:sz w:val="32"/>
          <w:szCs w:val="32"/>
        </w:rPr>
        <w:t>，与上年相比，减少19.6万元，减少14.8%，主要是因为</w:t>
      </w:r>
      <w:r>
        <w:rPr>
          <w:rFonts w:hint="eastAsia" w:ascii="宋体" w:hAnsi="宋体" w:eastAsia="宋体" w:cs="宋体"/>
          <w:sz w:val="32"/>
          <w:szCs w:val="32"/>
        </w:rPr>
        <w:t>认真贯彻落实中央“八项规定”精神和厉行节约要求，从严控制“三公”经费开支，全年支出比上年有所压减。</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2021年度收入合计112.79万元</w:t>
      </w:r>
      <w:r>
        <w:rPr>
          <w:rFonts w:hint="eastAsia" w:ascii="宋体" w:hAnsi="宋体" w:eastAsia="宋体" w:cs="宋体"/>
          <w:sz w:val="32"/>
          <w:szCs w:val="32"/>
        </w:rPr>
        <w:t>（不含年初结转和结余资金），其</w:t>
      </w:r>
      <w:r>
        <w:rPr>
          <w:rFonts w:hint="eastAsia" w:asciiTheme="minorEastAsia" w:hAnsiTheme="minorEastAsia" w:eastAsiaTheme="minorEastAsia"/>
          <w:sz w:val="32"/>
          <w:szCs w:val="32"/>
        </w:rPr>
        <w:t>中：财政拨款收入112.79万元，占100%；上级补助收入0万元，占0%；事业收入0万元，占0%；经营收入0万元，占0%；附属单位上缴收入0万元，占0%；其他收入0万元，占0%。</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2021年度支出合计112.79万</w:t>
      </w:r>
      <w:r>
        <w:rPr>
          <w:rFonts w:hint="eastAsia" w:ascii="宋体" w:hAnsi="宋体" w:eastAsia="宋体" w:cs="宋体"/>
          <w:sz w:val="32"/>
          <w:szCs w:val="32"/>
        </w:rPr>
        <w:t>元（不含年末结转和结余资金），</w:t>
      </w:r>
      <w:r>
        <w:rPr>
          <w:rFonts w:hint="eastAsia" w:asciiTheme="minorEastAsia" w:hAnsiTheme="minorEastAsia" w:eastAsiaTheme="minorEastAsia"/>
          <w:sz w:val="32"/>
          <w:szCs w:val="32"/>
        </w:rPr>
        <w:t>其中：基本支出112.797万元，占100%；项目支出0万元，占0%；上缴上级支出0万元，占0%；经营支出0万元，占0%；对附属单位补助支出0万元，占0%。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宋体" w:hAnsi="宋体" w:eastAsia="宋体"/>
          <w:sz w:val="32"/>
          <w:szCs w:val="32"/>
        </w:rPr>
        <w:t>2021年度财政拨款收入合计112.79元（不含年初财政拨款结转和结余资金），与上年相比，减少19.6万元,减少14.8%，主要是因为</w:t>
      </w:r>
      <w:r>
        <w:rPr>
          <w:rFonts w:hint="eastAsia" w:ascii="宋体" w:hAnsi="宋体" w:eastAsia="宋体" w:cs="宋体"/>
          <w:sz w:val="32"/>
          <w:szCs w:val="32"/>
        </w:rPr>
        <w:t>认真贯彻落实中央“八项规定”精神和厉行节约要求，从严控制“三公”经费开支，全年支出比上年有所压减。</w:t>
      </w:r>
    </w:p>
    <w:p>
      <w:pPr>
        <w:pStyle w:val="10"/>
        <w:ind w:firstLine="640" w:firstLineChars="200"/>
        <w:rPr>
          <w:rFonts w:ascii="宋体" w:hAnsi="宋体" w:eastAsia="宋体"/>
          <w:b/>
          <w:bCs/>
          <w:color w:val="FF0000"/>
          <w:sz w:val="28"/>
          <w:szCs w:val="28"/>
        </w:rPr>
      </w:pPr>
      <w:r>
        <w:rPr>
          <w:rFonts w:hint="eastAsia" w:ascii="宋体" w:hAnsi="宋体" w:eastAsia="宋体"/>
          <w:sz w:val="32"/>
          <w:szCs w:val="32"/>
        </w:rPr>
        <w:t>2021年度财政拨款支出合计112.79万元（不含年末财政拨款结转和结余资金），与上年相比，减少19.6万元,减少14.8%，主要是因为</w:t>
      </w:r>
      <w:r>
        <w:rPr>
          <w:rFonts w:hint="eastAsia" w:ascii="宋体" w:hAnsi="宋体" w:eastAsia="宋体" w:cs="宋体"/>
          <w:sz w:val="32"/>
          <w:szCs w:val="32"/>
        </w:rPr>
        <w:t>认真贯彻落实中央“八项规定”精神和厉行节约要求，从严控制“三公”经费开支，全年支出比上年有所压减。</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2021年度财政拨款支出112.79万元，占本年支出合计的100%，与上年相比，财政拨款支出减少19.6万元，减少14.8%，</w:t>
      </w:r>
      <w:r>
        <w:rPr>
          <w:rFonts w:hint="eastAsia" w:ascii="宋体" w:hAnsi="宋体" w:eastAsia="宋体"/>
          <w:sz w:val="32"/>
          <w:szCs w:val="32"/>
        </w:rPr>
        <w:t>主要是因为</w:t>
      </w:r>
      <w:r>
        <w:rPr>
          <w:rFonts w:hint="eastAsia" w:ascii="宋体" w:hAnsi="宋体" w:eastAsia="宋体" w:cs="宋体"/>
          <w:sz w:val="32"/>
          <w:szCs w:val="32"/>
        </w:rPr>
        <w:t>认真贯彻落实中央“八项规定”精神和厉行节约要求，从严控制“三公”经费开支，全年支出比上年有所压减。</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keepLines/>
        <w:ind w:firstLine="641"/>
        <w:rPr>
          <w:rFonts w:asciiTheme="minorEastAsia" w:hAnsiTheme="minorEastAsia"/>
          <w:sz w:val="32"/>
          <w:szCs w:val="32"/>
        </w:rPr>
      </w:pPr>
      <w:r>
        <w:rPr>
          <w:rFonts w:hint="eastAsia" w:asciiTheme="minorEastAsia" w:hAnsiTheme="minorEastAsia"/>
          <w:sz w:val="32"/>
          <w:szCs w:val="32"/>
        </w:rPr>
        <w:t>2021年度财政拨款支出112.79万元，主要用于以下方面：</w:t>
      </w:r>
      <w:r>
        <w:rPr>
          <w:rFonts w:hint="eastAsia" w:ascii="宋体" w:hAnsi="宋体"/>
          <w:color w:val="000000"/>
          <w:kern w:val="0"/>
          <w:sz w:val="32"/>
          <w:szCs w:val="24"/>
          <w:highlight w:val="white"/>
        </w:rPr>
        <w:t>社会保障和就业（类）支出112.79万元，占100%。</w:t>
      </w:r>
    </w:p>
    <w:p>
      <w:pPr>
        <w:pStyle w:val="10"/>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2021年度财政拨款支出年初预算数为123.67万元，支出决算数为112.79万元，完成年初预算的91.2%，其中：</w:t>
      </w:r>
    </w:p>
    <w:p>
      <w:pPr>
        <w:pStyle w:val="10"/>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color w:val="auto"/>
          <w:sz w:val="32"/>
          <w:szCs w:val="32"/>
        </w:rPr>
        <w:t>社会保障和就业支出（类）人力资源和社会保障管理事务（款）社会保险业务管理事务（项）。</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年初预算为123.67万元，支出决算为112.79万元，完成年初预算的91.2%，决算数小于年初预算数的</w:t>
      </w:r>
      <w:r>
        <w:rPr>
          <w:rFonts w:hint="eastAsia" w:asciiTheme="minorEastAsia" w:hAnsiTheme="minorEastAsia" w:eastAsiaTheme="minorEastAsia"/>
          <w:color w:val="auto"/>
          <w:sz w:val="32"/>
          <w:szCs w:val="32"/>
        </w:rPr>
        <w:t>主要原因是：人员减少，工资支出减少。</w:t>
      </w:r>
    </w:p>
    <w:p>
      <w:pPr>
        <w:pStyle w:val="10"/>
        <w:numPr>
          <w:ilvl w:val="0"/>
          <w:numId w:val="2"/>
        </w:numPr>
        <w:outlineLvl w:val="0"/>
        <w:rPr>
          <w:rFonts w:hAnsi="黑体"/>
          <w:b/>
          <w:sz w:val="32"/>
          <w:szCs w:val="32"/>
        </w:rPr>
      </w:pPr>
      <w:r>
        <w:rPr>
          <w:rFonts w:hint="eastAsia" w:hAnsi="黑体"/>
          <w:b/>
          <w:sz w:val="32"/>
          <w:szCs w:val="32"/>
        </w:rPr>
        <w:t>一般公共预算财政拨款基本支出决算情况说明</w:t>
      </w:r>
    </w:p>
    <w:p>
      <w:pPr>
        <w:pStyle w:val="10"/>
        <w:ind w:firstLine="800" w:firstLineChars="250"/>
        <w:outlineLvl w:val="2"/>
        <w:rPr>
          <w:rFonts w:asciiTheme="minorEastAsia" w:hAnsiTheme="minorEastAsia" w:eastAsiaTheme="minorEastAsia"/>
          <w:color w:val="auto"/>
          <w:sz w:val="32"/>
          <w:szCs w:val="32"/>
          <w:lang w:val="zh-CN"/>
        </w:rPr>
      </w:pPr>
      <w:r>
        <w:rPr>
          <w:rFonts w:hint="eastAsia" w:asciiTheme="minorEastAsia" w:hAnsiTheme="minorEastAsia" w:eastAsiaTheme="minorEastAsia"/>
          <w:sz w:val="32"/>
          <w:szCs w:val="32"/>
        </w:rPr>
        <w:t>2021年度财政拨款基本支出112.79万元，</w:t>
      </w:r>
      <w:r>
        <w:rPr>
          <w:rFonts w:hint="eastAsia" w:asciiTheme="minorEastAsia" w:hAnsiTheme="minorEastAsia" w:eastAsiaTheme="minorEastAsia"/>
          <w:color w:val="auto"/>
          <w:sz w:val="32"/>
          <w:szCs w:val="32"/>
        </w:rPr>
        <w:t>人员经费94.81万元，</w:t>
      </w:r>
      <w:r>
        <w:rPr>
          <w:rFonts w:hint="eastAsia" w:asciiTheme="minorEastAsia" w:hAnsiTheme="minorEastAsia" w:eastAsiaTheme="minorEastAsia"/>
          <w:color w:val="auto"/>
          <w:sz w:val="32"/>
          <w:szCs w:val="32"/>
          <w:lang w:val="zh-CN"/>
        </w:rPr>
        <w:t>占基本支出的</w:t>
      </w:r>
      <w:r>
        <w:rPr>
          <w:rFonts w:hint="eastAsia" w:asciiTheme="minorEastAsia" w:hAnsiTheme="minorEastAsia" w:eastAsiaTheme="minorEastAsia"/>
          <w:color w:val="auto"/>
          <w:sz w:val="32"/>
          <w:szCs w:val="32"/>
        </w:rPr>
        <w:t>84.06%，主要包括基本工资、津贴补贴、</w:t>
      </w:r>
      <w:r>
        <w:rPr>
          <w:rFonts w:hint="eastAsia" w:asciiTheme="minorEastAsia" w:hAnsiTheme="minorEastAsia" w:eastAsiaTheme="minorEastAsia"/>
          <w:color w:val="auto"/>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pStyle w:val="10"/>
        <w:ind w:firstLine="800" w:firstLineChars="250"/>
        <w:outlineLvl w:val="2"/>
        <w:rPr>
          <w:rFonts w:asciiTheme="minorEastAsia" w:hAnsiTheme="minorEastAsia" w:eastAsiaTheme="minorEastAsia"/>
          <w:color w:val="auto"/>
          <w:sz w:val="32"/>
          <w:szCs w:val="32"/>
          <w:lang w:val="zh-CN"/>
        </w:rPr>
      </w:pPr>
      <w:r>
        <w:rPr>
          <w:rFonts w:hint="eastAsia" w:asciiTheme="minorEastAsia" w:hAnsiTheme="minorEastAsia" w:eastAsiaTheme="minorEastAsia"/>
          <w:color w:val="auto"/>
          <w:sz w:val="32"/>
          <w:szCs w:val="32"/>
        </w:rPr>
        <w:t>公用经费17.98万元，</w:t>
      </w:r>
      <w:r>
        <w:rPr>
          <w:rFonts w:hint="eastAsia" w:asciiTheme="minorEastAsia" w:hAnsiTheme="minorEastAsia" w:eastAsiaTheme="minorEastAsia"/>
          <w:color w:val="auto"/>
          <w:sz w:val="32"/>
          <w:szCs w:val="32"/>
          <w:lang w:val="zh-CN"/>
        </w:rPr>
        <w:t>占基本支出的</w:t>
      </w:r>
      <w:r>
        <w:rPr>
          <w:rFonts w:hint="eastAsia" w:asciiTheme="minorEastAsia" w:hAnsiTheme="minorEastAsia" w:eastAsiaTheme="minorEastAsia"/>
          <w:color w:val="auto"/>
          <w:sz w:val="32"/>
          <w:szCs w:val="32"/>
        </w:rPr>
        <w:t>15.94%，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2021年度“三公”经费财政拨款支出预算为1万元，支出决算为0万元，完成预算的0%，其中：</w:t>
      </w:r>
    </w:p>
    <w:p>
      <w:pPr>
        <w:pStyle w:val="10"/>
        <w:ind w:left="470" w:leftChars="224" w:firstLine="316" w:firstLineChars="99"/>
        <w:outlineLvl w:val="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w:t>
      </w:r>
      <w:r>
        <w:rPr>
          <w:rFonts w:hint="eastAsia" w:ascii="宋体" w:hAnsi="Times New Roman" w:eastAsia="宋体" w:cs="宋体"/>
          <w:color w:val="auto"/>
          <w:sz w:val="32"/>
          <w:szCs w:val="32"/>
          <w:highlight w:val="white"/>
        </w:rPr>
        <w:t>决算数等于预算数的主要原因是本年度未安排出国（境）计划，与上年相比无变化，主要原因是本年度未安排出国（境）计划。</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公务接待费支出预算为1万元，支出决算为0万元，完成预算的0%，决算数小于预算数的主要原因是疫情影响，未发生接待支出，与上年相比减少0万元，减少0%,减少的主要原因是疫情影响，未发生接待支出。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公务用车购置费支出预算为0万元，支出决算为0万元，完成预算的0%。</w:t>
      </w:r>
      <w:r>
        <w:rPr>
          <w:rFonts w:hint="eastAsia" w:ascii="宋体" w:hAnsi="Times New Roman" w:eastAsia="宋体" w:cs="宋体"/>
          <w:color w:val="auto"/>
          <w:sz w:val="32"/>
          <w:szCs w:val="32"/>
          <w:highlight w:val="white"/>
        </w:rPr>
        <w:t>决算数等于预算数的主要原因是本年度无公务用车购置计划，与上年度相比无变化，主要原因是本年度无公务用车购置计划。</w:t>
      </w:r>
      <w:r>
        <w:rPr>
          <w:rFonts w:hint="eastAsia" w:asciiTheme="minorEastAsia" w:hAnsiTheme="minorEastAsia" w:eastAsiaTheme="minorEastAsia"/>
          <w:sz w:val="32"/>
          <w:szCs w:val="32"/>
        </w:rPr>
        <w:t>公务用车运行维护费支出预算为0万元，支出决算为0万元，完成预算的0%，与上年相比减少0.06万元，减少100%,减少的主要原因是进行了车改，本单位已无公务用车。</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2021年度“三公”经费财政拨款支出决算中，公务接待费支出决算0万元，占0%,因公出国（境）费支出决算0万元，占0%,公务用车购置费及运行维护费支出决算0万元，占0%。其中：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2、公务接待费支出决算为0万元，全年共接待来访团组0个、来宾0人次，主要是疫情影响，未发生接待支出。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3、公务用车购置费及运行维护费支出决算为0万元，其中：公务用车购置费0万元，更新公务用车0辆。公务用车运行维护费0万元，主截止2021年12月31日，我单位开支财政拨款的公务用车保有量为0辆。</w:t>
      </w:r>
    </w:p>
    <w:p>
      <w:pPr>
        <w:pStyle w:val="10"/>
        <w:outlineLvl w:val="0"/>
        <w:rPr>
          <w:rFonts w:hAnsi="黑体"/>
          <w:b/>
          <w:sz w:val="32"/>
          <w:szCs w:val="32"/>
        </w:rPr>
      </w:pPr>
      <w:r>
        <w:rPr>
          <w:rFonts w:hint="eastAsia" w:hAnsi="黑体"/>
          <w:b/>
          <w:sz w:val="32"/>
          <w:szCs w:val="32"/>
        </w:rPr>
        <w:t>八、政府性基金预算收入支出决算情况</w:t>
      </w:r>
    </w:p>
    <w:p>
      <w:pPr>
        <w:ind w:firstLine="640"/>
        <w:rPr>
          <w:rFonts w:asciiTheme="minorEastAsia" w:hAnsiTheme="minorEastAsia"/>
          <w:i/>
          <w:color w:val="FF0000"/>
          <w:sz w:val="32"/>
          <w:szCs w:val="32"/>
        </w:rPr>
      </w:pPr>
      <w:r>
        <w:rPr>
          <w:rFonts w:hint="eastAsia" w:ascii="宋体" w:hAnsi="宋体"/>
          <w:sz w:val="32"/>
          <w:szCs w:val="24"/>
          <w:highlight w:val="white"/>
          <w:lang w:val="zh-CN"/>
        </w:rPr>
        <w:t>2021年本单位没有使用政府性基金预算财政拨款安排的收支。</w:t>
      </w:r>
    </w:p>
    <w:p>
      <w:pPr>
        <w:pStyle w:val="10"/>
        <w:outlineLvl w:val="0"/>
        <w:rPr>
          <w:rFonts w:hAnsi="黑体"/>
          <w:b/>
          <w:color w:val="auto"/>
          <w:sz w:val="32"/>
          <w:szCs w:val="32"/>
        </w:rPr>
      </w:pPr>
      <w:r>
        <w:rPr>
          <w:rFonts w:hint="eastAsia" w:hAnsi="黑体"/>
          <w:b/>
          <w:sz w:val="32"/>
          <w:szCs w:val="32"/>
          <w:lang w:val="en-US" w:eastAsia="zh-CN"/>
        </w:rPr>
        <w:t>九、202</w:t>
      </w:r>
      <w:r>
        <w:rPr>
          <w:rFonts w:hint="eastAsia" w:hAnsi="黑体"/>
          <w:b/>
          <w:color w:val="auto"/>
          <w:sz w:val="32"/>
          <w:szCs w:val="32"/>
        </w:rPr>
        <w:t>1年度预算绩效情况说明</w:t>
      </w:r>
    </w:p>
    <w:p>
      <w:pPr>
        <w:pStyle w:val="10"/>
        <w:ind w:firstLine="640" w:firstLineChars="200"/>
        <w:rPr>
          <w:rFonts w:ascii="宋体" w:hAnsi="宋体" w:eastAsia="宋体"/>
          <w:color w:val="000000" w:themeColor="text1"/>
          <w:sz w:val="32"/>
          <w:szCs w:val="32"/>
          <w14:textFill>
            <w14:solidFill>
              <w14:schemeClr w14:val="tx1"/>
            </w14:solidFill>
          </w14:textFill>
        </w:rPr>
      </w:pPr>
      <w:r>
        <w:rPr>
          <w:rFonts w:hint="eastAsia" w:ascii="宋体" w:hAnsi="宋体" w:eastAsia="宋体"/>
          <w:sz w:val="32"/>
          <w:szCs w:val="32"/>
        </w:rPr>
        <w:t>根据财政部《财政支出绩效评价管理暂行办法》（财预〔2011〕285号）和岳阳县人民政府办公室《关于贯彻落实省政府全面推进预算绩效管理意见的通知》（岳政发〔2014〕6号）文件精神要求，为进一步规范财政资金管理，强化绩效和责任意识，切实提高财政资金使用效益，我单位对</w:t>
      </w:r>
      <w:r>
        <w:rPr>
          <w:rFonts w:hint="eastAsia" w:ascii="宋体" w:hAnsi="宋体" w:eastAsia="宋体"/>
          <w:color w:val="000000" w:themeColor="text1"/>
          <w:sz w:val="32"/>
          <w:szCs w:val="32"/>
          <w14:textFill>
            <w14:solidFill>
              <w14:schemeClr w14:val="tx1"/>
            </w14:solidFill>
          </w14:textFill>
        </w:rPr>
        <w:t>2021年度部门整体支出进行了绩效自评。</w:t>
      </w:r>
    </w:p>
    <w:p>
      <w:pPr>
        <w:pStyle w:val="10"/>
        <w:ind w:firstLine="640" w:firstLineChars="200"/>
        <w:rPr>
          <w:rFonts w:ascii="宋体" w:hAnsi="宋体" w:eastAsia="宋体"/>
          <w:sz w:val="32"/>
          <w:szCs w:val="32"/>
        </w:rPr>
      </w:pPr>
      <w:r>
        <w:rPr>
          <w:rFonts w:hint="eastAsia" w:ascii="宋体" w:hAnsi="宋体" w:eastAsia="宋体"/>
          <w:sz w:val="32"/>
          <w:szCs w:val="32"/>
        </w:rPr>
        <w:t>部门整体支出绩效自评得分98，评价等级为“优秀”；</w:t>
      </w:r>
    </w:p>
    <w:p>
      <w:pPr>
        <w:pStyle w:val="10"/>
        <w:jc w:val="center"/>
        <w:rPr>
          <w:rFonts w:hint="default" w:hAnsi="黑体" w:eastAsia="黑体"/>
          <w:b/>
          <w:sz w:val="32"/>
          <w:szCs w:val="32"/>
          <w:lang w:val="en-US" w:eastAsia="zh-CN"/>
        </w:rPr>
      </w:pPr>
      <w:r>
        <w:rPr>
          <w:rFonts w:hint="eastAsia" w:ascii="宋体" w:hAnsi="宋体" w:eastAsia="宋体"/>
          <w:sz w:val="32"/>
          <w:szCs w:val="32"/>
        </w:rPr>
        <w:t>已按县财政局统一要求</w:t>
      </w:r>
      <w:r>
        <w:rPr>
          <w:rFonts w:hint="eastAsia" w:asciiTheme="minorEastAsia" w:hAnsiTheme="minorEastAsia" w:eastAsiaTheme="minorEastAsia"/>
          <w:sz w:val="32"/>
          <w:szCs w:val="32"/>
        </w:rPr>
        <w:t>随同部门决算作为附件</w:t>
      </w:r>
      <w:r>
        <w:rPr>
          <w:rFonts w:hint="eastAsia" w:ascii="宋体" w:hAnsi="宋体" w:eastAsia="宋体"/>
          <w:sz w:val="32"/>
          <w:szCs w:val="32"/>
        </w:rPr>
        <w:t>公开。</w:t>
      </w:r>
    </w:p>
    <w:p>
      <w:pPr>
        <w:pStyle w:val="10"/>
        <w:outlineLvl w:val="0"/>
        <w:rPr>
          <w:rFonts w:hint="default" w:hAnsi="黑体" w:eastAsia="黑体"/>
          <w:b/>
          <w:sz w:val="32"/>
          <w:szCs w:val="32"/>
          <w:lang w:val="en-US" w:eastAsia="zh-CN"/>
        </w:rPr>
      </w:pPr>
      <w:r>
        <w:rPr>
          <w:rFonts w:hint="eastAsia" w:hAnsi="黑体"/>
          <w:b/>
          <w:sz w:val="32"/>
          <w:szCs w:val="32"/>
        </w:rPr>
        <w:t>十、</w:t>
      </w:r>
      <w:r>
        <w:rPr>
          <w:rFonts w:hint="eastAsia" w:hAnsi="黑体"/>
          <w:b/>
          <w:sz w:val="32"/>
          <w:szCs w:val="32"/>
          <w:lang w:val="en-US" w:eastAsia="zh-CN"/>
        </w:rPr>
        <w:t>其他重要事项情况说明</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一</w:t>
      </w:r>
      <w:r>
        <w:rPr>
          <w:rFonts w:hint="eastAsia" w:hAnsi="黑体"/>
          <w:b/>
          <w:sz w:val="32"/>
          <w:szCs w:val="32"/>
          <w:lang w:eastAsia="zh-CN"/>
        </w:rPr>
        <w:t>）</w:t>
      </w:r>
      <w:r>
        <w:rPr>
          <w:rFonts w:hint="eastAsia" w:hAnsi="黑体"/>
          <w:b/>
          <w:sz w:val="32"/>
          <w:szCs w:val="32"/>
        </w:rPr>
        <w:t>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本部门2021年度机关运行经费支出17.98万元，比上年决算数减少6.14 万元，降低25.46%。主要原因是：</w:t>
      </w:r>
      <w:r>
        <w:rPr>
          <w:rFonts w:hint="eastAsia" w:ascii="宋体" w:hAnsi="宋体" w:eastAsia="宋体" w:cs="宋体"/>
          <w:sz w:val="32"/>
          <w:szCs w:val="32"/>
          <w:highlight w:val="white"/>
          <w:lang w:val="zh-CN"/>
        </w:rPr>
        <w:t>认真贯彻落实中央“八项规定”精神和厉行节约要求，从严控制“三公”经费开支，全年实际支出比上年有所压减</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一般性支出情况说明</w:t>
      </w:r>
    </w:p>
    <w:p>
      <w:pPr>
        <w:pStyle w:val="10"/>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2021年本部门开支会议费0万元，人数0人；开支培训费0.06万元，用于开展入党积极分子培训，人数2人，内容为入党积极分子培训；举办节庆、晚会、论坛、赛事等活动，开支0万元。</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三</w:t>
      </w:r>
      <w:r>
        <w:rPr>
          <w:rFonts w:hint="eastAsia" w:hAnsi="黑体"/>
          <w:b/>
          <w:sz w:val="32"/>
          <w:szCs w:val="32"/>
          <w:lang w:eastAsia="zh-CN"/>
        </w:rPr>
        <w:t>）</w:t>
      </w:r>
      <w:r>
        <w:rPr>
          <w:rFonts w:hint="eastAsia" w:hAnsi="黑体"/>
          <w:b/>
          <w:sz w:val="32"/>
          <w:szCs w:val="32"/>
        </w:rPr>
        <w:t>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w:t>
      </w:r>
      <w:r>
        <w:rPr>
          <w:rFonts w:hint="eastAsia" w:asciiTheme="minorEastAsia" w:hAnsiTheme="minorEastAsia" w:eastAsiaTheme="minorEastAsia"/>
          <w:color w:val="auto"/>
          <w:sz w:val="32"/>
          <w:szCs w:val="32"/>
        </w:rPr>
        <w:t>(政府采购支出总额)</w:t>
      </w:r>
      <w:r>
        <w:rPr>
          <w:rFonts w:hint="eastAsia" w:asciiTheme="minorEastAsia" w:hAnsiTheme="minorEastAsia" w:eastAsiaTheme="minorEastAsia"/>
          <w:sz w:val="32"/>
          <w:szCs w:val="32"/>
        </w:rPr>
        <w:t>的0%；</w:t>
      </w:r>
    </w:p>
    <w:p>
      <w:pPr>
        <w:pStyle w:val="10"/>
        <w:rPr>
          <w:rFonts w:asciiTheme="minorEastAsia" w:hAnsiTheme="minorEastAsia" w:eastAsiaTheme="minorEastAsia"/>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jc w:val="center"/>
        <w:rPr>
          <w:color w:val="FF0000"/>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财政拨款收入：指本级财政当年拨付的资金。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上年结转和结余：指以前年度尚未完成、结转到本年按有关规定继续使用的资金。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年末结转和结余资金：指本年度或以前年度预算安排、因客观条件发生变化无法按原计划实施，需要延迟到以后年度按有关规定继续使用的资金。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其他支出（类）：是指用于反映除上述项目以外其他不能划分到具体功能科目中的支出项目，包括保障机构正常运转、完成日常和特定的工作任务或事业发展目标的支出。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基本支出：指保障机构正常运转、完成支日常工作任务而发生的人员支出和公用支出。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项目支出：指在基本支出之外为完成特定行政任务和事业发展目标所发生的支出。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政府采购：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工资福利支出：反映单位开支的在职职工和编制外长期聘用人员的各类劳动报酬，以及为上述人员缴纳的各项社会保险费等。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奖金：反映机关工作人员年终一次性奖金。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伙食补助费：反映单位发给职工的伙食补助费，如误餐补助等。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机关事业单位基本养老保险缴费：反映机关事业单位缴纳的基本养老保险费。由单位代扣的工作人员基本养老保险缴费，不在此科目反映。</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职业年金缴费：反映机关事业单位实际缴纳的职业年金支出。由单位代扣的工作人员职业年金缴费，不在此科目反映。</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职工基本医疗保险缴费：反映单位为职工缴纳的基本医疗保险费。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公务员医疗补助缴费：反映按规定可享受公务员医疗补助单位为职工缴纳的公务员医疗补助费。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其他社会保障缴费：反映单位为职工缴纳的基本医疗、失业、工伤、生育等社会保险费，残疾人就业保障金，军队（含武警）为军人缴纳的伤亡、退役医疗等社会保险费。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住房公积金：反映行政事业单位按人力资源和社会保障部、财政部规定的基本工资和津贴补贴以及规定比例为职工缴纳的住房公积金。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商品和服务支出：反映单位购买商品和服务的支出（不包括用于购置固定资产的支出、战略性和应急储备支出）。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办公费：反映单位购买按财务会计制度规定不符合固定资产确认标准的日常办公用品、书报杂志等支出。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印刷费：反映单位的印刷费支出。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水费：反映单位支付的水费、污水处理费等支出。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电费：反映单位的电费支出。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邮电费：反映单位开支的信函、包裹、货物等物品的邮寄费及电话费、电报费、传真费、网络通讯费等。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物业管理费：反映单位开支的办公用房以及未实行职工住宅物业服务改革的在职职工和离退休人员宿舍等的物业管理费，包括综合治理、绿化、卫生等方面的支出。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差旅费：反映单位工作人员出差发生的城市间交通费、住宿费、伙食补贴费和市内交通费。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维修(护)费：反映单位日常开支的固定资产（不包括车船等交通工具）修理和维护费用，网络信息系统运行与维护费用，以及按规定提取的修购基金。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培训费：反映除因公出国（境）培训费以外的各类培训支出。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公务接待费：反映单位按规定开支的各类公务接待（含外宾接待）费用。</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劳务费：反映支付给单位和个人的劳务费用，如临时聘用人员、钟点工工资，稿费、翻译费，评审费等。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委托业务费：反映因委托外单位办理业务而支付的委托业务费。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工会经费：反映单位按规定提取的工会经费。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公务用车运行维护费：反映单位按规定保留的公务用车燃料费、维修费、过桥过路费、保险费、安全奖励费用等支出。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其他交通费用：反映单位除公务用车运行维护费以外的其他交通费用。如公务交通补贴，租车费用、出租车费用，飞机、船舶等的燃料费、维修费、保险费等。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对个人和家庭的补助：反映政府用于对个人和家庭的补助支出。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退休费：反映行政事业单位和军队移交政府安置的退休人员的退休费和其他补贴。</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抚恤金：反映按规定开支的烈士遗属、牺牲病故人员遗属的一次性和定期抚恤金，伤残人员的抚恤金，离退休人员等其他人员的各项抚恤金。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办公设备购置：反映用于购置并按财务会计制度规定纳入固定资产核算范围的办公家具和办公设备的支出，以及按规定提取的修购基金。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其他资本性支出：反映上述科目中未包括的资本性支出。</w:t>
      </w:r>
    </w:p>
    <w:p>
      <w:pPr>
        <w:pStyle w:val="10"/>
        <w:rPr>
          <w:sz w:val="72"/>
          <w:szCs w:val="72"/>
        </w:rPr>
      </w:pPr>
      <w:r>
        <w:rPr>
          <w:rFonts w:hint="eastAsia" w:asciiTheme="minorEastAsia" w:hAnsiTheme="minorEastAsia" w:eastAsiaTheme="minorEastAsia"/>
          <w:sz w:val="32"/>
          <w:szCs w:val="32"/>
        </w:rPr>
        <w:t xml:space="preserve">    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2560" w:firstLineChars="800"/>
        <w:jc w:val="left"/>
        <w:rPr>
          <w:rFonts w:cs="黑体" w:asciiTheme="minorEastAsia" w:hAnsiTheme="minorEastAsia"/>
          <w:color w:val="000000"/>
          <w:kern w:val="0"/>
          <w:sz w:val="32"/>
          <w:szCs w:val="32"/>
        </w:rPr>
      </w:pPr>
      <w:bookmarkStart w:id="0" w:name="_GoBack"/>
      <w:bookmarkEnd w:id="0"/>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F784F"/>
    <w:multiLevelType w:val="singleLevel"/>
    <w:tmpl w:val="8C2F784F"/>
    <w:lvl w:ilvl="0" w:tentative="0">
      <w:start w:val="6"/>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OWRjNGIzYWI2NTA2MWFhNjZlMWYyOWUzM2M0Mzc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1082"/>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12F23"/>
    <w:rsid w:val="00E209CF"/>
    <w:rsid w:val="00E37D6C"/>
    <w:rsid w:val="00E55B68"/>
    <w:rsid w:val="00E67BE6"/>
    <w:rsid w:val="00E8683C"/>
    <w:rsid w:val="00EA2B72"/>
    <w:rsid w:val="00F639C7"/>
    <w:rsid w:val="00F74360"/>
    <w:rsid w:val="00FB462F"/>
    <w:rsid w:val="00FE16FA"/>
    <w:rsid w:val="00FE328A"/>
    <w:rsid w:val="00FE6269"/>
    <w:rsid w:val="00FF5CD6"/>
    <w:rsid w:val="081F1DED"/>
    <w:rsid w:val="0F927BB6"/>
    <w:rsid w:val="115F7498"/>
    <w:rsid w:val="1581237D"/>
    <w:rsid w:val="17FD48A4"/>
    <w:rsid w:val="19AA37CB"/>
    <w:rsid w:val="1A4B61EF"/>
    <w:rsid w:val="20C269A8"/>
    <w:rsid w:val="26346116"/>
    <w:rsid w:val="28A96989"/>
    <w:rsid w:val="34412A85"/>
    <w:rsid w:val="34EF58EB"/>
    <w:rsid w:val="38FD77E2"/>
    <w:rsid w:val="3DF94629"/>
    <w:rsid w:val="414E671B"/>
    <w:rsid w:val="45997836"/>
    <w:rsid w:val="479E14FA"/>
    <w:rsid w:val="4C0A5EEB"/>
    <w:rsid w:val="4EC86BC9"/>
    <w:rsid w:val="4F6C6065"/>
    <w:rsid w:val="52ED230C"/>
    <w:rsid w:val="592941F7"/>
    <w:rsid w:val="64DB6CED"/>
    <w:rsid w:val="6A5A13A8"/>
    <w:rsid w:val="70344547"/>
    <w:rsid w:val="758F48D1"/>
    <w:rsid w:val="75A42189"/>
    <w:rsid w:val="7DD1349B"/>
    <w:rsid w:val="7FFF7269"/>
    <w:rsid w:val="FA9F0D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1079</Words>
  <Characters>6154</Characters>
  <Lines>51</Lines>
  <Paragraphs>14</Paragraphs>
  <TotalTime>2</TotalTime>
  <ScaleCrop>false</ScaleCrop>
  <LinksUpToDate>false</LinksUpToDate>
  <CharactersWithSpaces>7219</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花卉子</cp:lastModifiedBy>
  <cp:lastPrinted>2022-07-27T20:55:00Z</cp:lastPrinted>
  <dcterms:modified xsi:type="dcterms:W3CDTF">2023-09-16T00:48:14Z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F33CE8CBF63B9D5DD0890465BD256A37_43</vt:lpwstr>
  </property>
</Properties>
</file>