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2021年度</w:t>
      </w:r>
    </w:p>
    <w:p>
      <w:pPr>
        <w:pStyle w:val="10"/>
        <w:jc w:val="center"/>
        <w:rPr>
          <w:sz w:val="84"/>
          <w:szCs w:val="84"/>
        </w:rPr>
      </w:pPr>
      <w:r>
        <w:rPr>
          <w:rFonts w:hint="eastAsia"/>
          <w:sz w:val="84"/>
          <w:szCs w:val="84"/>
        </w:rPr>
        <w:t>工伤保险中心部门决算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40" w:lineRule="exact"/>
        <w:jc w:val="center"/>
        <w:rPr>
          <w:sz w:val="56"/>
          <w:szCs w:val="56"/>
        </w:rPr>
      </w:pPr>
    </w:p>
    <w:p>
      <w:pPr>
        <w:pStyle w:val="10"/>
        <w:spacing w:line="500" w:lineRule="exact"/>
        <w:jc w:val="center"/>
        <w:rPr>
          <w:b/>
          <w:sz w:val="36"/>
          <w:szCs w:val="28"/>
        </w:rPr>
      </w:pPr>
    </w:p>
    <w:p>
      <w:pPr>
        <w:pStyle w:val="10"/>
        <w:spacing w:line="500" w:lineRule="exact"/>
        <w:jc w:val="center"/>
        <w:rPr>
          <w:b/>
          <w:sz w:val="36"/>
          <w:szCs w:val="28"/>
        </w:rPr>
      </w:pPr>
    </w:p>
    <w:p>
      <w:pPr>
        <w:pStyle w:val="10"/>
        <w:spacing w:line="500" w:lineRule="exact"/>
        <w:jc w:val="center"/>
        <w:rPr>
          <w:b/>
          <w:sz w:val="36"/>
          <w:szCs w:val="28"/>
        </w:rPr>
      </w:pPr>
      <w:r>
        <w:rPr>
          <w:rFonts w:hint="eastAsia"/>
          <w:b/>
          <w:sz w:val="36"/>
          <w:szCs w:val="28"/>
        </w:rPr>
        <w:t>目录</w:t>
      </w:r>
    </w:p>
    <w:p>
      <w:pPr>
        <w:pStyle w:val="10"/>
        <w:spacing w:line="500" w:lineRule="exact"/>
        <w:outlineLvl w:val="0"/>
        <w:rPr>
          <w:rFonts w:ascii="仿宋_GB2312" w:hAnsi="仿宋_GB2312" w:cs="仿宋_GB2312"/>
          <w:b/>
          <w:sz w:val="28"/>
          <w:szCs w:val="28"/>
        </w:rPr>
      </w:pPr>
      <w:r>
        <w:rPr>
          <w:rFonts w:hint="eastAsia"/>
          <w:b/>
          <w:sz w:val="28"/>
          <w:szCs w:val="28"/>
        </w:rPr>
        <w:t>第一部分工伤保险中心单位概况</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r>
        <w:rPr>
          <w:rFonts w:hint="eastAsia" w:cs="仿宋_GB2312" w:asciiTheme="minorEastAsia" w:hAnsiTheme="minorEastAsia" w:eastAsiaTheme="minorEastAsia"/>
          <w:sz w:val="28"/>
          <w:szCs w:val="28"/>
        </w:rPr>
        <w:t>及决算单位构成</w:t>
      </w:r>
    </w:p>
    <w:p>
      <w:pPr>
        <w:pStyle w:val="10"/>
        <w:spacing w:line="500" w:lineRule="exact"/>
        <w:outlineLvl w:val="0"/>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0"/>
        <w:spacing w:line="500" w:lineRule="exact"/>
        <w:outlineLvl w:val="0"/>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hint="eastAsia" w:ascii="仿宋_GB2312" w:hAnsi="仿宋_GB2312" w:cs="仿宋_GB2312"/>
          <w:color w:val="000000"/>
          <w:kern w:val="0"/>
          <w:sz w:val="28"/>
          <w:szCs w:val="28"/>
        </w:rPr>
      </w:pPr>
      <w:r>
        <w:rPr>
          <w:rFonts w:hint="eastAsia" w:ascii="仿宋_GB2312" w:hAnsi="仿宋_GB2312" w:cs="仿宋_GB2312"/>
          <w:color w:val="000000"/>
          <w:kern w:val="0"/>
          <w:sz w:val="28"/>
          <w:szCs w:val="28"/>
        </w:rPr>
        <w:t>九、2021年度预算绩效情况说明</w:t>
      </w:r>
    </w:p>
    <w:p>
      <w:pPr>
        <w:pStyle w:val="10"/>
        <w:spacing w:line="500" w:lineRule="exact"/>
        <w:ind w:firstLine="700" w:firstLineChars="250"/>
        <w:rPr>
          <w:rFonts w:hint="default" w:ascii="仿宋_GB2312" w:hAnsi="仿宋_GB2312" w:cs="仿宋_GB2312" w:eastAsiaTheme="minorEastAsia"/>
          <w:sz w:val="28"/>
          <w:szCs w:val="28"/>
          <w:lang w:val="en-US" w:eastAsia="zh-CN"/>
        </w:rPr>
      </w:pPr>
      <w:r>
        <w:rPr>
          <w:rFonts w:hint="eastAsia" w:ascii="仿宋_GB2312" w:hAnsi="仿宋_GB2312" w:cs="仿宋_GB2312" w:eastAsiaTheme="minorEastAsia"/>
          <w:sz w:val="28"/>
          <w:szCs w:val="28"/>
          <w:lang w:val="en-US" w:eastAsia="zh-CN"/>
        </w:rPr>
        <w:t>十、其他重要事项情况说明</w:t>
      </w:r>
    </w:p>
    <w:p>
      <w:pPr>
        <w:autoSpaceDE w:val="0"/>
        <w:autoSpaceDN w:val="0"/>
        <w:adjustRightInd w:val="0"/>
        <w:spacing w:line="500" w:lineRule="exact"/>
        <w:jc w:val="left"/>
        <w:outlineLvl w:val="0"/>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outlineLvl w:val="0"/>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84"/>
          <w:szCs w:val="84"/>
        </w:rPr>
      </w:pPr>
      <w:r>
        <w:rPr>
          <w:rFonts w:hint="eastAsia"/>
          <w:sz w:val="84"/>
          <w:szCs w:val="84"/>
        </w:rPr>
        <w:t>第一部分</w:t>
      </w:r>
    </w:p>
    <w:p>
      <w:pPr>
        <w:pStyle w:val="10"/>
        <w:jc w:val="center"/>
        <w:rPr>
          <w:sz w:val="84"/>
          <w:szCs w:val="84"/>
        </w:rPr>
      </w:pPr>
    </w:p>
    <w:p>
      <w:pPr>
        <w:pStyle w:val="10"/>
        <w:jc w:val="center"/>
        <w:outlineLvl w:val="0"/>
        <w:rPr>
          <w:sz w:val="84"/>
          <w:szCs w:val="84"/>
        </w:rPr>
      </w:pPr>
      <w:r>
        <w:rPr>
          <w:rFonts w:hint="eastAsia"/>
          <w:sz w:val="84"/>
          <w:szCs w:val="84"/>
        </w:rPr>
        <w:t>工伤保险中心单位概况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numPr>
          <w:ilvl w:val="0"/>
          <w:numId w:val="1"/>
        </w:numPr>
        <w:ind w:firstLineChars="0"/>
        <w:jc w:val="left"/>
        <w:outlineLvl w:val="0"/>
        <w:rPr>
          <w:rFonts w:ascii="黑体" w:hAnsi="黑体" w:eastAsia="黑体"/>
          <w:sz w:val="32"/>
          <w:szCs w:val="32"/>
        </w:rPr>
      </w:pPr>
      <w:r>
        <w:rPr>
          <w:rFonts w:ascii="黑体" w:hAnsi="黑体" w:eastAsia="黑体"/>
          <w:sz w:val="32"/>
          <w:szCs w:val="32"/>
        </w:rPr>
        <w:t>部门职责</w:t>
      </w:r>
    </w:p>
    <w:p>
      <w:pPr>
        <w:pStyle w:val="5"/>
        <w:widowControl/>
        <w:shd w:val="clear" w:color="auto" w:fill="FFFFFF"/>
        <w:spacing w:before="0" w:beforeAutospacing="0" w:after="0" w:afterAutospacing="0" w:line="240" w:lineRule="atLeast"/>
        <w:ind w:firstLine="420"/>
        <w:jc w:val="both"/>
        <w:textAlignment w:val="baseline"/>
        <w:rPr>
          <w:rFonts w:cs="黑体" w:asciiTheme="minorEastAsia" w:hAnsiTheme="minorEastAsia"/>
          <w:color w:val="000000"/>
          <w:sz w:val="32"/>
          <w:szCs w:val="32"/>
        </w:rPr>
      </w:pPr>
      <w:r>
        <w:rPr>
          <w:rFonts w:hint="eastAsia" w:cs="黑体" w:asciiTheme="minorEastAsia" w:hAnsiTheme="minorEastAsia"/>
          <w:color w:val="000000"/>
          <w:sz w:val="32"/>
          <w:szCs w:val="32"/>
        </w:rPr>
        <w:t>1、负责全县工伤保险基金的管理使用。</w:t>
      </w:r>
    </w:p>
    <w:p>
      <w:pPr>
        <w:pStyle w:val="5"/>
        <w:widowControl/>
        <w:shd w:val="clear" w:color="auto" w:fill="FFFFFF"/>
        <w:spacing w:before="0" w:beforeAutospacing="0" w:after="0" w:afterAutospacing="0" w:line="240" w:lineRule="atLeast"/>
        <w:ind w:firstLine="420"/>
        <w:jc w:val="both"/>
        <w:textAlignment w:val="baseline"/>
        <w:rPr>
          <w:rFonts w:cs="黑体" w:asciiTheme="minorEastAsia" w:hAnsiTheme="minorEastAsia"/>
          <w:color w:val="000000"/>
          <w:sz w:val="32"/>
          <w:szCs w:val="32"/>
        </w:rPr>
      </w:pPr>
      <w:r>
        <w:rPr>
          <w:rFonts w:hint="eastAsia" w:cs="黑体" w:asciiTheme="minorEastAsia" w:hAnsiTheme="minorEastAsia"/>
          <w:color w:val="000000"/>
          <w:sz w:val="32"/>
          <w:szCs w:val="32"/>
        </w:rPr>
        <w:t>2、承办全县用人单位工伤保险参保申报、审核、确定用人单位缴费费率档次和工伤保险基金的征缴、管理、兑付工作;</w:t>
      </w:r>
    </w:p>
    <w:p>
      <w:pPr>
        <w:pStyle w:val="5"/>
        <w:widowControl/>
        <w:shd w:val="clear" w:color="auto" w:fill="FFFFFF"/>
        <w:spacing w:before="0" w:beforeAutospacing="0" w:after="0" w:afterAutospacing="0" w:line="240" w:lineRule="atLeast"/>
        <w:ind w:firstLine="420"/>
        <w:jc w:val="both"/>
        <w:textAlignment w:val="baseline"/>
        <w:rPr>
          <w:rFonts w:cs="黑体" w:asciiTheme="minorEastAsia" w:hAnsiTheme="minorEastAsia"/>
          <w:color w:val="000000"/>
          <w:sz w:val="32"/>
          <w:szCs w:val="32"/>
        </w:rPr>
      </w:pPr>
      <w:r>
        <w:rPr>
          <w:rFonts w:hint="eastAsia" w:cs="黑体" w:asciiTheme="minorEastAsia" w:hAnsiTheme="minorEastAsia"/>
          <w:color w:val="000000"/>
          <w:sz w:val="32"/>
          <w:szCs w:val="32"/>
        </w:rPr>
        <w:t>3、承办对工伤定点医疗机构、职业康复机构的协议签订及管理。</w:t>
      </w:r>
    </w:p>
    <w:p>
      <w:pPr>
        <w:pStyle w:val="5"/>
        <w:widowControl/>
        <w:shd w:val="clear" w:color="auto" w:fill="FFFFFF"/>
        <w:spacing w:before="0" w:beforeAutospacing="0" w:after="0" w:afterAutospacing="0" w:line="240" w:lineRule="atLeast"/>
        <w:ind w:firstLine="420"/>
        <w:jc w:val="both"/>
        <w:textAlignment w:val="baseline"/>
        <w:rPr>
          <w:rFonts w:cs="黑体" w:asciiTheme="minorEastAsia" w:hAnsiTheme="minorEastAsia"/>
          <w:color w:val="000000"/>
          <w:sz w:val="32"/>
          <w:szCs w:val="32"/>
        </w:rPr>
      </w:pPr>
      <w:r>
        <w:rPr>
          <w:rFonts w:hint="eastAsia" w:cs="黑体" w:asciiTheme="minorEastAsia" w:hAnsiTheme="minorEastAsia"/>
          <w:color w:val="000000"/>
          <w:sz w:val="32"/>
          <w:szCs w:val="32"/>
        </w:rPr>
        <w:t>4、负责核实用人单位的工资总额，对用人单位参保情况进行检查并负责工伤调查、统计和信息管理。</w:t>
      </w:r>
    </w:p>
    <w:p>
      <w:pPr>
        <w:pStyle w:val="5"/>
        <w:widowControl/>
        <w:shd w:val="clear" w:color="auto" w:fill="FFFFFF"/>
        <w:spacing w:before="0" w:beforeAutospacing="0" w:after="0" w:afterAutospacing="0" w:line="240" w:lineRule="atLeast"/>
        <w:ind w:firstLine="420"/>
        <w:jc w:val="both"/>
        <w:textAlignment w:val="baseline"/>
        <w:rPr>
          <w:rFonts w:cs="黑体" w:asciiTheme="minorEastAsia" w:hAnsiTheme="minorEastAsia"/>
          <w:color w:val="000000"/>
          <w:sz w:val="32"/>
          <w:szCs w:val="32"/>
        </w:rPr>
      </w:pPr>
      <w:r>
        <w:rPr>
          <w:rFonts w:hint="eastAsia" w:cs="黑体" w:asciiTheme="minorEastAsia" w:hAnsiTheme="minorEastAsia"/>
          <w:color w:val="000000"/>
          <w:sz w:val="32"/>
          <w:szCs w:val="32"/>
        </w:rPr>
        <w:t>5、负责参保职工因工负伤医疗期间的医疗跟踪管理工作，办理转诊、转院住院审批的有关手续。</w:t>
      </w:r>
    </w:p>
    <w:p>
      <w:pPr>
        <w:pStyle w:val="5"/>
        <w:widowControl/>
        <w:shd w:val="clear" w:color="auto" w:fill="FFFFFF"/>
        <w:spacing w:before="0" w:beforeAutospacing="0" w:after="0" w:afterAutospacing="0" w:line="240" w:lineRule="atLeast"/>
        <w:ind w:firstLine="420"/>
        <w:jc w:val="both"/>
        <w:textAlignment w:val="baseline"/>
        <w:rPr>
          <w:rFonts w:cs="黑体" w:asciiTheme="minorEastAsia" w:hAnsiTheme="minorEastAsia"/>
          <w:color w:val="000000"/>
          <w:sz w:val="32"/>
          <w:szCs w:val="32"/>
        </w:rPr>
      </w:pPr>
      <w:r>
        <w:rPr>
          <w:rFonts w:hint="eastAsia" w:cs="黑体" w:asciiTheme="minorEastAsia" w:hAnsiTheme="minorEastAsia"/>
          <w:color w:val="000000"/>
          <w:sz w:val="32"/>
          <w:szCs w:val="32"/>
        </w:rPr>
        <w:t>6、承办工伤职工待遇审核、支付和工亡职工供养遗属的待遇项目审核、支付，为用人单位、工伤职工或其直系亲属提供咨询服务。</w:t>
      </w:r>
    </w:p>
    <w:p>
      <w:pPr>
        <w:pStyle w:val="5"/>
        <w:widowControl/>
        <w:shd w:val="clear" w:color="auto" w:fill="FFFFFF"/>
        <w:spacing w:before="0" w:beforeAutospacing="0" w:after="0" w:afterAutospacing="0" w:line="240" w:lineRule="atLeast"/>
        <w:ind w:firstLine="420"/>
        <w:jc w:val="both"/>
        <w:textAlignment w:val="baseline"/>
        <w:rPr>
          <w:rFonts w:cs="黑体" w:asciiTheme="minorEastAsia" w:hAnsiTheme="minorEastAsia"/>
          <w:color w:val="000000"/>
          <w:sz w:val="32"/>
          <w:szCs w:val="32"/>
        </w:rPr>
      </w:pPr>
      <w:r>
        <w:rPr>
          <w:rFonts w:hint="eastAsia" w:cs="黑体" w:asciiTheme="minorEastAsia" w:hAnsiTheme="minorEastAsia"/>
          <w:color w:val="000000"/>
          <w:sz w:val="32"/>
          <w:szCs w:val="32"/>
        </w:rPr>
        <w:t>7、负责编制工伤保险基金的预决算，各类财务、统计报表及基础数据库管理，按时向上级经办机构上解工伤保险储备金。</w:t>
      </w:r>
    </w:p>
    <w:p>
      <w:pPr>
        <w:pStyle w:val="5"/>
        <w:widowControl/>
        <w:shd w:val="clear" w:color="auto" w:fill="FFFFFF"/>
        <w:spacing w:before="0" w:beforeAutospacing="0" w:after="0" w:afterAutospacing="0" w:line="240" w:lineRule="atLeast"/>
        <w:ind w:firstLine="420"/>
        <w:jc w:val="both"/>
        <w:textAlignment w:val="baseline"/>
        <w:rPr>
          <w:rFonts w:cs="黑体" w:asciiTheme="minorEastAsia" w:hAnsiTheme="minorEastAsia"/>
          <w:color w:val="000000"/>
          <w:sz w:val="32"/>
          <w:szCs w:val="32"/>
        </w:rPr>
      </w:pPr>
      <w:r>
        <w:rPr>
          <w:rFonts w:hint="eastAsia" w:cs="黑体" w:asciiTheme="minorEastAsia" w:hAnsiTheme="minorEastAsia"/>
          <w:color w:val="000000"/>
          <w:sz w:val="32"/>
          <w:szCs w:val="32"/>
        </w:rPr>
        <w:t>8、负责开展工伤预防、安全生产宣传和业务培训工作。</w:t>
      </w:r>
    </w:p>
    <w:p>
      <w:pPr>
        <w:pStyle w:val="5"/>
        <w:widowControl/>
        <w:shd w:val="clear" w:color="auto" w:fill="FFFFFF"/>
        <w:spacing w:before="0" w:beforeAutospacing="0" w:after="0" w:afterAutospacing="0" w:line="240" w:lineRule="atLeast"/>
        <w:ind w:firstLine="420"/>
        <w:jc w:val="both"/>
        <w:textAlignment w:val="baseline"/>
        <w:rPr>
          <w:rFonts w:cs="黑体" w:asciiTheme="minorEastAsia" w:hAnsiTheme="minorEastAsia"/>
          <w:color w:val="000000"/>
          <w:sz w:val="32"/>
          <w:szCs w:val="32"/>
        </w:rPr>
      </w:pPr>
      <w:r>
        <w:rPr>
          <w:rFonts w:hint="eastAsia" w:cs="黑体" w:asciiTheme="minorEastAsia" w:hAnsiTheme="minorEastAsia"/>
          <w:color w:val="000000"/>
          <w:sz w:val="32"/>
          <w:szCs w:val="32"/>
        </w:rPr>
        <w:t>9、协调工伤保险各部门关系，调解处理工伤保险纠纷。</w:t>
      </w:r>
    </w:p>
    <w:p>
      <w:pPr>
        <w:widowControl/>
        <w:spacing w:line="600" w:lineRule="exact"/>
        <w:outlineLvl w:val="0"/>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ind w:firstLine="960" w:firstLineChars="3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（一）内设机构设置。岳阳县工伤保险服务中心有内设股室5个，全中心共有干部职工11人，党员8人，大专及其以上学历11人，副科级及其以上干部1人。</w:t>
      </w:r>
    </w:p>
    <w:p>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（二）决算单位构成。本单位没有所属二级机构，因此2021年度部门决算仅为本级部门决算。</w:t>
      </w:r>
    </w:p>
    <w:p>
      <w:pPr>
        <w:widowControl/>
        <w:spacing w:line="600" w:lineRule="exact"/>
        <w:rPr>
          <w:rFonts w:asciiTheme="minorEastAsia" w:hAnsiTheme="minorEastAsia"/>
          <w:bCs/>
          <w:kern w:val="0"/>
          <w:sz w:val="32"/>
          <w:szCs w:val="32"/>
        </w:rPr>
      </w:pP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outlineLvl w:val="0"/>
        <w:rPr>
          <w:sz w:val="72"/>
          <w:szCs w:val="72"/>
        </w:rPr>
      </w:pPr>
      <w:r>
        <w:rPr>
          <w:rFonts w:hint="eastAsia"/>
          <w:sz w:val="72"/>
          <w:szCs w:val="72"/>
        </w:rPr>
        <w:t>部门决算表</w:t>
      </w:r>
    </w:p>
    <w:p>
      <w:pPr>
        <w:jc w:val="center"/>
        <w:rPr>
          <w:sz w:val="72"/>
          <w:szCs w:val="72"/>
        </w:rPr>
      </w:pPr>
      <w:r>
        <w:rPr>
          <w:rFonts w:hint="eastAsia"/>
          <w:sz w:val="72"/>
          <w:szCs w:val="72"/>
        </w:rPr>
        <w:t>（见附件）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pPr>
        <w:pStyle w:val="10"/>
        <w:rPr>
          <w:sz w:val="72"/>
          <w:szCs w:val="72"/>
        </w:rPr>
      </w:pPr>
    </w:p>
    <w:p>
      <w:pPr>
        <w:pStyle w:val="10"/>
        <w:rPr>
          <w:sz w:val="72"/>
          <w:szCs w:val="72"/>
        </w:rPr>
      </w:pPr>
    </w:p>
    <w:p>
      <w:pPr>
        <w:pStyle w:val="10"/>
        <w:rPr>
          <w:sz w:val="72"/>
          <w:szCs w:val="72"/>
        </w:rPr>
      </w:pPr>
    </w:p>
    <w:p>
      <w:pPr>
        <w:pStyle w:val="10"/>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outlineLvl w:val="0"/>
        <w:rPr>
          <w:sz w:val="70"/>
          <w:szCs w:val="70"/>
        </w:rPr>
      </w:pPr>
      <w:r>
        <w:rPr>
          <w:sz w:val="70"/>
          <w:szCs w:val="70"/>
        </w:rPr>
        <w:t>20</w:t>
      </w:r>
      <w:r>
        <w:rPr>
          <w:rFonts w:hint="eastAsia"/>
          <w:sz w:val="70"/>
          <w:szCs w:val="70"/>
        </w:rPr>
        <w:t>21年度部门决算情况说明</w:t>
      </w:r>
    </w:p>
    <w:p>
      <w:pPr>
        <w:widowControl/>
        <w:jc w:val="left"/>
        <w:rPr>
          <w:rFonts w:ascii="黑体" w:eastAsia="黑体" w:cs="黑体"/>
          <w:color w:val="000000"/>
          <w:kern w:val="0"/>
          <w:sz w:val="70"/>
          <w:szCs w:val="70"/>
        </w:rPr>
      </w:pPr>
      <w:r>
        <w:rPr>
          <w:sz w:val="70"/>
          <w:szCs w:val="70"/>
        </w:rPr>
        <w:br w:type="page"/>
      </w:r>
    </w:p>
    <w:p>
      <w:pPr>
        <w:pStyle w:val="10"/>
        <w:rPr>
          <w:rFonts w:asciiTheme="minorEastAsia" w:hAnsiTheme="minorEastAsia" w:eastAsiaTheme="minorEastAsia"/>
          <w:sz w:val="32"/>
          <w:szCs w:val="32"/>
        </w:rPr>
      </w:pPr>
    </w:p>
    <w:p>
      <w:pPr>
        <w:pStyle w:val="10"/>
        <w:outlineLvl w:val="0"/>
        <w:rPr>
          <w:rFonts w:hAnsi="黑体"/>
          <w:b/>
          <w:sz w:val="32"/>
          <w:szCs w:val="32"/>
        </w:rPr>
      </w:pPr>
      <w:r>
        <w:rPr>
          <w:rFonts w:hint="eastAsia" w:hAnsi="黑体"/>
          <w:b/>
          <w:sz w:val="32"/>
          <w:szCs w:val="32"/>
        </w:rPr>
        <w:t>一、收入支出决算总体情况说明</w:t>
      </w:r>
    </w:p>
    <w:p>
      <w:pPr>
        <w:pStyle w:val="10"/>
        <w:ind w:firstLine="640" w:firstLineChars="200"/>
        <w:rPr>
          <w:rFonts w:ascii="宋体" w:hAnsi="宋体" w:eastAsia="宋体"/>
          <w:sz w:val="32"/>
          <w:szCs w:val="32"/>
        </w:rPr>
      </w:pPr>
      <w:r>
        <w:rPr>
          <w:rFonts w:hint="eastAsia" w:ascii="宋体" w:hAnsi="宋体" w:eastAsia="宋体"/>
          <w:sz w:val="32"/>
          <w:szCs w:val="32"/>
        </w:rPr>
        <w:t>2021年度收入总计112.79万元</w:t>
      </w:r>
      <w:r>
        <w:rPr>
          <w:rFonts w:hint="eastAsia" w:ascii="宋体" w:hAnsi="宋体" w:eastAsia="宋体" w:cs="宋体"/>
          <w:sz w:val="32"/>
          <w:szCs w:val="32"/>
        </w:rPr>
        <w:t>（含年初结转和结余资金0万元），与</w:t>
      </w:r>
      <w:r>
        <w:rPr>
          <w:rFonts w:hint="eastAsia" w:ascii="宋体" w:hAnsi="宋体" w:eastAsia="宋体"/>
          <w:sz w:val="32"/>
          <w:szCs w:val="32"/>
        </w:rPr>
        <w:t>上年相比，减少19.6万元，减少14.8%，主要是因为</w:t>
      </w:r>
      <w:r>
        <w:rPr>
          <w:rFonts w:hint="eastAsia" w:ascii="宋体" w:hAnsi="宋体" w:eastAsia="宋体" w:cs="宋体"/>
          <w:sz w:val="32"/>
          <w:szCs w:val="32"/>
        </w:rPr>
        <w:t>认真贯彻落实中央“八项规定”精神和厉行节约要求，从严控制“三公”经费开支，全年支出比上年有所压减。</w:t>
      </w:r>
    </w:p>
    <w:p>
      <w:pPr>
        <w:pStyle w:val="10"/>
        <w:ind w:firstLine="640" w:firstLineChars="200"/>
        <w:rPr>
          <w:rFonts w:asciiTheme="minorEastAsia" w:hAnsiTheme="minorEastAsia" w:eastAsiaTheme="minorEastAsia"/>
          <w:sz w:val="32"/>
          <w:szCs w:val="32"/>
        </w:rPr>
      </w:pPr>
      <w:r>
        <w:rPr>
          <w:rFonts w:hint="eastAsia" w:ascii="宋体" w:hAnsi="宋体" w:eastAsia="宋体"/>
          <w:sz w:val="32"/>
          <w:szCs w:val="32"/>
        </w:rPr>
        <w:t>2021年度支出总计112.79万</w:t>
      </w:r>
      <w:r>
        <w:rPr>
          <w:rFonts w:hint="eastAsia" w:ascii="宋体" w:hAnsi="宋体" w:eastAsia="宋体" w:cs="宋体"/>
          <w:sz w:val="32"/>
          <w:szCs w:val="32"/>
        </w:rPr>
        <w:t>元（含年初结转和结余资金0万元）</w:t>
      </w:r>
      <w:r>
        <w:rPr>
          <w:rFonts w:hint="eastAsia" w:ascii="宋体" w:hAnsi="宋体" w:eastAsia="宋体"/>
          <w:sz w:val="32"/>
          <w:szCs w:val="32"/>
        </w:rPr>
        <w:t>，与上年相比，减少19.6万元，减少14.8%，主要是因为</w:t>
      </w:r>
      <w:r>
        <w:rPr>
          <w:rFonts w:hint="eastAsia" w:ascii="宋体" w:hAnsi="宋体" w:eastAsia="宋体" w:cs="宋体"/>
          <w:sz w:val="32"/>
          <w:szCs w:val="32"/>
        </w:rPr>
        <w:t>认真贯彻落实中央“八项规定”精神和厉行节约要求，从严控制“三公”经费开支，全年支出比上年有所压减。</w:t>
      </w:r>
    </w:p>
    <w:p>
      <w:pPr>
        <w:pStyle w:val="10"/>
        <w:outlineLvl w:val="0"/>
        <w:rPr>
          <w:rFonts w:hAnsi="黑体"/>
          <w:b/>
          <w:sz w:val="32"/>
          <w:szCs w:val="32"/>
        </w:rPr>
      </w:pPr>
      <w:r>
        <w:rPr>
          <w:rFonts w:hint="eastAsia" w:hAnsi="黑体"/>
          <w:b/>
          <w:sz w:val="32"/>
          <w:szCs w:val="32"/>
        </w:rPr>
        <w:t>二、收入决算情况说明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2021年度收入合计112.79万元</w:t>
      </w:r>
      <w:r>
        <w:rPr>
          <w:rFonts w:hint="eastAsia" w:ascii="宋体" w:hAnsi="宋体" w:eastAsia="宋体" w:cs="宋体"/>
          <w:sz w:val="32"/>
          <w:szCs w:val="32"/>
        </w:rPr>
        <w:t>（不含年初结转和结余资金），其</w:t>
      </w:r>
      <w:r>
        <w:rPr>
          <w:rFonts w:hint="eastAsia" w:asciiTheme="minorEastAsia" w:hAnsiTheme="minorEastAsia" w:eastAsiaTheme="minorEastAsia"/>
          <w:sz w:val="32"/>
          <w:szCs w:val="32"/>
        </w:rPr>
        <w:t>中：财政拨款收入112.79万元，占100%；上级补助收入0万元，占0%；事业收入0万元，占0%；经营收入0万元，占0%；附属单位上缴收入0万元，占0%；其他收入0万元，占0%。</w:t>
      </w:r>
    </w:p>
    <w:p>
      <w:pPr>
        <w:pStyle w:val="10"/>
        <w:outlineLvl w:val="0"/>
        <w:rPr>
          <w:rFonts w:hAnsi="黑体"/>
          <w:b/>
          <w:sz w:val="32"/>
          <w:szCs w:val="32"/>
        </w:rPr>
      </w:pPr>
      <w:r>
        <w:rPr>
          <w:rFonts w:hint="eastAsia" w:hAnsi="黑体"/>
          <w:b/>
          <w:sz w:val="32"/>
          <w:szCs w:val="32"/>
        </w:rPr>
        <w:t>三、支出决算情况说明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2021年度支出合计112.79万</w:t>
      </w:r>
      <w:r>
        <w:rPr>
          <w:rFonts w:hint="eastAsia" w:ascii="宋体" w:hAnsi="宋体" w:eastAsia="宋体" w:cs="宋体"/>
          <w:sz w:val="32"/>
          <w:szCs w:val="32"/>
        </w:rPr>
        <w:t>元（不含年末结转和结余资金），</w:t>
      </w:r>
      <w:r>
        <w:rPr>
          <w:rFonts w:hint="eastAsia" w:asciiTheme="minorEastAsia" w:hAnsiTheme="minorEastAsia" w:eastAsiaTheme="minorEastAsia"/>
          <w:sz w:val="32"/>
          <w:szCs w:val="32"/>
        </w:rPr>
        <w:t>其中：基本支出112.797万元，占100%；项目支出0万元，占0%；上缴上级支出0万元，占0%；经营支出0万元，占0%；对附属单位补助支出0万元，占0%。</w:t>
      </w:r>
    </w:p>
    <w:p>
      <w:pPr>
        <w:pStyle w:val="10"/>
        <w:rPr>
          <w:rFonts w:hAnsi="黑体"/>
          <w:b/>
          <w:sz w:val="32"/>
          <w:szCs w:val="32"/>
        </w:rPr>
      </w:pPr>
      <w:r>
        <w:rPr>
          <w:rFonts w:hint="eastAsia" w:hAnsi="黑体"/>
          <w:b/>
          <w:sz w:val="32"/>
          <w:szCs w:val="32"/>
        </w:rPr>
        <w:t>四、财政拨款收入支出决算总体情况说明</w:t>
      </w:r>
    </w:p>
    <w:p>
      <w:pPr>
        <w:pStyle w:val="10"/>
        <w:ind w:firstLine="640" w:firstLineChars="200"/>
        <w:rPr>
          <w:rFonts w:asciiTheme="minorEastAsia" w:hAnsiTheme="minorEastAsia" w:eastAsiaTheme="minorEastAsia"/>
          <w:sz w:val="32"/>
          <w:szCs w:val="32"/>
        </w:rPr>
      </w:pPr>
      <w:r>
        <w:rPr>
          <w:rFonts w:hint="eastAsia" w:ascii="宋体" w:hAnsi="宋体" w:eastAsia="宋体"/>
          <w:sz w:val="32"/>
          <w:szCs w:val="32"/>
        </w:rPr>
        <w:t>2021年度财政拨款收入合计112.79元（不含年初财政拨款结转和结余资金），与上年相比，减少19.6万元,减少14.8%，主要是因为</w:t>
      </w:r>
      <w:r>
        <w:rPr>
          <w:rFonts w:hint="eastAsia" w:ascii="宋体" w:hAnsi="宋体" w:eastAsia="宋体" w:cs="宋体"/>
          <w:sz w:val="32"/>
          <w:szCs w:val="32"/>
        </w:rPr>
        <w:t>认真贯彻落实中央“八项规定”精神和厉行节约要求，从严控制“三公”经费开支，全年支出比上年有所压减。</w:t>
      </w:r>
    </w:p>
    <w:p>
      <w:pPr>
        <w:pStyle w:val="10"/>
        <w:ind w:firstLine="640" w:firstLineChars="200"/>
        <w:rPr>
          <w:rFonts w:ascii="宋体" w:hAnsi="宋体" w:eastAsia="宋体"/>
          <w:b/>
          <w:bCs/>
          <w:color w:val="FF0000"/>
          <w:sz w:val="28"/>
          <w:szCs w:val="28"/>
        </w:rPr>
      </w:pPr>
      <w:r>
        <w:rPr>
          <w:rFonts w:hint="eastAsia" w:ascii="宋体" w:hAnsi="宋体" w:eastAsia="宋体"/>
          <w:sz w:val="32"/>
          <w:szCs w:val="32"/>
        </w:rPr>
        <w:t>2021年度财政拨款支出合计112.79万元（不含年末财政拨款结转和结余资金），与上年相比，减少19.6万元,减少14.8%，主要是因为</w:t>
      </w:r>
      <w:r>
        <w:rPr>
          <w:rFonts w:hint="eastAsia" w:ascii="宋体" w:hAnsi="宋体" w:eastAsia="宋体" w:cs="宋体"/>
          <w:sz w:val="32"/>
          <w:szCs w:val="32"/>
        </w:rPr>
        <w:t>认真贯彻落实中央“八项规定”精神和厉行节约要求，从严控制“三公”经费开支，全年支出比上年有所压减。</w:t>
      </w:r>
    </w:p>
    <w:p>
      <w:pPr>
        <w:pStyle w:val="10"/>
        <w:outlineLvl w:val="0"/>
        <w:rPr>
          <w:rFonts w:hAnsi="黑体"/>
          <w:b/>
          <w:sz w:val="32"/>
          <w:szCs w:val="32"/>
        </w:rPr>
      </w:pPr>
      <w:r>
        <w:rPr>
          <w:rFonts w:hint="eastAsia" w:hAnsi="黑体"/>
          <w:b/>
          <w:sz w:val="32"/>
          <w:szCs w:val="32"/>
        </w:rPr>
        <w:t>五、一般公共预算财政拨款支出决算情况说明</w:t>
      </w:r>
    </w:p>
    <w:p>
      <w:pPr>
        <w:pStyle w:val="10"/>
        <w:ind w:firstLine="640" w:firstLineChars="200"/>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2021年度财政拨款支出112.79万元，占本年支出合计的100%，与上年相比，财政拨款支出减少19.6万元，减少14.8%，</w:t>
      </w:r>
      <w:r>
        <w:rPr>
          <w:rFonts w:hint="eastAsia" w:ascii="宋体" w:hAnsi="宋体" w:eastAsia="宋体"/>
          <w:sz w:val="32"/>
          <w:szCs w:val="32"/>
        </w:rPr>
        <w:t>主要是因为</w:t>
      </w:r>
      <w:r>
        <w:rPr>
          <w:rFonts w:hint="eastAsia" w:ascii="宋体" w:hAnsi="宋体" w:eastAsia="宋体" w:cs="宋体"/>
          <w:sz w:val="32"/>
          <w:szCs w:val="32"/>
        </w:rPr>
        <w:t>认真贯彻落实中央“八项规定”精神和厉行节约要求，从严控制“三公”经费开支，全年支出比上年有所压减。</w:t>
      </w:r>
    </w:p>
    <w:p>
      <w:pPr>
        <w:pStyle w:val="10"/>
        <w:ind w:firstLine="640" w:firstLineChars="200"/>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keepNext/>
        <w:keepLines/>
        <w:ind w:firstLine="641"/>
        <w:rPr>
          <w:rFonts w:asciiTheme="minorEastAsia" w:hAnsiTheme="minorEastAsia"/>
          <w:sz w:val="32"/>
          <w:szCs w:val="32"/>
        </w:rPr>
      </w:pPr>
      <w:r>
        <w:rPr>
          <w:rFonts w:hint="eastAsia" w:asciiTheme="minorEastAsia" w:hAnsiTheme="minorEastAsia"/>
          <w:sz w:val="32"/>
          <w:szCs w:val="32"/>
        </w:rPr>
        <w:t>2021年度财政拨款支出112.79万元，主要用于以下方面：</w:t>
      </w:r>
      <w:r>
        <w:rPr>
          <w:rFonts w:hint="eastAsia" w:ascii="宋体" w:hAnsi="宋体"/>
          <w:color w:val="000000"/>
          <w:kern w:val="0"/>
          <w:sz w:val="32"/>
          <w:szCs w:val="24"/>
          <w:highlight w:val="white"/>
        </w:rPr>
        <w:t>社会保障和就业（类）支出112.79万元，占100%。</w:t>
      </w:r>
    </w:p>
    <w:p>
      <w:pPr>
        <w:pStyle w:val="10"/>
        <w:ind w:firstLine="800" w:firstLineChars="250"/>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2021年度财政拨款支出年初预算数为123.67万元，支出决算数为112.79万元，完成年初预算的91.2%，其中：</w:t>
      </w:r>
    </w:p>
    <w:p>
      <w:pPr>
        <w:pStyle w:val="10"/>
        <w:ind w:firstLine="800" w:firstLineChars="250"/>
        <w:outlineLvl w:val="2"/>
        <w:rPr>
          <w:rFonts w:asciiTheme="minorEastAsia" w:hAnsiTheme="minorEastAsia" w:eastAsiaTheme="minorEastAsia"/>
          <w:sz w:val="32"/>
          <w:szCs w:val="32"/>
        </w:rPr>
      </w:pPr>
      <w:r>
        <w:rPr>
          <w:rFonts w:hint="eastAsia" w:asciiTheme="minorEastAsia" w:hAnsiTheme="minorEastAsia" w:eastAsiaTheme="minorEastAsia"/>
          <w:sz w:val="32"/>
          <w:szCs w:val="32"/>
        </w:rPr>
        <w:t>1、</w:t>
      </w:r>
      <w:r>
        <w:rPr>
          <w:rFonts w:hint="eastAsia" w:asciiTheme="minorEastAsia" w:hAnsiTheme="minorEastAsia" w:eastAsiaTheme="minorEastAsia"/>
          <w:color w:val="auto"/>
          <w:sz w:val="32"/>
          <w:szCs w:val="32"/>
        </w:rPr>
        <w:t>社会保障和就业支出（类）人力资源和社会保障管理事务（款）社会保险业务管理事务（项）。</w:t>
      </w:r>
    </w:p>
    <w:p>
      <w:pPr>
        <w:pStyle w:val="10"/>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年初预算为123.67万元，支出决算为112.79万元，完成年初预算的91.2%，决算数小于年初预算数的</w:t>
      </w:r>
      <w:r>
        <w:rPr>
          <w:rFonts w:hint="eastAsia" w:asciiTheme="minorEastAsia" w:hAnsiTheme="minorEastAsia" w:eastAsiaTheme="minorEastAsia"/>
          <w:color w:val="auto"/>
          <w:sz w:val="32"/>
          <w:szCs w:val="32"/>
        </w:rPr>
        <w:t>主要原因是：人员减少，工资支出减少。</w:t>
      </w:r>
    </w:p>
    <w:p>
      <w:pPr>
        <w:pStyle w:val="10"/>
        <w:numPr>
          <w:ilvl w:val="0"/>
          <w:numId w:val="2"/>
        </w:numPr>
        <w:outlineLvl w:val="0"/>
        <w:rPr>
          <w:rFonts w:hAnsi="黑体"/>
          <w:b/>
          <w:sz w:val="32"/>
          <w:szCs w:val="32"/>
        </w:rPr>
      </w:pPr>
      <w:r>
        <w:rPr>
          <w:rFonts w:hint="eastAsia" w:hAnsi="黑体"/>
          <w:b/>
          <w:sz w:val="32"/>
          <w:szCs w:val="32"/>
        </w:rPr>
        <w:t>一般公共预算财政拨款基本支出决算情况说明</w:t>
      </w:r>
    </w:p>
    <w:p>
      <w:pPr>
        <w:pStyle w:val="10"/>
        <w:ind w:firstLine="800" w:firstLineChars="250"/>
        <w:outlineLvl w:val="2"/>
        <w:rPr>
          <w:rFonts w:asciiTheme="minorEastAsia" w:hAnsiTheme="minorEastAsia" w:eastAsiaTheme="minorEastAsia"/>
          <w:color w:val="auto"/>
          <w:sz w:val="32"/>
          <w:szCs w:val="32"/>
          <w:lang w:val="zh-CN"/>
        </w:rPr>
      </w:pPr>
      <w:r>
        <w:rPr>
          <w:rFonts w:hint="eastAsia" w:asciiTheme="minorEastAsia" w:hAnsiTheme="minorEastAsia" w:eastAsiaTheme="minorEastAsia"/>
          <w:sz w:val="32"/>
          <w:szCs w:val="32"/>
        </w:rPr>
        <w:t>2021年度财政拨款基本支出112.79万元，</w:t>
      </w:r>
      <w:r>
        <w:rPr>
          <w:rFonts w:hint="eastAsia" w:asciiTheme="minorEastAsia" w:hAnsiTheme="minorEastAsia" w:eastAsiaTheme="minorEastAsia"/>
          <w:color w:val="auto"/>
          <w:sz w:val="32"/>
          <w:szCs w:val="32"/>
        </w:rPr>
        <w:t>人员经费94.81万元，</w:t>
      </w:r>
      <w:r>
        <w:rPr>
          <w:rFonts w:hint="eastAsia" w:asciiTheme="minorEastAsia" w:hAnsiTheme="minorEastAsia" w:eastAsiaTheme="minorEastAsia"/>
          <w:color w:val="auto"/>
          <w:sz w:val="32"/>
          <w:szCs w:val="32"/>
          <w:lang w:val="zh-CN"/>
        </w:rPr>
        <w:t>占基本支出的</w:t>
      </w:r>
      <w:r>
        <w:rPr>
          <w:rFonts w:hint="eastAsia" w:asciiTheme="minorEastAsia" w:hAnsiTheme="minorEastAsia" w:eastAsiaTheme="minorEastAsia"/>
          <w:color w:val="auto"/>
          <w:sz w:val="32"/>
          <w:szCs w:val="32"/>
        </w:rPr>
        <w:t>84.06%，主要包括基本工资、津贴补贴、</w:t>
      </w:r>
      <w:r>
        <w:rPr>
          <w:rFonts w:hint="eastAsia" w:asciiTheme="minorEastAsia" w:hAnsiTheme="minorEastAsia" w:eastAsiaTheme="minorEastAsia"/>
          <w:color w:val="auto"/>
          <w:sz w:val="32"/>
          <w:szCs w:val="32"/>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pPr>
        <w:pStyle w:val="10"/>
        <w:ind w:firstLine="800" w:firstLineChars="250"/>
        <w:outlineLvl w:val="2"/>
        <w:rPr>
          <w:rFonts w:asciiTheme="minorEastAsia" w:hAnsiTheme="minorEastAsia" w:eastAsiaTheme="minorEastAsia"/>
          <w:color w:val="auto"/>
          <w:sz w:val="32"/>
          <w:szCs w:val="32"/>
          <w:lang w:val="zh-CN"/>
        </w:rPr>
      </w:pPr>
      <w:r>
        <w:rPr>
          <w:rFonts w:hint="eastAsia" w:asciiTheme="minorEastAsia" w:hAnsiTheme="minorEastAsia" w:eastAsiaTheme="minorEastAsia"/>
          <w:color w:val="auto"/>
          <w:sz w:val="32"/>
          <w:szCs w:val="32"/>
        </w:rPr>
        <w:t>公用经费17.98万元，</w:t>
      </w:r>
      <w:r>
        <w:rPr>
          <w:rFonts w:hint="eastAsia" w:asciiTheme="minorEastAsia" w:hAnsiTheme="minorEastAsia" w:eastAsiaTheme="minorEastAsia"/>
          <w:color w:val="auto"/>
          <w:sz w:val="32"/>
          <w:szCs w:val="32"/>
          <w:lang w:val="zh-CN"/>
        </w:rPr>
        <w:t>占基本支出的</w:t>
      </w:r>
      <w:r>
        <w:rPr>
          <w:rFonts w:hint="eastAsia" w:asciiTheme="minorEastAsia" w:hAnsiTheme="minorEastAsia" w:eastAsiaTheme="minorEastAsia"/>
          <w:color w:val="auto"/>
          <w:sz w:val="32"/>
          <w:szCs w:val="32"/>
        </w:rPr>
        <w:t>15.94%，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pStyle w:val="10"/>
        <w:outlineLvl w:val="0"/>
        <w:rPr>
          <w:rFonts w:hAnsi="黑体"/>
          <w:b/>
          <w:sz w:val="32"/>
          <w:szCs w:val="32"/>
        </w:rPr>
      </w:pPr>
      <w:r>
        <w:rPr>
          <w:rFonts w:hint="eastAsia" w:hAnsi="黑体"/>
          <w:b/>
          <w:sz w:val="32"/>
          <w:szCs w:val="32"/>
        </w:rPr>
        <w:t>七、一般公共预算财政拨款“三公”经费支出决算情况说明</w:t>
      </w:r>
    </w:p>
    <w:p>
      <w:pPr>
        <w:pStyle w:val="10"/>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2021年度“三公”经费财政拨款支出预算为1万元，支出决算为0万元，完成预算的0%，其中：</w:t>
      </w:r>
    </w:p>
    <w:p>
      <w:pPr>
        <w:pStyle w:val="10"/>
        <w:ind w:left="470" w:leftChars="224" w:firstLine="316" w:firstLineChars="99"/>
        <w:outlineLvl w:val="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因公出国（境）费支出预算为0万元，支出决算为0万元，完成预算的0%。</w:t>
      </w:r>
      <w:r>
        <w:rPr>
          <w:rFonts w:hint="eastAsia" w:ascii="宋体" w:hAnsi="Times New Roman" w:eastAsia="宋体" w:cs="宋体"/>
          <w:color w:val="auto"/>
          <w:sz w:val="32"/>
          <w:szCs w:val="32"/>
          <w:highlight w:val="white"/>
        </w:rPr>
        <w:t>决算数等于预算数的主要原因是本年度未安排出国（境）计划，与上年相比无变化，主要原因是本年度未安排出国（境）计划。</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公务接待费支出预算为1万元，支出决算为0万元，完成预算的0%，决算数小于预算数的主要原因是疫情影响，未发生接待支出，与上年相比减少0万元，减少0%,减少的主要原因是疫情影响，未发生接待支出。</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公务用车购置费支出预算为0万元，支出决算为0万元，完成预算的0%。</w:t>
      </w:r>
      <w:r>
        <w:rPr>
          <w:rFonts w:hint="eastAsia" w:ascii="宋体" w:hAnsi="Times New Roman" w:eastAsia="宋体" w:cs="宋体"/>
          <w:color w:val="auto"/>
          <w:sz w:val="32"/>
          <w:szCs w:val="32"/>
          <w:highlight w:val="white"/>
        </w:rPr>
        <w:t>决算数等于预算数的主要原因是本年度无公务用车购置计划，与上年度相比无变化，主要原因是本年度无公务用车购置计划。</w:t>
      </w:r>
      <w:r>
        <w:rPr>
          <w:rFonts w:hint="eastAsia" w:asciiTheme="minorEastAsia" w:hAnsiTheme="minorEastAsia" w:eastAsiaTheme="minorEastAsia"/>
          <w:sz w:val="32"/>
          <w:szCs w:val="32"/>
        </w:rPr>
        <w:t>公务用车运行维护费支出预算为0万元，支出决算为0万元，完成预算的0%，与上年相比减少0.06万元，减少100%,减少的主要原因是进行了车改，本单位已无公务用车。</w:t>
      </w:r>
    </w:p>
    <w:p>
      <w:pPr>
        <w:pStyle w:val="10"/>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2021年度“三公”经费财政拨款支出决算中，公务接待费支出决算0万元，占0%,因公出国（境）费支出决算0万元，占0%,公务用车购置费及运行维护费支出决算0万元，占0%。其中：</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1、因公出国（境）费支出决算为0万元，全年安排因公出国（境）团组0个，累计0人次；</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2、公务接待费支出决算为0万元，全年共接待来访团组0个、来宾0人次，主要是疫情影响，未发生接待支出。</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3、公务用车购置费及运行维护费支出决算为0万元，其中：公务用车购置费0万元，更新公务用车0辆。公务用车运行维护费0万元，主截止2021年12月31日，我单位开支财政拨款的公务用车保有量为0辆。</w:t>
      </w:r>
    </w:p>
    <w:p>
      <w:pPr>
        <w:pStyle w:val="10"/>
        <w:outlineLvl w:val="0"/>
        <w:rPr>
          <w:rFonts w:hAnsi="黑体"/>
          <w:b/>
          <w:sz w:val="32"/>
          <w:szCs w:val="32"/>
        </w:rPr>
      </w:pPr>
      <w:r>
        <w:rPr>
          <w:rFonts w:hint="eastAsia" w:hAnsi="黑体"/>
          <w:b/>
          <w:sz w:val="32"/>
          <w:szCs w:val="32"/>
        </w:rPr>
        <w:t>八、政府性基金预算收入支出决算情况</w:t>
      </w:r>
    </w:p>
    <w:p>
      <w:pPr>
        <w:ind w:firstLine="640"/>
        <w:rPr>
          <w:rFonts w:asciiTheme="minorEastAsia" w:hAnsiTheme="minorEastAsia"/>
          <w:i/>
          <w:color w:val="FF0000"/>
          <w:sz w:val="32"/>
          <w:szCs w:val="32"/>
        </w:rPr>
      </w:pPr>
      <w:r>
        <w:rPr>
          <w:rFonts w:hint="eastAsia" w:ascii="宋体" w:hAnsi="宋体"/>
          <w:sz w:val="32"/>
          <w:szCs w:val="24"/>
          <w:highlight w:val="white"/>
          <w:lang w:val="zh-CN"/>
        </w:rPr>
        <w:t>2021年本单位没有使用政府性基金预算财政拨款安排的收支。</w:t>
      </w:r>
    </w:p>
    <w:p>
      <w:pPr>
        <w:pStyle w:val="10"/>
        <w:outlineLvl w:val="0"/>
        <w:rPr>
          <w:rFonts w:hAnsi="黑体"/>
          <w:b/>
          <w:color w:val="auto"/>
          <w:sz w:val="32"/>
          <w:szCs w:val="32"/>
        </w:rPr>
      </w:pPr>
      <w:r>
        <w:rPr>
          <w:rFonts w:hint="eastAsia" w:hAnsi="黑体"/>
          <w:b/>
          <w:sz w:val="32"/>
          <w:szCs w:val="32"/>
          <w:lang w:val="en-US" w:eastAsia="zh-CN"/>
        </w:rPr>
        <w:t>九、202</w:t>
      </w:r>
      <w:r>
        <w:rPr>
          <w:rFonts w:hint="eastAsia" w:hAnsi="黑体"/>
          <w:b/>
          <w:color w:val="auto"/>
          <w:sz w:val="32"/>
          <w:szCs w:val="32"/>
        </w:rPr>
        <w:t>1年度预算绩效情况说明</w:t>
      </w:r>
    </w:p>
    <w:p>
      <w:pPr>
        <w:pStyle w:val="10"/>
        <w:ind w:firstLine="640" w:firstLineChars="200"/>
        <w:rPr>
          <w:rFonts w:ascii="宋体" w:hAnsi="宋体" w:eastAsia="宋体"/>
          <w:color w:val="000000" w:themeColor="text1"/>
          <w:sz w:val="32"/>
          <w:szCs w:val="32"/>
          <w14:textFill>
            <w14:solidFill>
              <w14:schemeClr w14:val="tx1"/>
            </w14:solidFill>
          </w14:textFill>
        </w:rPr>
      </w:pPr>
      <w:r>
        <w:rPr>
          <w:rFonts w:hint="eastAsia" w:ascii="宋体" w:hAnsi="宋体" w:eastAsia="宋体"/>
          <w:sz w:val="32"/>
          <w:szCs w:val="32"/>
        </w:rPr>
        <w:t>根据财政部《财政支出绩效评价管理暂行办法》（财预〔2011〕285号）和岳阳县人民政府办公室《关于贯彻落实省政府全面推进预算绩效管理意见的通知》（岳政发〔2014〕6号）文件精神要求，为进一步规范财政资金管理，强化绩效和责任意识，切实提高财政资金使用效益，我单位对</w:t>
      </w:r>
      <w:r>
        <w:rPr>
          <w:rFonts w:hint="eastAsia" w:ascii="宋体" w:hAnsi="宋体" w:eastAsia="宋体"/>
          <w:color w:val="000000" w:themeColor="text1"/>
          <w:sz w:val="32"/>
          <w:szCs w:val="32"/>
          <w14:textFill>
            <w14:solidFill>
              <w14:schemeClr w14:val="tx1"/>
            </w14:solidFill>
          </w14:textFill>
        </w:rPr>
        <w:t>2021年度部门整体支出进行了绩效自评。</w:t>
      </w:r>
    </w:p>
    <w:p>
      <w:pPr>
        <w:pStyle w:val="10"/>
        <w:ind w:firstLine="640" w:firstLineChars="200"/>
        <w:rPr>
          <w:rFonts w:ascii="宋体" w:hAnsi="宋体" w:eastAsia="宋体"/>
          <w:sz w:val="32"/>
          <w:szCs w:val="32"/>
        </w:rPr>
      </w:pPr>
      <w:r>
        <w:rPr>
          <w:rFonts w:hint="eastAsia" w:ascii="宋体" w:hAnsi="宋体" w:eastAsia="宋体"/>
          <w:sz w:val="32"/>
          <w:szCs w:val="32"/>
        </w:rPr>
        <w:t>部门整体支出绩效自评得分98，评价等级为“优秀”；</w:t>
      </w:r>
    </w:p>
    <w:p>
      <w:pPr>
        <w:pStyle w:val="10"/>
        <w:jc w:val="center"/>
        <w:rPr>
          <w:rFonts w:hint="default" w:hAnsi="黑体" w:eastAsia="黑体"/>
          <w:b/>
          <w:sz w:val="32"/>
          <w:szCs w:val="32"/>
          <w:lang w:val="en-US" w:eastAsia="zh-CN"/>
        </w:rPr>
      </w:pPr>
      <w:r>
        <w:rPr>
          <w:rFonts w:hint="eastAsia" w:ascii="宋体" w:hAnsi="宋体" w:eastAsia="宋体"/>
          <w:sz w:val="32"/>
          <w:szCs w:val="32"/>
        </w:rPr>
        <w:t>已按县财政局统一要求</w:t>
      </w:r>
      <w:r>
        <w:rPr>
          <w:rFonts w:hint="eastAsia" w:asciiTheme="minorEastAsia" w:hAnsiTheme="minorEastAsia" w:eastAsiaTheme="minorEastAsia"/>
          <w:sz w:val="32"/>
          <w:szCs w:val="32"/>
        </w:rPr>
        <w:t>随同部门决算作为附件</w:t>
      </w:r>
      <w:r>
        <w:rPr>
          <w:rFonts w:hint="eastAsia" w:ascii="宋体" w:hAnsi="宋体" w:eastAsia="宋体"/>
          <w:sz w:val="32"/>
          <w:szCs w:val="32"/>
        </w:rPr>
        <w:t>公开。</w:t>
      </w:r>
    </w:p>
    <w:p>
      <w:pPr>
        <w:pStyle w:val="10"/>
        <w:outlineLvl w:val="0"/>
        <w:rPr>
          <w:rFonts w:hint="default" w:hAnsi="黑体" w:eastAsia="黑体"/>
          <w:b/>
          <w:sz w:val="32"/>
          <w:szCs w:val="32"/>
          <w:lang w:val="en-US" w:eastAsia="zh-CN"/>
        </w:rPr>
      </w:pPr>
      <w:r>
        <w:rPr>
          <w:rFonts w:hint="eastAsia" w:hAnsi="黑体"/>
          <w:b/>
          <w:sz w:val="32"/>
          <w:szCs w:val="32"/>
        </w:rPr>
        <w:t>十、</w:t>
      </w:r>
      <w:r>
        <w:rPr>
          <w:rFonts w:hint="eastAsia" w:hAnsi="黑体"/>
          <w:b/>
          <w:sz w:val="32"/>
          <w:szCs w:val="32"/>
          <w:lang w:val="en-US" w:eastAsia="zh-CN"/>
        </w:rPr>
        <w:t>其他重要事项情况说明</w:t>
      </w:r>
    </w:p>
    <w:p>
      <w:pPr>
        <w:pStyle w:val="10"/>
        <w:outlineLvl w:val="0"/>
        <w:rPr>
          <w:rFonts w:hAnsi="黑体"/>
          <w:b/>
          <w:sz w:val="32"/>
          <w:szCs w:val="32"/>
        </w:rPr>
      </w:pPr>
      <w:r>
        <w:rPr>
          <w:rFonts w:hint="eastAsia" w:hAnsi="黑体"/>
          <w:b/>
          <w:sz w:val="32"/>
          <w:szCs w:val="32"/>
          <w:lang w:eastAsia="zh-CN"/>
        </w:rPr>
        <w:t>（</w:t>
      </w:r>
      <w:r>
        <w:rPr>
          <w:rFonts w:hint="eastAsia" w:hAnsi="黑体"/>
          <w:b/>
          <w:sz w:val="32"/>
          <w:szCs w:val="32"/>
          <w:lang w:val="en-US" w:eastAsia="zh-CN"/>
        </w:rPr>
        <w:t>一</w:t>
      </w:r>
      <w:r>
        <w:rPr>
          <w:rFonts w:hint="eastAsia" w:hAnsi="黑体"/>
          <w:b/>
          <w:sz w:val="32"/>
          <w:szCs w:val="32"/>
          <w:lang w:eastAsia="zh-CN"/>
        </w:rPr>
        <w:t>）</w:t>
      </w:r>
      <w:r>
        <w:rPr>
          <w:rFonts w:hint="eastAsia" w:hAnsi="黑体"/>
          <w:b/>
          <w:sz w:val="32"/>
          <w:szCs w:val="32"/>
        </w:rPr>
        <w:t>机关运行经费支出说明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本部门2021年度机关运行经费支出17.98万元，比上年决算数减少6.14 万元，降低25.46%。主要原因是：</w:t>
      </w:r>
      <w:r>
        <w:rPr>
          <w:rFonts w:hint="eastAsia" w:ascii="宋体" w:hAnsi="宋体" w:eastAsia="宋体" w:cs="宋体"/>
          <w:sz w:val="32"/>
          <w:szCs w:val="32"/>
          <w:highlight w:val="white"/>
          <w:lang w:val="zh-CN"/>
        </w:rPr>
        <w:t>认真贯彻落实中央“八项规定”精神和厉行节约要求，从严控制“三公”经费开支，全年实际支出比上年有所压减</w:t>
      </w:r>
      <w:r>
        <w:rPr>
          <w:rFonts w:hint="eastAsia" w:asciiTheme="minorEastAsia" w:hAnsiTheme="minorEastAsia" w:eastAsiaTheme="minorEastAsia"/>
          <w:sz w:val="32"/>
          <w:szCs w:val="32"/>
        </w:rPr>
        <w:t>。</w:t>
      </w:r>
    </w:p>
    <w:p>
      <w:pPr>
        <w:pStyle w:val="10"/>
        <w:outlineLvl w:val="0"/>
        <w:rPr>
          <w:rFonts w:hAnsi="黑体"/>
          <w:b/>
          <w:sz w:val="32"/>
          <w:szCs w:val="32"/>
        </w:rPr>
      </w:pPr>
      <w:r>
        <w:rPr>
          <w:rFonts w:hint="eastAsia" w:hAnsi="黑体"/>
          <w:b/>
          <w:sz w:val="32"/>
          <w:szCs w:val="32"/>
          <w:lang w:eastAsia="zh-CN"/>
        </w:rPr>
        <w:t>（</w:t>
      </w:r>
      <w:r>
        <w:rPr>
          <w:rFonts w:hint="eastAsia" w:hAnsi="黑体"/>
          <w:b/>
          <w:sz w:val="32"/>
          <w:szCs w:val="32"/>
          <w:lang w:val="en-US" w:eastAsia="zh-CN"/>
        </w:rPr>
        <w:t>二</w:t>
      </w:r>
      <w:r>
        <w:rPr>
          <w:rFonts w:hint="eastAsia" w:hAnsi="黑体"/>
          <w:b/>
          <w:sz w:val="32"/>
          <w:szCs w:val="32"/>
          <w:lang w:eastAsia="zh-CN"/>
        </w:rPr>
        <w:t>）</w:t>
      </w:r>
      <w:r>
        <w:rPr>
          <w:rFonts w:hint="eastAsia" w:hAnsi="黑体"/>
          <w:b/>
          <w:sz w:val="32"/>
          <w:szCs w:val="32"/>
        </w:rPr>
        <w:t>一般性支出情况说明</w:t>
      </w:r>
    </w:p>
    <w:p>
      <w:pPr>
        <w:pStyle w:val="10"/>
        <w:ind w:firstLine="640" w:firstLineChars="200"/>
        <w:rPr>
          <w:rFonts w:asciiTheme="minorEastAsia" w:hAnsiTheme="minorEastAsia" w:eastAsiaTheme="minorEastAsia"/>
          <w:color w:val="FF0000"/>
          <w:sz w:val="32"/>
          <w:szCs w:val="32"/>
        </w:rPr>
      </w:pPr>
      <w:r>
        <w:rPr>
          <w:rFonts w:hint="eastAsia" w:asciiTheme="minorEastAsia" w:hAnsiTheme="minorEastAsia" w:eastAsiaTheme="minorEastAsia"/>
          <w:sz w:val="32"/>
          <w:szCs w:val="32"/>
        </w:rPr>
        <w:t>2021年本部门开支会议费0万元，人数0人；开支培训费0.06万元，用于开展入党积极分子培训，人数2人，内容为入党积极分子培训；举办节庆、晚会、论坛、赛事等活动，开支0万元。</w:t>
      </w:r>
    </w:p>
    <w:p>
      <w:pPr>
        <w:pStyle w:val="10"/>
        <w:outlineLvl w:val="0"/>
        <w:rPr>
          <w:rFonts w:hAnsi="黑体"/>
          <w:b/>
          <w:sz w:val="32"/>
          <w:szCs w:val="32"/>
        </w:rPr>
      </w:pPr>
      <w:r>
        <w:rPr>
          <w:rFonts w:hint="eastAsia" w:hAnsi="黑体"/>
          <w:b/>
          <w:sz w:val="32"/>
          <w:szCs w:val="32"/>
          <w:lang w:eastAsia="zh-CN"/>
        </w:rPr>
        <w:t>（</w:t>
      </w:r>
      <w:r>
        <w:rPr>
          <w:rFonts w:hint="eastAsia" w:hAnsi="黑体"/>
          <w:b/>
          <w:sz w:val="32"/>
          <w:szCs w:val="32"/>
          <w:lang w:val="en-US" w:eastAsia="zh-CN"/>
        </w:rPr>
        <w:t>三</w:t>
      </w:r>
      <w:r>
        <w:rPr>
          <w:rFonts w:hint="eastAsia" w:hAnsi="黑体"/>
          <w:b/>
          <w:sz w:val="32"/>
          <w:szCs w:val="32"/>
          <w:lang w:eastAsia="zh-CN"/>
        </w:rPr>
        <w:t>）</w:t>
      </w:r>
      <w:r>
        <w:rPr>
          <w:rFonts w:hint="eastAsia" w:hAnsi="黑体"/>
          <w:b/>
          <w:sz w:val="32"/>
          <w:szCs w:val="32"/>
        </w:rPr>
        <w:t>政府采购支出说明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政府采购支出总额0万元，其中：政府采购货物支出0万元、政府采购工程支出0万元、政府采购服务支出0万元。授予中小企业合同金额0万元，占政府采购支出总额的0%，其中：授予小微企业合同金额0万元，占授予中小企业合同金额</w:t>
      </w:r>
      <w:r>
        <w:rPr>
          <w:rFonts w:hint="eastAsia" w:asciiTheme="minorEastAsia" w:hAnsiTheme="minorEastAsia" w:eastAsiaTheme="minorEastAsia"/>
          <w:color w:val="auto"/>
          <w:sz w:val="32"/>
          <w:szCs w:val="32"/>
        </w:rPr>
        <w:t>(政府采购支出总额)</w:t>
      </w:r>
      <w:r>
        <w:rPr>
          <w:rFonts w:hint="eastAsia" w:asciiTheme="minorEastAsia" w:hAnsiTheme="minorEastAsia" w:eastAsiaTheme="minorEastAsia"/>
          <w:sz w:val="32"/>
          <w:szCs w:val="32"/>
        </w:rPr>
        <w:t>的0%；</w:t>
      </w:r>
    </w:p>
    <w:p>
      <w:pPr>
        <w:pStyle w:val="10"/>
        <w:rPr>
          <w:rFonts w:asciiTheme="minorEastAsia" w:hAnsiTheme="minorEastAsia" w:eastAsiaTheme="minorEastAsia"/>
          <w:sz w:val="32"/>
          <w:szCs w:val="32"/>
        </w:rPr>
      </w:pPr>
      <w:r>
        <w:rPr>
          <w:rFonts w:hint="eastAsia" w:hAnsi="黑体"/>
          <w:b/>
          <w:sz w:val="32"/>
          <w:szCs w:val="32"/>
          <w:lang w:eastAsia="zh-CN"/>
        </w:rPr>
        <w:t>（</w:t>
      </w:r>
      <w:r>
        <w:rPr>
          <w:rFonts w:hint="eastAsia" w:hAnsi="黑体"/>
          <w:b/>
          <w:sz w:val="32"/>
          <w:szCs w:val="32"/>
          <w:lang w:val="en-US" w:eastAsia="zh-CN"/>
        </w:rPr>
        <w:t>四</w:t>
      </w:r>
      <w:r>
        <w:rPr>
          <w:rFonts w:hint="eastAsia" w:hAnsi="黑体"/>
          <w:b/>
          <w:sz w:val="32"/>
          <w:szCs w:val="32"/>
          <w:lang w:eastAsia="zh-CN"/>
        </w:rPr>
        <w:t>）</w:t>
      </w:r>
      <w:r>
        <w:rPr>
          <w:rFonts w:hint="eastAsia" w:hAnsi="黑体"/>
          <w:b/>
          <w:sz w:val="32"/>
          <w:szCs w:val="32"/>
        </w:rPr>
        <w:t>关于国有资产占用情况说明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2021年12月31日，本单位共有车辆0辆，其中，主要领导干部用车0辆，机要通信用车0辆、应急保障用车0辆、执法执勤用车0辆、特种专业技术用车0辆、其他用车0辆；单位价值50万元以上通用设备0台（套）；单位价值100万元以上专用设备0台（套）。</w:t>
      </w:r>
    </w:p>
    <w:p>
      <w:pPr>
        <w:pStyle w:val="10"/>
        <w:jc w:val="center"/>
        <w:rPr>
          <w:color w:val="FF0000"/>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rPr>
          <w:sz w:val="72"/>
          <w:szCs w:val="72"/>
        </w:rPr>
      </w:pPr>
    </w:p>
    <w:p>
      <w:pPr>
        <w:pStyle w:val="10"/>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outlineLvl w:val="0"/>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财政拨款收入：指本级财政当年拨付的资金。</w:t>
      </w:r>
    </w:p>
    <w:p>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其他收入：指除上述“财政拨款收入”、“上级补助收入”、“事业收入”、“经营收入”、“附属单位上缴收入”等以外的收入。</w:t>
      </w:r>
    </w:p>
    <w:p>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上年结转和结余：指以前年度尚未完成、结转到本年按有关规定继续使用的资金。</w:t>
      </w:r>
    </w:p>
    <w:p>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年末结转和结余资金：指本年度或以前年度预算安排、因客观条件发生变化无法按原计划实施，需要延迟到以后年度按有关规定继续使用的资金。</w:t>
      </w:r>
    </w:p>
    <w:p>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其他支出（类）：是指用于反映除上述项目以外其他不能划分到具体功能科目中的支出项目，包括保障机构正常运转、完成日常和特定的工作任务或事业发展目标的支出。</w:t>
      </w:r>
    </w:p>
    <w:p>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基本支出：指保障机构正常运转、完成支日常工作任务而发生的人员支出和公用支出。</w:t>
      </w:r>
    </w:p>
    <w:p>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项目支出：指在基本支出之外为完成特定行政任务和事业发展目标所发生的支出。</w:t>
      </w:r>
    </w:p>
    <w:p>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政府采购：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工资福利支出：反映单位开支的在职职工和编制外长期聘用人员的各类劳动报酬，以及为上述人员缴纳的各项社会保险费等。</w:t>
      </w:r>
    </w:p>
    <w:p>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津贴补贴：反映经国家批准建立的机关事业单位艰苦边远地区津贴、机关工作人员地区附加津贴、机关工作人员岗位津贴、事业单位工作人员特殊岗位津贴补贴等。</w:t>
      </w:r>
    </w:p>
    <w:p>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奖金：反映机关工作人员年终一次性奖金。</w:t>
      </w:r>
    </w:p>
    <w:p>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伙食补助费：反映单位发给职工的伙食补助费，如误餐补助等。</w:t>
      </w:r>
    </w:p>
    <w:p>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机关事业单位基本养老保险缴费：反映机关事业单位缴纳的基本养老保险费。由单位代扣的工作人员基本养老保险缴费，不在此科目反映。</w:t>
      </w:r>
    </w:p>
    <w:p>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职业年金缴费：反映机关事业单位实际缴纳的职业年金支出。由单位代扣的工作人员职业年金缴费，不在此科目反映。</w:t>
      </w:r>
    </w:p>
    <w:p>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职工基本医疗保险缴费：反映单位为职工缴纳的基本医疗保险费。</w:t>
      </w:r>
    </w:p>
    <w:p>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公务员医疗补助缴费：反映按规定可享受公务员医疗补助单位为职工缴纳的公务员医疗补助费。</w:t>
      </w:r>
    </w:p>
    <w:p>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其他社会保障缴费：反映单位为职工缴纳的基本医疗、失业、工伤、生育等社会保险费，残疾人就业保障金，军队（含武警）为军人缴纳的伤亡、退役医疗等社会保险费。</w:t>
      </w:r>
    </w:p>
    <w:p>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住房公积金：反映行政事业单位按人力资源和社会保障部、财政部规定的基本工资和津贴补贴以及规定比例为职工缴纳的住房公积金。</w:t>
      </w:r>
    </w:p>
    <w:p>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商品和服务支出：反映单位购买商品和服务的支出（不包括用于购置固定资产的支出、战略性和应急储备支出）。</w:t>
      </w:r>
    </w:p>
    <w:p>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办公费：反映单位购买按财务会计制度规定不符合固定资产确认标准的日常办公用品、书报杂志等支出。</w:t>
      </w:r>
    </w:p>
    <w:p>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印刷费：反映单位的印刷费支出。</w:t>
      </w:r>
    </w:p>
    <w:p>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水费：反映单位支付的水费、污水处理费等支出。</w:t>
      </w:r>
    </w:p>
    <w:p>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电费：反映单位的电费支出。</w:t>
      </w:r>
    </w:p>
    <w:p>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邮电费：反映单位开支的信函、包裹、货物等物品的邮寄费及电话费、电报费、传真费、网络通讯费等。</w:t>
      </w:r>
    </w:p>
    <w:p>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物业管理费：反映单位开支的办公用房以及未实行职工住宅物业服务改革的在职职工和离退休人员宿舍等的物业管理费，包括综合治理、绿化、卫生等方面的支出。</w:t>
      </w:r>
    </w:p>
    <w:p>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差旅费：反映单位工作人员出差发生的城市间交通费、住宿费、伙食补贴费和市内交通费。</w:t>
      </w:r>
    </w:p>
    <w:p>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维修(护)费：反映单位日常开支的固定资产（不包括车船等交通工具）修理和维护费用，网络信息系统运行与维护费用，以及按规定提取的修购基金。</w:t>
      </w:r>
    </w:p>
    <w:p>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培训费：反映除因公出国（境）培训费以外的各类培训支出。</w:t>
      </w:r>
    </w:p>
    <w:p>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公务接待费：反映单位按规定开支的各类公务接待（含外宾接待）费用。</w:t>
      </w:r>
    </w:p>
    <w:p>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劳务费：反映支付给单位和个人的劳务费用，如临时聘用人员、钟点工工资，稿费、翻译费，评审费等。</w:t>
      </w:r>
    </w:p>
    <w:p>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委托业务费：反映因委托外单位办理业务而支付的委托业务费。</w:t>
      </w:r>
    </w:p>
    <w:p>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工会经费：反映单位按规定提取的工会经费。</w:t>
      </w:r>
    </w:p>
    <w:p>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公务用车运行维护费：反映单位按规定保留的公务用车燃料费、维修费、过桥过路费、保险费、安全奖励费用等支出。</w:t>
      </w:r>
    </w:p>
    <w:p>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其他交通费用：反映单位除公务用车运行维护费以外的其他交通费用。如公务交通补贴，租车费用、出租车费用，飞机、船舶等的燃料费、维修费、保险费等。</w:t>
      </w:r>
    </w:p>
    <w:p>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其他商品和服务支出：反映上述科目未包括的日常公用支出。如行政赔偿费和诉讼费、国内组织的会员费、来访费、广告宣传、其他劳务费及离休人员特需费、公用经费等。</w:t>
      </w:r>
    </w:p>
    <w:p>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对个人和家庭的补助：反映政府用于对个人和家庭的补助支出。</w:t>
      </w:r>
    </w:p>
    <w:p>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退休费：反映行政事业单位和军队移交政府安置的退休人员的退休费和其他补贴。</w:t>
      </w:r>
    </w:p>
    <w:p>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抚恤金：反映按规定开支的烈士遗属、牺牲病故人员遗属的一次性和定期抚恤金，伤残人员的抚恤金，离退休人员等其他人员的各项抚恤金。</w:t>
      </w:r>
    </w:p>
    <w:p>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办公设备购置：反映用于购置并按财务会计制度规定纳入固定资产核算范围的办公家具和办公设备的支出，以及按规定提取的修购基金。</w:t>
      </w:r>
    </w:p>
    <w:p>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其他资本性支出：反映上述科目中未包括的资本性支出。</w:t>
      </w:r>
    </w:p>
    <w:p>
      <w:pPr>
        <w:pStyle w:val="10"/>
        <w:rPr>
          <w:sz w:val="72"/>
          <w:szCs w:val="72"/>
        </w:rPr>
      </w:pPr>
      <w:r>
        <w:rPr>
          <w:rFonts w:hint="eastAsia" w:asciiTheme="minorEastAsia" w:hAnsiTheme="minorEastAsia" w:eastAsiaTheme="minorEastAsia"/>
          <w:sz w:val="32"/>
          <w:szCs w:val="32"/>
        </w:rPr>
        <w:t xml:space="preserve">    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outlineLvl w:val="0"/>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ind w:firstLine="1920" w:firstLineChars="600"/>
        <w:jc w:val="left"/>
        <w:rPr>
          <w:rFonts w:cs="黑体" w:asciiTheme="minorEastAsia" w:hAnsiTheme="minorEastAsia"/>
          <w:b/>
          <w:color w:val="000000"/>
          <w:kern w:val="0"/>
          <w:sz w:val="32"/>
          <w:szCs w:val="32"/>
        </w:rPr>
      </w:pPr>
    </w:p>
    <w:p>
      <w:pPr>
        <w:ind w:firstLine="2560" w:firstLineChars="800"/>
        <w:jc w:val="left"/>
        <w:rPr>
          <w:rFonts w:cs="黑体" w:asciiTheme="minorEastAsia" w:hAnsiTheme="minorEastAsia"/>
          <w:color w:val="000000"/>
          <w:kern w:val="0"/>
          <w:sz w:val="32"/>
          <w:szCs w:val="32"/>
        </w:rPr>
      </w:pPr>
      <w:bookmarkStart w:id="0" w:name="_GoBack"/>
      <w:bookmarkEnd w:id="0"/>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00000000" w:usb1="00000000" w:usb2="00000000" w:usb3="00000000" w:csb0="00000000" w:csb1="0000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2F784F"/>
    <w:multiLevelType w:val="singleLevel"/>
    <w:tmpl w:val="8C2F784F"/>
    <w:lvl w:ilvl="0" w:tentative="0">
      <w:start w:val="6"/>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iOWRjNGIzYWI2NTA2MWFhNjZlMWYyOWUzM2M0Mzc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1082"/>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12F23"/>
    <w:rsid w:val="00E209CF"/>
    <w:rsid w:val="00E37D6C"/>
    <w:rsid w:val="00E55B68"/>
    <w:rsid w:val="00E67BE6"/>
    <w:rsid w:val="00E8683C"/>
    <w:rsid w:val="00EA2B72"/>
    <w:rsid w:val="00F639C7"/>
    <w:rsid w:val="00F74360"/>
    <w:rsid w:val="00FB462F"/>
    <w:rsid w:val="00FE16FA"/>
    <w:rsid w:val="00FE328A"/>
    <w:rsid w:val="00FE6269"/>
    <w:rsid w:val="00FF5CD6"/>
    <w:rsid w:val="081F1DED"/>
    <w:rsid w:val="0F927BB6"/>
    <w:rsid w:val="115F7498"/>
    <w:rsid w:val="1581237D"/>
    <w:rsid w:val="17FD48A4"/>
    <w:rsid w:val="19AA37CB"/>
    <w:rsid w:val="1A4B61EF"/>
    <w:rsid w:val="20C269A8"/>
    <w:rsid w:val="26346116"/>
    <w:rsid w:val="28A96989"/>
    <w:rsid w:val="34412A85"/>
    <w:rsid w:val="34EF58EB"/>
    <w:rsid w:val="38FD77E2"/>
    <w:rsid w:val="3DF94629"/>
    <w:rsid w:val="414E671B"/>
    <w:rsid w:val="45997836"/>
    <w:rsid w:val="479E14FA"/>
    <w:rsid w:val="4C0A5EEB"/>
    <w:rsid w:val="4EC86BC9"/>
    <w:rsid w:val="4F6C6065"/>
    <w:rsid w:val="52ED230C"/>
    <w:rsid w:val="592941F7"/>
    <w:rsid w:val="64DB6CED"/>
    <w:rsid w:val="6A5A13A8"/>
    <w:rsid w:val="70344547"/>
    <w:rsid w:val="758F48D1"/>
    <w:rsid w:val="75A42189"/>
    <w:rsid w:val="7DD1349B"/>
    <w:rsid w:val="7FFF7269"/>
    <w:rsid w:val="FA9F0D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cs="Times New Roman"/>
      <w:kern w:val="0"/>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1079</Words>
  <Characters>6154</Characters>
  <Lines>51</Lines>
  <Paragraphs>14</Paragraphs>
  <TotalTime>2</TotalTime>
  <ScaleCrop>false</ScaleCrop>
  <LinksUpToDate>false</LinksUpToDate>
  <CharactersWithSpaces>7219</CharactersWithSpaces>
  <Application>WPS Office_6.0.0.8068_F1E327BC-269C-435d-A152-05C5408002CA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2020-07-02T10:32:00Z</dcterms:created>
  <dc:creator>李航 null</dc:creator>
  <cp:lastModifiedBy>花卉子</cp:lastModifiedBy>
  <cp:lastPrinted>2022-07-27T20:55:00Z</cp:lastPrinted>
  <dcterms:modified xsi:type="dcterms:W3CDTF">2023-09-16T00:48:14Z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2052-6.0.0.8068</vt:lpwstr>
  </property>
  <property fmtid="{D5CDD505-2E9C-101B-9397-08002B2CF9AE}" pid="3" name="ICV">
    <vt:lpwstr>F33CE8CBF63B9D5DD0890465BD256A37_43</vt:lpwstr>
  </property>
</Properties>
</file>