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rPr>
        <w:t>岳阳县殡葬事务中心部门（单位）部门决算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outlineLvl w:val="0"/>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岳阳县</w:t>
      </w:r>
      <w:r>
        <w:rPr>
          <w:rFonts w:hint="eastAsia"/>
          <w:b/>
          <w:sz w:val="28"/>
          <w:szCs w:val="28"/>
        </w:rPr>
        <w:t>殡葬事务中心单位概况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en-US" w:eastAsia="zh-CN"/>
        </w:rPr>
        <w:t>三、决算单位构成</w:t>
      </w:r>
    </w:p>
    <w:p>
      <w:pPr>
        <w:pStyle w:val="10"/>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一</w:t>
      </w:r>
      <w:r>
        <w:rPr>
          <w:rFonts w:hint="eastAsia" w:cs="仿宋_GB2312" w:asciiTheme="minorEastAsia" w:hAnsiTheme="minorEastAsia" w:eastAsiaTheme="minorEastAsia"/>
          <w:sz w:val="28"/>
          <w:szCs w:val="28"/>
        </w:rPr>
        <w:t>、部门收支决算总表</w:t>
      </w:r>
    </w:p>
    <w:p>
      <w:pPr>
        <w:pStyle w:val="10"/>
        <w:spacing w:line="50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二</w:t>
      </w:r>
      <w:r>
        <w:rPr>
          <w:rFonts w:hint="eastAsia" w:cs="仿宋_GB2312" w:asciiTheme="minorEastAsia" w:hAnsiTheme="minorEastAsia" w:eastAsiaTheme="minorEastAsia"/>
          <w:sz w:val="28"/>
          <w:szCs w:val="28"/>
        </w:rPr>
        <w:t>、部门收入决算表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三</w:t>
      </w:r>
      <w:r>
        <w:rPr>
          <w:rFonts w:hint="eastAsia" w:cs="仿宋_GB2312" w:asciiTheme="minorEastAsia" w:hAnsiTheme="minorEastAsia" w:eastAsiaTheme="minorEastAsia"/>
          <w:sz w:val="28"/>
          <w:szCs w:val="28"/>
        </w:rPr>
        <w:t>、部门支出决算表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九、</w:t>
      </w:r>
      <w:r>
        <w:rPr>
          <w:rFonts w:hint="eastAsia" w:ascii="仿宋_GB2312" w:hAnsi="仿宋_GB2312" w:cs="仿宋_GB2312"/>
          <w:color w:val="000000"/>
          <w:kern w:val="0"/>
          <w:sz w:val="28"/>
          <w:szCs w:val="28"/>
        </w:rPr>
        <w:t>国有资本经营预算财政拨款支出决算总体情况说明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一</w:t>
      </w:r>
      <w:r>
        <w:rPr>
          <w:rFonts w:hint="eastAsia" w:ascii="仿宋_GB2312" w:hAnsi="仿宋_GB2312" w:cs="仿宋_GB2312"/>
          <w:color w:val="000000"/>
          <w:kern w:val="0"/>
          <w:sz w:val="28"/>
          <w:szCs w:val="28"/>
        </w:rPr>
        <w:t>、一般性支出情况说明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二</w:t>
      </w:r>
      <w:r>
        <w:rPr>
          <w:rFonts w:hint="eastAsia" w:ascii="仿宋_GB2312" w:hAnsi="仿宋_GB2312" w:cs="仿宋_GB2312"/>
          <w:color w:val="000000"/>
          <w:kern w:val="0"/>
          <w:sz w:val="28"/>
          <w:szCs w:val="28"/>
        </w:rPr>
        <w:t>、政府采购支出说明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三</w:t>
      </w:r>
      <w:r>
        <w:rPr>
          <w:rFonts w:hint="eastAsia" w:ascii="仿宋_GB2312" w:hAnsi="仿宋_GB2312" w:cs="仿宋_GB2312" w:eastAsiaTheme="minorEastAsia"/>
          <w:sz w:val="28"/>
          <w:szCs w:val="28"/>
        </w:rPr>
        <w:t>、国有资产占用情况说明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四</w:t>
      </w:r>
      <w:r>
        <w:rPr>
          <w:rFonts w:hint="eastAsia" w:ascii="仿宋_GB2312" w:hAnsi="仿宋_GB2312" w:cs="仿宋_GB2312" w:eastAsiaTheme="minorEastAsia"/>
          <w:sz w:val="28"/>
          <w:szCs w:val="28"/>
        </w:rPr>
        <w:t>、</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outlineLvl w:val="0"/>
        <w:rPr>
          <w:rFonts w:hint="eastAsia"/>
          <w:sz w:val="84"/>
          <w:szCs w:val="84"/>
        </w:rPr>
      </w:pPr>
      <w:r>
        <w:rPr>
          <w:rFonts w:hint="eastAsia"/>
          <w:sz w:val="84"/>
          <w:szCs w:val="84"/>
        </w:rPr>
        <w:t>岳阳县殡葬事务中心</w:t>
      </w:r>
    </w:p>
    <w:p>
      <w:pPr>
        <w:pStyle w:val="10"/>
        <w:jc w:val="center"/>
        <w:outlineLvl w:val="0"/>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640" w:firstLineChars="200"/>
        <w:jc w:val="left"/>
        <w:rPr>
          <w:rFonts w:hint="eastAsia" w:eastAsia="仿宋_GB2312"/>
          <w:sz w:val="32"/>
          <w:szCs w:val="32"/>
        </w:rPr>
      </w:pPr>
      <w:r>
        <w:rPr>
          <w:rFonts w:hint="eastAsia" w:eastAsia="仿宋_GB2312"/>
          <w:sz w:val="32"/>
          <w:szCs w:val="32"/>
          <w:lang w:eastAsia="zh-CN"/>
        </w:rPr>
        <w:t>（一）</w:t>
      </w:r>
      <w:r>
        <w:rPr>
          <w:rFonts w:hint="eastAsia" w:eastAsia="仿宋_GB2312"/>
          <w:sz w:val="32"/>
          <w:szCs w:val="32"/>
        </w:rPr>
        <w:t>承担宣传贯彻落实国家、省、市、县有关殡葬改革和管理的方针、政策、法规和规章相关事务性工作，承担宣传和推进殡葬改革工作相关事务性工作。</w:t>
      </w:r>
    </w:p>
    <w:p>
      <w:pPr>
        <w:widowControl/>
        <w:spacing w:line="600" w:lineRule="exact"/>
        <w:ind w:firstLine="640" w:firstLineChars="200"/>
        <w:jc w:val="left"/>
        <w:rPr>
          <w:rFonts w:hint="eastAsia" w:eastAsia="仿宋_GB2312"/>
          <w:sz w:val="32"/>
          <w:szCs w:val="32"/>
        </w:rPr>
      </w:pPr>
      <w:r>
        <w:rPr>
          <w:rFonts w:hint="eastAsia" w:eastAsia="仿宋_GB2312"/>
          <w:sz w:val="32"/>
          <w:szCs w:val="32"/>
          <w:lang w:eastAsia="zh-CN"/>
        </w:rPr>
        <w:t>（二）</w:t>
      </w:r>
      <w:r>
        <w:rPr>
          <w:rFonts w:hint="eastAsia" w:eastAsia="仿宋_GB2312"/>
          <w:sz w:val="32"/>
          <w:szCs w:val="32"/>
        </w:rPr>
        <w:t>承担调查摸底全县殡葬改革相关情况，提出建议，并拟订殡葬改革规划和措施。</w:t>
      </w:r>
    </w:p>
    <w:p>
      <w:pPr>
        <w:widowControl/>
        <w:spacing w:line="600" w:lineRule="exact"/>
        <w:ind w:firstLine="640" w:firstLineChars="200"/>
        <w:jc w:val="left"/>
        <w:rPr>
          <w:rFonts w:hint="eastAsia" w:eastAsia="仿宋_GB2312"/>
          <w:sz w:val="32"/>
          <w:szCs w:val="32"/>
        </w:rPr>
      </w:pPr>
      <w:r>
        <w:rPr>
          <w:rFonts w:hint="eastAsia" w:eastAsia="仿宋_GB2312"/>
          <w:sz w:val="32"/>
          <w:szCs w:val="32"/>
          <w:lang w:eastAsia="zh-CN"/>
        </w:rPr>
        <w:t>（三）</w:t>
      </w:r>
      <w:r>
        <w:rPr>
          <w:rFonts w:hint="eastAsia" w:eastAsia="仿宋_GB2312"/>
          <w:sz w:val="32"/>
          <w:szCs w:val="32"/>
        </w:rPr>
        <w:t>协调有关部门齐抓共管，逐步推行遗体火化和公墓集中安葬，不断提高遗体火化率和公墓安葬率。</w:t>
      </w:r>
    </w:p>
    <w:p>
      <w:pPr>
        <w:widowControl/>
        <w:spacing w:line="600" w:lineRule="exact"/>
        <w:ind w:firstLine="640" w:firstLineChars="200"/>
        <w:jc w:val="left"/>
        <w:rPr>
          <w:rFonts w:hint="eastAsia" w:eastAsia="仿宋_GB2312"/>
          <w:sz w:val="32"/>
          <w:szCs w:val="32"/>
        </w:rPr>
      </w:pPr>
      <w:r>
        <w:rPr>
          <w:rFonts w:hint="eastAsia" w:eastAsia="仿宋_GB2312"/>
          <w:sz w:val="32"/>
          <w:szCs w:val="32"/>
          <w:lang w:eastAsia="zh-CN"/>
        </w:rPr>
        <w:t>（四）</w:t>
      </w:r>
      <w:r>
        <w:rPr>
          <w:rFonts w:hint="eastAsia" w:eastAsia="仿宋_GB2312"/>
          <w:sz w:val="32"/>
          <w:szCs w:val="32"/>
        </w:rPr>
        <w:t>协助督促检查全县殡葬改革和殡葬法规的执行情况，并对违反殡葬法规的行为提出行政处罚初步意见。</w:t>
      </w:r>
    </w:p>
    <w:p>
      <w:pPr>
        <w:widowControl/>
        <w:spacing w:line="600" w:lineRule="exact"/>
        <w:ind w:firstLine="640" w:firstLineChars="200"/>
        <w:jc w:val="left"/>
        <w:rPr>
          <w:rFonts w:hint="eastAsia" w:eastAsia="仿宋_GB2312"/>
          <w:sz w:val="32"/>
          <w:szCs w:val="32"/>
        </w:rPr>
      </w:pPr>
      <w:r>
        <w:rPr>
          <w:rFonts w:hint="eastAsia" w:eastAsia="仿宋_GB2312"/>
          <w:sz w:val="32"/>
          <w:szCs w:val="32"/>
          <w:lang w:eastAsia="zh-CN"/>
        </w:rPr>
        <w:t>（五）</w:t>
      </w:r>
      <w:r>
        <w:rPr>
          <w:rFonts w:hint="eastAsia" w:eastAsia="仿宋_GB2312"/>
          <w:sz w:val="32"/>
          <w:szCs w:val="32"/>
        </w:rPr>
        <w:t>做好遗体火化、公墓、丧事管理等相关事务性工作，协助丧葬用品市场管理工作。</w:t>
      </w:r>
    </w:p>
    <w:p>
      <w:pPr>
        <w:widowControl/>
        <w:spacing w:line="600" w:lineRule="exact"/>
        <w:ind w:firstLine="640" w:firstLineChars="200"/>
        <w:jc w:val="left"/>
        <w:rPr>
          <w:rFonts w:hint="eastAsia" w:eastAsia="仿宋_GB2312"/>
          <w:sz w:val="32"/>
          <w:szCs w:val="32"/>
        </w:rPr>
      </w:pPr>
      <w:r>
        <w:rPr>
          <w:rFonts w:hint="eastAsia" w:eastAsia="仿宋_GB2312"/>
          <w:sz w:val="32"/>
          <w:szCs w:val="32"/>
          <w:lang w:eastAsia="zh-CN"/>
        </w:rPr>
        <w:t>（六）</w:t>
      </w:r>
      <w:r>
        <w:rPr>
          <w:rFonts w:hint="eastAsia" w:eastAsia="仿宋_GB2312"/>
          <w:sz w:val="32"/>
          <w:szCs w:val="32"/>
        </w:rPr>
        <w:t>做好殡葬改革的宣传工作，协助乡（镇）制止和处理丧事中的封建迷信活动。</w:t>
      </w:r>
    </w:p>
    <w:p>
      <w:pPr>
        <w:widowControl/>
        <w:spacing w:line="600" w:lineRule="exact"/>
        <w:ind w:firstLine="640" w:firstLineChars="200"/>
        <w:jc w:val="left"/>
        <w:rPr>
          <w:rFonts w:hint="eastAsia" w:eastAsia="仿宋_GB2312"/>
          <w:sz w:val="32"/>
          <w:szCs w:val="32"/>
        </w:rPr>
      </w:pPr>
      <w:r>
        <w:rPr>
          <w:rFonts w:hint="eastAsia" w:eastAsia="仿宋_GB2312"/>
          <w:sz w:val="32"/>
          <w:szCs w:val="32"/>
          <w:lang w:eastAsia="zh-CN"/>
        </w:rPr>
        <w:t>（七）</w:t>
      </w:r>
      <w:r>
        <w:rPr>
          <w:rFonts w:hint="eastAsia" w:eastAsia="仿宋_GB2312"/>
          <w:sz w:val="32"/>
          <w:szCs w:val="32"/>
        </w:rPr>
        <w:t>做好殡葬服务、殡葬管理培训等工作。</w:t>
      </w:r>
    </w:p>
    <w:p>
      <w:pPr>
        <w:ind w:firstLine="640" w:firstLineChars="200"/>
        <w:jc w:val="left"/>
        <w:rPr>
          <w:rFonts w:ascii="仿宋_GB2312" w:eastAsia="仿宋_GB2312" w:hAnsiTheme="minorEastAsia"/>
          <w:sz w:val="28"/>
          <w:szCs w:val="32"/>
        </w:rPr>
      </w:pPr>
      <w:r>
        <w:rPr>
          <w:rFonts w:hint="eastAsia" w:eastAsia="仿宋_GB2312"/>
          <w:sz w:val="32"/>
          <w:szCs w:val="32"/>
          <w:lang w:eastAsia="zh-CN"/>
        </w:rPr>
        <w:t>（八）</w:t>
      </w:r>
      <w:r>
        <w:rPr>
          <w:rFonts w:hint="eastAsia" w:eastAsia="仿宋_GB2312"/>
          <w:sz w:val="32"/>
          <w:szCs w:val="32"/>
        </w:rPr>
        <w:t>承办县民政局交办的其他工作。</w:t>
      </w:r>
    </w:p>
    <w:p>
      <w:pPr>
        <w:widowControl/>
        <w:numPr>
          <w:ilvl w:val="0"/>
          <w:numId w:val="2"/>
        </w:numPr>
        <w:spacing w:line="600" w:lineRule="exact"/>
        <w:rPr>
          <w:rFonts w:hint="eastAsia" w:ascii="黑体" w:hAnsi="黑体" w:eastAsia="黑体"/>
          <w:bCs/>
          <w:kern w:val="0"/>
          <w:sz w:val="32"/>
          <w:szCs w:val="32"/>
        </w:rPr>
      </w:pPr>
      <w:r>
        <w:rPr>
          <w:rFonts w:hint="eastAsia" w:ascii="黑体" w:hAnsi="黑体" w:eastAsia="黑体"/>
          <w:bCs/>
          <w:kern w:val="0"/>
          <w:sz w:val="32"/>
          <w:szCs w:val="32"/>
        </w:rPr>
        <w:t>机构设置</w:t>
      </w:r>
    </w:p>
    <w:p>
      <w:pPr>
        <w:jc w:val="left"/>
        <w:rPr>
          <w:rFonts w:hint="eastAsia" w:eastAsia="仿宋_GB2312"/>
          <w:sz w:val="32"/>
          <w:szCs w:val="32"/>
          <w:lang w:eastAsia="zh-CN"/>
        </w:rPr>
      </w:pPr>
      <w:r>
        <w:rPr>
          <w:rFonts w:hint="eastAsia" w:eastAsia="仿宋_GB2312"/>
          <w:sz w:val="32"/>
          <w:szCs w:val="32"/>
          <w:lang w:val="en-US" w:eastAsia="zh-CN"/>
        </w:rPr>
        <w:t xml:space="preserve">    </w:t>
      </w:r>
      <w:r>
        <w:rPr>
          <w:rFonts w:hint="eastAsia" w:eastAsia="仿宋_GB2312"/>
          <w:sz w:val="32"/>
          <w:szCs w:val="32"/>
        </w:rPr>
        <w:t>本单位</w:t>
      </w:r>
      <w:r>
        <w:rPr>
          <w:rFonts w:hint="eastAsia" w:eastAsia="仿宋_GB2312"/>
          <w:sz w:val="32"/>
          <w:szCs w:val="32"/>
          <w:lang w:val="en-US" w:eastAsia="zh-CN"/>
        </w:rPr>
        <w:t>系岳阳县民政局属二级机构，内设 5个股室，分别是：办公室、殡葬执法室、殡葬服务室、殡葬事务管理室、财务室。年末实有在职人数19人。</w:t>
      </w:r>
    </w:p>
    <w:p>
      <w:pPr>
        <w:numPr>
          <w:ilvl w:val="0"/>
          <w:numId w:val="2"/>
        </w:numPr>
        <w:ind w:left="0" w:leftChars="0" w:firstLine="0" w:firstLineChars="0"/>
        <w:jc w:val="left"/>
        <w:rPr>
          <w:rFonts w:hint="eastAsia" w:ascii="黑体" w:hAnsi="黑体" w:eastAsia="黑体"/>
          <w:bCs/>
          <w:kern w:val="0"/>
          <w:sz w:val="32"/>
          <w:szCs w:val="32"/>
        </w:rPr>
      </w:pPr>
      <w:r>
        <w:rPr>
          <w:rFonts w:hint="eastAsia" w:eastAsia="仿宋_GB2312"/>
          <w:sz w:val="32"/>
          <w:szCs w:val="32"/>
          <w:lang w:val="en-US" w:eastAsia="zh-CN"/>
        </w:rPr>
        <w:t xml:space="preserve"> </w:t>
      </w:r>
      <w:r>
        <w:rPr>
          <w:rFonts w:hint="eastAsia" w:ascii="黑体" w:hAnsi="黑体" w:eastAsia="黑体"/>
          <w:bCs/>
          <w:kern w:val="0"/>
          <w:sz w:val="32"/>
          <w:szCs w:val="32"/>
        </w:rPr>
        <w:t>决算单位构成</w:t>
      </w:r>
    </w:p>
    <w:p>
      <w:pPr>
        <w:ind w:firstLine="640" w:firstLineChars="200"/>
        <w:jc w:val="left"/>
        <w:rPr>
          <w:rFonts w:ascii="仿宋_GB2312" w:eastAsia="仿宋_GB2312" w:hAnsiTheme="minorEastAsia"/>
          <w:sz w:val="28"/>
          <w:szCs w:val="32"/>
        </w:rPr>
      </w:pPr>
      <w:r>
        <w:rPr>
          <w:rFonts w:hint="eastAsia" w:eastAsia="仿宋_GB2312"/>
          <w:sz w:val="32"/>
          <w:szCs w:val="32"/>
        </w:rPr>
        <w:t>本单位没有所属</w:t>
      </w:r>
      <w:r>
        <w:rPr>
          <w:rFonts w:hint="eastAsia" w:eastAsia="仿宋_GB2312"/>
          <w:sz w:val="32"/>
          <w:szCs w:val="32"/>
          <w:lang w:val="en-US" w:eastAsia="zh-CN"/>
        </w:rPr>
        <w:t>下</w:t>
      </w:r>
      <w:r>
        <w:rPr>
          <w:rFonts w:hint="eastAsia" w:eastAsia="仿宋_GB2312"/>
          <w:sz w:val="32"/>
          <w:szCs w:val="32"/>
        </w:rPr>
        <w:t>级机构，因此本年度部门预算仅为本级部门</w:t>
      </w:r>
      <w:r>
        <w:rPr>
          <w:rFonts w:hint="eastAsia" w:eastAsia="仿宋_GB2312"/>
          <w:sz w:val="32"/>
          <w:szCs w:val="32"/>
          <w:lang w:val="en-US" w:eastAsia="zh-CN"/>
        </w:rPr>
        <w:t>决</w:t>
      </w:r>
      <w:r>
        <w:rPr>
          <w:rFonts w:hint="eastAsia" w:eastAsia="仿宋_GB2312"/>
          <w:sz w:val="32"/>
          <w:szCs w:val="32"/>
        </w:rPr>
        <w:t>算。</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jc w:val="center"/>
        <w:rPr>
          <w:rFonts w:hint="eastAsia"/>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outlineLvl w:val="0"/>
        <w:rPr>
          <w:sz w:val="70"/>
          <w:szCs w:val="70"/>
        </w:rPr>
      </w:pPr>
      <w:r>
        <w:rPr>
          <w:sz w:val="70"/>
          <w:szCs w:val="70"/>
        </w:rPr>
        <w:t>20</w:t>
      </w:r>
      <w:r>
        <w:rPr>
          <w:rFonts w:hint="eastAsia"/>
          <w:sz w:val="70"/>
          <w:szCs w:val="70"/>
        </w:rPr>
        <w:t>21年度部门决算情况说明</w:t>
      </w:r>
    </w:p>
    <w:p>
      <w:pPr>
        <w:pStyle w:val="10"/>
        <w:outlineLvl w:val="0"/>
        <w:rPr>
          <w:rFonts w:hint="eastAsia" w:hAnsi="黑体"/>
          <w:b/>
          <w:sz w:val="32"/>
          <w:szCs w:val="32"/>
        </w:rPr>
      </w:pPr>
    </w:p>
    <w:p>
      <w:pPr>
        <w:pStyle w:val="10"/>
        <w:outlineLvl w:val="0"/>
        <w:rPr>
          <w:rFonts w:hAnsi="黑体"/>
          <w:b/>
          <w:sz w:val="32"/>
          <w:szCs w:val="32"/>
        </w:rPr>
      </w:pPr>
      <w:r>
        <w:rPr>
          <w:rFonts w:hint="eastAsia" w:hAnsi="黑体"/>
          <w:b/>
          <w:sz w:val="32"/>
          <w:szCs w:val="32"/>
        </w:rPr>
        <w:t>一、收入支出决算总体情况说明</w:t>
      </w:r>
    </w:p>
    <w:p>
      <w:pPr>
        <w:pStyle w:val="10"/>
        <w:ind w:firstLine="640" w:firstLineChars="200"/>
        <w:rPr>
          <w:rFonts w:ascii="宋体" w:hAnsi="宋体" w:eastAsia="宋体"/>
          <w:color w:val="auto"/>
          <w:sz w:val="32"/>
          <w:szCs w:val="32"/>
        </w:rPr>
      </w:pPr>
      <w:r>
        <w:rPr>
          <w:rFonts w:hint="eastAsia" w:ascii="宋体" w:hAnsi="宋体" w:eastAsia="宋体"/>
          <w:sz w:val="32"/>
          <w:szCs w:val="32"/>
        </w:rPr>
        <w:t>2021年度收入总计</w:t>
      </w:r>
      <w:r>
        <w:rPr>
          <w:rFonts w:hint="eastAsia" w:ascii="宋体" w:hAnsi="宋体" w:eastAsia="宋体"/>
          <w:sz w:val="32"/>
          <w:szCs w:val="32"/>
          <w:lang w:val="en-US" w:eastAsia="zh-CN"/>
        </w:rPr>
        <w:t>333.15</w:t>
      </w:r>
      <w:r>
        <w:rPr>
          <w:rFonts w:hint="eastAsia" w:ascii="宋体" w:hAnsi="宋体" w:eastAsia="宋体"/>
          <w:sz w:val="32"/>
          <w:szCs w:val="32"/>
        </w:rPr>
        <w:t>万元</w:t>
      </w:r>
      <w:r>
        <w:rPr>
          <w:rFonts w:hint="eastAsia" w:ascii="宋体" w:hAnsi="宋体" w:eastAsia="宋体"/>
          <w:color w:val="000000"/>
          <w:sz w:val="32"/>
          <w:szCs w:val="32"/>
        </w:rPr>
        <w:t>（含年初结转和结余资金</w:t>
      </w:r>
      <w:r>
        <w:rPr>
          <w:rFonts w:hint="eastAsia" w:ascii="宋体" w:hAnsi="宋体" w:eastAsia="宋体"/>
          <w:color w:val="000000"/>
          <w:sz w:val="32"/>
          <w:szCs w:val="32"/>
          <w:lang w:val="en-US" w:eastAsia="zh-CN"/>
        </w:rPr>
        <w:t>10.85</w:t>
      </w:r>
      <w:r>
        <w:rPr>
          <w:rFonts w:hint="eastAsia" w:ascii="宋体" w:hAnsi="宋体" w:eastAsia="宋体"/>
          <w:color w:val="000000"/>
          <w:sz w:val="32"/>
          <w:szCs w:val="32"/>
        </w:rPr>
        <w:t>万元），</w:t>
      </w:r>
      <w:r>
        <w:rPr>
          <w:rFonts w:hint="eastAsia" w:ascii="宋体" w:hAnsi="宋体" w:eastAsia="宋体"/>
          <w:color w:val="auto"/>
          <w:sz w:val="32"/>
          <w:szCs w:val="32"/>
        </w:rPr>
        <w:t>与上年相比，减少</w:t>
      </w:r>
      <w:r>
        <w:rPr>
          <w:rFonts w:hint="eastAsia" w:ascii="宋体" w:hAnsi="宋体" w:eastAsia="宋体"/>
          <w:color w:val="auto"/>
          <w:sz w:val="32"/>
          <w:szCs w:val="32"/>
          <w:lang w:val="en-US" w:eastAsia="zh-CN"/>
        </w:rPr>
        <w:t>9.18</w:t>
      </w:r>
      <w:r>
        <w:rPr>
          <w:rFonts w:hint="eastAsia" w:ascii="宋体" w:hAnsi="宋体" w:eastAsia="宋体"/>
          <w:color w:val="auto"/>
          <w:sz w:val="32"/>
          <w:szCs w:val="32"/>
        </w:rPr>
        <w:t>万元，减少</w:t>
      </w:r>
      <w:r>
        <w:rPr>
          <w:rFonts w:hint="eastAsia" w:ascii="宋体" w:hAnsi="宋体" w:eastAsia="宋体"/>
          <w:color w:val="auto"/>
          <w:sz w:val="32"/>
          <w:szCs w:val="32"/>
          <w:lang w:val="en-US" w:eastAsia="zh-CN"/>
        </w:rPr>
        <w:t>2.68</w:t>
      </w:r>
      <w:r>
        <w:rPr>
          <w:rFonts w:hint="eastAsia" w:ascii="宋体" w:hAnsi="宋体" w:eastAsia="宋体"/>
          <w:color w:val="auto"/>
          <w:sz w:val="32"/>
          <w:szCs w:val="32"/>
        </w:rPr>
        <w:t>%，主要是因为</w:t>
      </w:r>
      <w:r>
        <w:rPr>
          <w:rFonts w:hint="eastAsia" w:ascii="宋体" w:hAnsi="宋体" w:eastAsia="宋体"/>
          <w:color w:val="auto"/>
          <w:sz w:val="32"/>
          <w:szCs w:val="32"/>
          <w:lang w:val="en-US" w:eastAsia="zh-CN"/>
        </w:rPr>
        <w:t>人员退休原因</w:t>
      </w:r>
      <w:r>
        <w:rPr>
          <w:rFonts w:hint="eastAsia" w:ascii="宋体" w:hAnsi="宋体" w:eastAsia="宋体"/>
          <w:color w:val="auto"/>
          <w:sz w:val="32"/>
          <w:szCs w:val="32"/>
        </w:rPr>
        <w:t>。</w:t>
      </w:r>
    </w:p>
    <w:p>
      <w:pPr>
        <w:pStyle w:val="10"/>
        <w:ind w:firstLine="640" w:firstLineChars="200"/>
        <w:rPr>
          <w:rFonts w:ascii="宋体" w:hAnsi="宋体" w:eastAsia="宋体"/>
          <w:sz w:val="32"/>
          <w:szCs w:val="32"/>
        </w:rPr>
      </w:pPr>
      <w:r>
        <w:rPr>
          <w:rFonts w:hint="eastAsia" w:ascii="宋体" w:hAnsi="宋体" w:eastAsia="宋体"/>
          <w:color w:val="auto"/>
          <w:sz w:val="32"/>
          <w:szCs w:val="32"/>
        </w:rPr>
        <w:t>2021年度支出总计</w:t>
      </w:r>
      <w:r>
        <w:rPr>
          <w:rFonts w:hint="eastAsia" w:ascii="宋体" w:hAnsi="宋体" w:eastAsia="宋体"/>
          <w:color w:val="auto"/>
          <w:sz w:val="32"/>
          <w:szCs w:val="32"/>
          <w:lang w:val="en-US" w:eastAsia="zh-CN"/>
        </w:rPr>
        <w:t>333.15</w:t>
      </w:r>
      <w:r>
        <w:rPr>
          <w:rFonts w:hint="eastAsia" w:ascii="宋体" w:hAnsi="宋体" w:eastAsia="宋体"/>
          <w:color w:val="auto"/>
          <w:sz w:val="32"/>
          <w:szCs w:val="32"/>
        </w:rPr>
        <w:t>万元</w:t>
      </w:r>
      <w:r>
        <w:rPr>
          <w:rFonts w:hint="eastAsia" w:ascii="宋体" w:hAnsi="宋体" w:eastAsia="宋体"/>
          <w:color w:val="000000"/>
          <w:sz w:val="32"/>
          <w:szCs w:val="32"/>
        </w:rPr>
        <w:t>（含年初结转和结余资金</w:t>
      </w:r>
      <w:r>
        <w:rPr>
          <w:rFonts w:hint="eastAsia" w:ascii="宋体" w:hAnsi="宋体" w:eastAsia="宋体"/>
          <w:color w:val="000000"/>
          <w:sz w:val="32"/>
          <w:szCs w:val="32"/>
          <w:lang w:val="en-US" w:eastAsia="zh-CN"/>
        </w:rPr>
        <w:t>2.27</w:t>
      </w:r>
      <w:r>
        <w:rPr>
          <w:rFonts w:hint="eastAsia" w:ascii="宋体" w:hAnsi="宋体" w:eastAsia="宋体"/>
          <w:color w:val="000000"/>
          <w:sz w:val="32"/>
          <w:szCs w:val="32"/>
        </w:rPr>
        <w:t>万元）</w:t>
      </w:r>
      <w:r>
        <w:rPr>
          <w:rFonts w:hint="eastAsia" w:ascii="宋体" w:hAnsi="宋体" w:eastAsia="宋体"/>
          <w:sz w:val="32"/>
          <w:szCs w:val="32"/>
        </w:rPr>
        <w:t>，与上年相比，减少</w:t>
      </w:r>
      <w:r>
        <w:rPr>
          <w:rFonts w:hint="eastAsia" w:ascii="宋体" w:hAnsi="宋体" w:eastAsia="宋体"/>
          <w:sz w:val="32"/>
          <w:szCs w:val="32"/>
          <w:lang w:val="en-US" w:eastAsia="zh-CN"/>
        </w:rPr>
        <w:t>9.18</w:t>
      </w:r>
      <w:r>
        <w:rPr>
          <w:rFonts w:hint="eastAsia" w:ascii="宋体" w:hAnsi="宋体" w:eastAsia="宋体"/>
          <w:sz w:val="32"/>
          <w:szCs w:val="32"/>
        </w:rPr>
        <w:t>万元，减少</w:t>
      </w:r>
      <w:r>
        <w:rPr>
          <w:rFonts w:hint="eastAsia" w:ascii="宋体" w:hAnsi="宋体" w:eastAsia="宋体"/>
          <w:sz w:val="32"/>
          <w:szCs w:val="32"/>
          <w:lang w:val="en-US" w:eastAsia="zh-CN"/>
        </w:rPr>
        <w:t>2.68</w:t>
      </w:r>
      <w:r>
        <w:rPr>
          <w:rFonts w:hint="eastAsia" w:ascii="宋体" w:hAnsi="宋体" w:eastAsia="宋体"/>
          <w:sz w:val="32"/>
          <w:szCs w:val="32"/>
        </w:rPr>
        <w:t>%，主要是因为</w:t>
      </w:r>
      <w:r>
        <w:rPr>
          <w:rFonts w:hint="eastAsia" w:ascii="宋体" w:hAnsi="宋体" w:eastAsia="宋体"/>
          <w:sz w:val="32"/>
          <w:szCs w:val="32"/>
          <w:lang w:val="en-US" w:eastAsia="zh-CN"/>
        </w:rPr>
        <w:t>人员退休原因</w:t>
      </w:r>
      <w:r>
        <w:rPr>
          <w:rFonts w:hint="eastAsia" w:ascii="宋体" w:hAnsi="宋体" w:eastAsia="宋体"/>
          <w:sz w:val="32"/>
          <w:szCs w:val="32"/>
        </w:rPr>
        <w:t>。</w:t>
      </w:r>
    </w:p>
    <w:p>
      <w:pPr>
        <w:pStyle w:val="10"/>
        <w:outlineLvl w:val="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收入合计</w:t>
      </w:r>
      <w:r>
        <w:rPr>
          <w:rFonts w:hint="eastAsia" w:asciiTheme="minorEastAsia" w:hAnsiTheme="minorEastAsia" w:eastAsiaTheme="minorEastAsia"/>
          <w:sz w:val="32"/>
          <w:szCs w:val="32"/>
          <w:lang w:val="en-US" w:eastAsia="zh-CN"/>
        </w:rPr>
        <w:t>322.30</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117.00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36.3</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205.30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63.7</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rPr>
        <w:t>三、支出决算情况说明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支出合计</w:t>
      </w:r>
      <w:r>
        <w:rPr>
          <w:rFonts w:hint="eastAsia" w:asciiTheme="minorEastAsia" w:hAnsiTheme="minorEastAsia" w:eastAsiaTheme="minorEastAsia"/>
          <w:sz w:val="32"/>
          <w:szCs w:val="32"/>
          <w:lang w:val="en-US" w:eastAsia="zh-CN"/>
        </w:rPr>
        <w:t>330.88</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118.93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35.94</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211.95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64.06</w:t>
      </w:r>
      <w:r>
        <w:rPr>
          <w:rFonts w:hint="eastAsia" w:asciiTheme="minorEastAsia" w:hAnsiTheme="minorEastAsia" w:eastAsiaTheme="minorEastAsia"/>
          <w:sz w:val="32"/>
          <w:szCs w:val="32"/>
        </w:rPr>
        <w:t>%。</w:t>
      </w:r>
    </w:p>
    <w:p>
      <w:pPr>
        <w:pStyle w:val="10"/>
        <w:ind w:firstLine="640" w:firstLineChars="200"/>
        <w:rPr>
          <w:rFonts w:hAnsi="黑体"/>
          <w:b/>
          <w:sz w:val="32"/>
          <w:szCs w:val="32"/>
        </w:rPr>
      </w:pPr>
      <w:r>
        <w:rPr>
          <w:rFonts w:hint="eastAsia" w:hAnsi="黑体"/>
          <w:b/>
          <w:sz w:val="32"/>
          <w:szCs w:val="32"/>
        </w:rPr>
        <w:t>四、财政拨款收入支出决算总体情况说明</w:t>
      </w:r>
    </w:p>
    <w:p>
      <w:pPr>
        <w:pStyle w:val="10"/>
        <w:ind w:firstLine="640"/>
        <w:rPr>
          <w:rFonts w:hint="eastAsia" w:ascii="宋体" w:hAnsi="宋体" w:eastAsia="宋体"/>
          <w:sz w:val="32"/>
          <w:szCs w:val="32"/>
        </w:rPr>
      </w:pPr>
      <w:r>
        <w:rPr>
          <w:rFonts w:hint="eastAsia" w:asciiTheme="minorEastAsia" w:hAnsiTheme="minorEastAsia" w:eastAsiaTheme="minorEastAsia"/>
          <w:sz w:val="32"/>
          <w:szCs w:val="32"/>
        </w:rPr>
        <w:t xml:space="preserve"> </w:t>
      </w:r>
      <w:r>
        <w:rPr>
          <w:rFonts w:hint="eastAsia" w:ascii="宋体" w:hAnsi="宋体" w:eastAsia="宋体"/>
          <w:sz w:val="32"/>
          <w:szCs w:val="32"/>
        </w:rPr>
        <w:t>2021年度财政拨款收入合计</w:t>
      </w:r>
      <w:r>
        <w:rPr>
          <w:rFonts w:hint="eastAsia" w:asciiTheme="minorEastAsia" w:hAnsiTheme="minorEastAsia" w:eastAsiaTheme="minorEastAsia"/>
          <w:sz w:val="32"/>
          <w:szCs w:val="32"/>
          <w:lang w:val="en-US" w:eastAsia="zh-CN"/>
        </w:rPr>
        <w:t>117</w:t>
      </w:r>
      <w:r>
        <w:rPr>
          <w:rFonts w:hint="eastAsia" w:ascii="宋体" w:hAnsi="宋体" w:eastAsia="宋体"/>
          <w:sz w:val="32"/>
          <w:szCs w:val="32"/>
        </w:rPr>
        <w:t>万元（不含年初财政拨款结转和结余资金），与上年相比，减少</w:t>
      </w:r>
      <w:r>
        <w:rPr>
          <w:rFonts w:hint="eastAsia" w:ascii="宋体" w:hAnsi="宋体" w:eastAsia="宋体"/>
          <w:sz w:val="32"/>
          <w:szCs w:val="32"/>
          <w:lang w:val="en-US" w:eastAsia="zh-CN"/>
        </w:rPr>
        <w:t>20.72</w:t>
      </w:r>
      <w:r>
        <w:rPr>
          <w:rFonts w:hint="eastAsia" w:ascii="宋体" w:hAnsi="宋体" w:eastAsia="宋体"/>
          <w:sz w:val="32"/>
          <w:szCs w:val="32"/>
        </w:rPr>
        <w:t>万元,减少</w:t>
      </w:r>
      <w:r>
        <w:rPr>
          <w:rFonts w:hint="eastAsia" w:ascii="宋体" w:hAnsi="宋体" w:eastAsia="宋体"/>
          <w:sz w:val="32"/>
          <w:szCs w:val="32"/>
          <w:lang w:val="en-US" w:eastAsia="zh-CN"/>
        </w:rPr>
        <w:t>15.05</w:t>
      </w:r>
      <w:r>
        <w:rPr>
          <w:rFonts w:hint="eastAsia" w:ascii="宋体" w:hAnsi="宋体" w:eastAsia="宋体"/>
          <w:sz w:val="32"/>
          <w:szCs w:val="32"/>
        </w:rPr>
        <w:t>%，主要是因为</w:t>
      </w:r>
      <w:r>
        <w:rPr>
          <w:rFonts w:hint="eastAsia" w:ascii="宋体" w:hAnsi="宋体" w:eastAsia="宋体"/>
          <w:sz w:val="32"/>
          <w:szCs w:val="32"/>
          <w:lang w:val="en-US" w:eastAsia="zh-CN"/>
        </w:rPr>
        <w:t>人员退休原因</w:t>
      </w:r>
      <w:r>
        <w:rPr>
          <w:rFonts w:hint="eastAsia" w:ascii="宋体" w:hAnsi="宋体" w:eastAsia="宋体"/>
          <w:sz w:val="32"/>
          <w:szCs w:val="32"/>
        </w:rPr>
        <w:t>。</w:t>
      </w:r>
    </w:p>
    <w:p>
      <w:pPr>
        <w:pStyle w:val="10"/>
        <w:ind w:firstLine="640"/>
        <w:rPr>
          <w:rFonts w:hint="eastAsia" w:ascii="宋体" w:hAnsi="宋体" w:eastAsia="宋体"/>
          <w:sz w:val="32"/>
          <w:szCs w:val="32"/>
        </w:rPr>
      </w:pPr>
      <w:r>
        <w:rPr>
          <w:rFonts w:hint="eastAsia" w:ascii="宋体" w:hAnsi="宋体" w:eastAsia="宋体"/>
          <w:sz w:val="32"/>
          <w:szCs w:val="32"/>
        </w:rPr>
        <w:t>2021年度财政拨款支出合计</w:t>
      </w:r>
      <w:r>
        <w:rPr>
          <w:rFonts w:hint="eastAsia" w:ascii="宋体" w:hAnsi="宋体" w:eastAsia="宋体"/>
          <w:sz w:val="32"/>
          <w:szCs w:val="32"/>
          <w:lang w:val="en-US" w:eastAsia="zh-CN"/>
        </w:rPr>
        <w:t>123.02</w:t>
      </w:r>
      <w:r>
        <w:rPr>
          <w:rFonts w:hint="eastAsia" w:ascii="宋体" w:hAnsi="宋体" w:eastAsia="宋体"/>
          <w:sz w:val="32"/>
          <w:szCs w:val="32"/>
        </w:rPr>
        <w:t>万元（不含年末财政拨款结转和结余资金），与上年相比，减少</w:t>
      </w:r>
      <w:r>
        <w:rPr>
          <w:rFonts w:hint="eastAsia" w:ascii="宋体" w:hAnsi="宋体" w:eastAsia="宋体"/>
          <w:sz w:val="32"/>
          <w:szCs w:val="32"/>
          <w:lang w:val="en-US" w:eastAsia="zh-CN"/>
        </w:rPr>
        <w:t>13.26</w:t>
      </w:r>
      <w:r>
        <w:rPr>
          <w:rFonts w:hint="eastAsia" w:ascii="宋体" w:hAnsi="宋体" w:eastAsia="宋体"/>
          <w:sz w:val="32"/>
          <w:szCs w:val="32"/>
        </w:rPr>
        <w:t>万元,减少</w:t>
      </w:r>
      <w:r>
        <w:rPr>
          <w:rFonts w:hint="eastAsia" w:ascii="宋体" w:hAnsi="宋体" w:eastAsia="宋体"/>
          <w:sz w:val="32"/>
          <w:szCs w:val="32"/>
          <w:lang w:val="en-US" w:eastAsia="zh-CN"/>
        </w:rPr>
        <w:t>9.73</w:t>
      </w:r>
      <w:r>
        <w:rPr>
          <w:rFonts w:hint="eastAsia" w:ascii="宋体" w:hAnsi="宋体" w:eastAsia="宋体"/>
          <w:sz w:val="32"/>
          <w:szCs w:val="32"/>
        </w:rPr>
        <w:t>%，主要是因为</w:t>
      </w:r>
      <w:r>
        <w:rPr>
          <w:rFonts w:hint="eastAsia" w:ascii="宋体" w:hAnsi="宋体" w:eastAsia="宋体"/>
          <w:sz w:val="32"/>
          <w:szCs w:val="32"/>
          <w:lang w:val="en-US" w:eastAsia="zh-CN"/>
        </w:rPr>
        <w:t>人员退休原因</w:t>
      </w:r>
      <w:r>
        <w:rPr>
          <w:rFonts w:hint="eastAsia" w:ascii="宋体" w:hAnsi="宋体" w:eastAsia="宋体"/>
          <w:sz w:val="32"/>
          <w:szCs w:val="32"/>
        </w:rPr>
        <w:t>。</w:t>
      </w:r>
    </w:p>
    <w:p>
      <w:pPr>
        <w:pStyle w:val="10"/>
        <w:outlineLvl w:val="0"/>
        <w:rPr>
          <w:rFonts w:hAnsi="黑体"/>
          <w:b/>
          <w:sz w:val="32"/>
          <w:szCs w:val="32"/>
        </w:rPr>
      </w:pPr>
      <w:r>
        <w:rPr>
          <w:rFonts w:hint="eastAsia" w:hAnsi="黑体"/>
          <w:b/>
          <w:sz w:val="32"/>
          <w:szCs w:val="32"/>
        </w:rPr>
        <w:t>五、一般公共预算财政拨款支出决算情况说明</w:t>
      </w:r>
    </w:p>
    <w:p>
      <w:pPr>
        <w:pStyle w:val="10"/>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宋体" w:hAnsi="宋体" w:eastAsia="宋体"/>
          <w:sz w:val="32"/>
          <w:szCs w:val="32"/>
          <w:lang w:val="en-US" w:eastAsia="zh-CN"/>
        </w:rPr>
        <w:t>123.02</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37.18</w:t>
      </w:r>
      <w:r>
        <w:rPr>
          <w:rFonts w:hint="eastAsia" w:asciiTheme="minorEastAsia" w:hAnsiTheme="minorEastAsia" w:eastAsiaTheme="minorEastAsia"/>
          <w:sz w:val="32"/>
          <w:szCs w:val="32"/>
        </w:rPr>
        <w:t>%，与上年相比，财政拨款支出</w:t>
      </w:r>
      <w:r>
        <w:rPr>
          <w:rFonts w:hint="eastAsia" w:ascii="宋体" w:hAnsi="宋体" w:eastAsia="宋体"/>
          <w:sz w:val="32"/>
          <w:szCs w:val="32"/>
        </w:rPr>
        <w:t>减少</w:t>
      </w:r>
      <w:r>
        <w:rPr>
          <w:rFonts w:hint="eastAsia" w:ascii="宋体" w:hAnsi="宋体" w:eastAsia="宋体"/>
          <w:sz w:val="32"/>
          <w:szCs w:val="32"/>
          <w:lang w:val="en-US" w:eastAsia="zh-CN"/>
        </w:rPr>
        <w:t>13.26</w:t>
      </w:r>
      <w:r>
        <w:rPr>
          <w:rFonts w:hint="eastAsia" w:ascii="宋体" w:hAnsi="宋体" w:eastAsia="宋体"/>
          <w:sz w:val="32"/>
          <w:szCs w:val="32"/>
        </w:rPr>
        <w:t>万元,减少</w:t>
      </w:r>
      <w:r>
        <w:rPr>
          <w:rFonts w:hint="eastAsia" w:ascii="宋体" w:hAnsi="宋体" w:eastAsia="宋体"/>
          <w:sz w:val="32"/>
          <w:szCs w:val="32"/>
          <w:lang w:val="en-US" w:eastAsia="zh-CN"/>
        </w:rPr>
        <w:t>9.73</w:t>
      </w:r>
      <w:r>
        <w:rPr>
          <w:rFonts w:hint="eastAsia" w:ascii="宋体" w:hAnsi="宋体" w:eastAsia="宋体"/>
          <w:sz w:val="32"/>
          <w:szCs w:val="32"/>
        </w:rPr>
        <w:t>%，主要是因为</w:t>
      </w:r>
      <w:r>
        <w:rPr>
          <w:rFonts w:hint="eastAsia" w:ascii="宋体" w:hAnsi="宋体" w:eastAsia="宋体"/>
          <w:sz w:val="32"/>
          <w:szCs w:val="32"/>
          <w:lang w:val="en-US" w:eastAsia="zh-CN"/>
        </w:rPr>
        <w:t>人员退休原因</w:t>
      </w:r>
      <w:r>
        <w:rPr>
          <w:rFonts w:hint="eastAsia" w:ascii="宋体" w:hAnsi="宋体" w:eastAsia="宋体"/>
          <w:sz w:val="32"/>
          <w:szCs w:val="32"/>
        </w:rPr>
        <w:t>。</w:t>
      </w:r>
    </w:p>
    <w:p>
      <w:pPr>
        <w:pStyle w:val="10"/>
        <w:ind w:firstLine="480" w:firstLineChars="1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宋体" w:hAnsi="宋体" w:eastAsia="宋体"/>
          <w:sz w:val="32"/>
          <w:szCs w:val="32"/>
          <w:lang w:val="en-US" w:eastAsia="zh-CN"/>
        </w:rPr>
        <w:t>123.02</w:t>
      </w:r>
      <w:r>
        <w:rPr>
          <w:rFonts w:hint="eastAsia" w:asciiTheme="minorEastAsia" w:hAnsiTheme="minorEastAsia" w:eastAsiaTheme="minorEastAsia"/>
          <w:sz w:val="32"/>
          <w:szCs w:val="32"/>
        </w:rPr>
        <w:t>万元，主要用于以下方面：社会保障和就业（类）支出</w:t>
      </w:r>
      <w:r>
        <w:rPr>
          <w:rFonts w:hint="eastAsia" w:ascii="宋体" w:hAnsi="宋体" w:eastAsia="宋体"/>
          <w:sz w:val="32"/>
          <w:szCs w:val="32"/>
          <w:lang w:val="en-US" w:eastAsia="zh-CN"/>
        </w:rPr>
        <w:t>123.02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pPr>
        <w:pStyle w:val="10"/>
        <w:ind w:firstLine="800" w:firstLineChars="2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117</w:t>
      </w:r>
      <w:r>
        <w:rPr>
          <w:rFonts w:hint="eastAsia" w:asciiTheme="minorEastAsia" w:hAnsiTheme="minorEastAsia" w:eastAsiaTheme="minorEastAsia"/>
          <w:sz w:val="32"/>
          <w:szCs w:val="32"/>
        </w:rPr>
        <w:t>万元，支出决算数为</w:t>
      </w:r>
      <w:r>
        <w:rPr>
          <w:rFonts w:hint="eastAsia" w:ascii="宋体" w:hAnsi="宋体" w:eastAsia="宋体"/>
          <w:sz w:val="32"/>
          <w:szCs w:val="32"/>
          <w:lang w:val="en-US" w:eastAsia="zh-CN"/>
        </w:rPr>
        <w:t>123.02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105.15</w:t>
      </w:r>
      <w:r>
        <w:rPr>
          <w:rFonts w:hint="eastAsia" w:asciiTheme="minorEastAsia" w:hAnsiTheme="minorEastAsia" w:eastAsiaTheme="minorEastAsia"/>
          <w:sz w:val="32"/>
          <w:szCs w:val="32"/>
        </w:rPr>
        <w:t>%，其中：</w:t>
      </w:r>
    </w:p>
    <w:p>
      <w:pPr>
        <w:pStyle w:val="10"/>
        <w:ind w:firstLine="800" w:firstLineChars="25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1、社会保障和就业支出（类）民政管理事务（款）</w:t>
      </w:r>
      <w:r>
        <w:rPr>
          <w:rFonts w:hint="eastAsia" w:asciiTheme="minorEastAsia" w:hAnsiTheme="minorEastAsia" w:eastAsiaTheme="minorEastAsia"/>
          <w:sz w:val="32"/>
          <w:szCs w:val="32"/>
          <w:lang w:val="en-US" w:eastAsia="zh-CN"/>
        </w:rPr>
        <w:t>行政运行</w:t>
      </w:r>
      <w:r>
        <w:rPr>
          <w:rFonts w:hint="eastAsia" w:asciiTheme="minorEastAsia" w:hAnsiTheme="minorEastAsia" w:eastAsiaTheme="minorEastAsia"/>
          <w:sz w:val="32"/>
          <w:szCs w:val="32"/>
        </w:rPr>
        <w:t>（项）。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65.16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93.09</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val="en-US" w:eastAsia="zh-CN"/>
        </w:rPr>
        <w:t>优先使用上年度结余资金。</w:t>
      </w:r>
    </w:p>
    <w:p>
      <w:pPr>
        <w:pStyle w:val="10"/>
        <w:ind w:firstLine="800" w:firstLineChars="25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2、社会保障和就业支出（类）</w:t>
      </w:r>
      <w:r>
        <w:rPr>
          <w:rFonts w:hint="eastAsia" w:asciiTheme="minorEastAsia" w:hAnsiTheme="minorEastAsia" w:eastAsiaTheme="minorEastAsia"/>
          <w:sz w:val="32"/>
          <w:szCs w:val="32"/>
          <w:lang w:val="en-US" w:eastAsia="zh-CN"/>
        </w:rPr>
        <w:t>社会福利</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殡葬</w:t>
      </w:r>
      <w:r>
        <w:rPr>
          <w:rFonts w:hint="eastAsia" w:asciiTheme="minorEastAsia" w:hAnsiTheme="minorEastAsia" w:eastAsiaTheme="minorEastAsia"/>
          <w:sz w:val="32"/>
          <w:szCs w:val="32"/>
        </w:rPr>
        <w:t>（项）。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57.86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123.11</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当年度项目支出增加及结算时间差异原因。</w:t>
      </w:r>
    </w:p>
    <w:p>
      <w:pPr>
        <w:pStyle w:val="10"/>
        <w:outlineLvl w:val="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宋体" w:hAnsi="宋体" w:eastAsia="宋体"/>
          <w:sz w:val="32"/>
          <w:szCs w:val="32"/>
          <w:lang w:val="en-US" w:eastAsia="zh-CN"/>
        </w:rPr>
        <w:t>65.1</w:t>
      </w:r>
      <w:r>
        <w:rPr>
          <w:rFonts w:hint="default" w:ascii="宋体" w:hAnsi="宋体" w:eastAsia="宋体"/>
          <w:sz w:val="32"/>
          <w:szCs w:val="32"/>
          <w:lang w:val="en-US" w:eastAsia="zh-CN"/>
        </w:rPr>
        <w:t>6</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53.17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81.6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包括基本工资、津贴补贴、奖金、其他社会保障缴费、伙食补助费、绩效工资、机关事业单位基本养老保险缴费、职业年金缴费、其他工资福利支出、医疗费、奖励金、住房公积金、其他对个人和家庭的补助支出；</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18.4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主要包括：办公费、印刷费、水费、电费、咨询费、邮电费、物业管理费、差旅费、维修（护）费、租赁费、培训费、劳务费、工会经费、其他交通费用、其他商品和服务支出等。</w:t>
      </w:r>
    </w:p>
    <w:p>
      <w:pPr>
        <w:pStyle w:val="10"/>
        <w:outlineLvl w:val="0"/>
        <w:rPr>
          <w:rFonts w:hAnsi="黑体"/>
          <w:b/>
          <w:sz w:val="32"/>
          <w:szCs w:val="32"/>
        </w:rPr>
      </w:pPr>
      <w:r>
        <w:rPr>
          <w:rFonts w:hint="eastAsia" w:hAnsi="黑体"/>
          <w:b/>
          <w:sz w:val="32"/>
          <w:szCs w:val="32"/>
        </w:rPr>
        <w:t>七、一般公共预算财政拨款“三公”经费支出决算情况说明</w:t>
      </w:r>
    </w:p>
    <w:p>
      <w:pPr>
        <w:pStyle w:val="1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4.67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93.4</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决算数等于预算数的主要是疫情影响，今年未安排出国出境。</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与上年持平</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与上年持平</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4.67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93.4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原因为部分支出用项目资金支付所致</w:t>
      </w:r>
      <w:r>
        <w:rPr>
          <w:rFonts w:hint="eastAsia" w:asciiTheme="minorEastAsia" w:hAnsiTheme="minorEastAsia" w:eastAsiaTheme="minorEastAsia"/>
          <w:sz w:val="32"/>
          <w:szCs w:val="32"/>
        </w:rPr>
        <w:t>。</w:t>
      </w:r>
    </w:p>
    <w:p>
      <w:pPr>
        <w:pStyle w:val="1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4.67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0"/>
        <w:ind w:firstLine="960" w:firstLineChars="3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因疫情原因，本单位无公务接待支出</w:t>
      </w:r>
      <w:r>
        <w:rPr>
          <w:rFonts w:hint="eastAsia" w:asciiTheme="minorEastAsia" w:hAnsiTheme="minorEastAsia" w:eastAsiaTheme="minorEastAsia"/>
          <w:sz w:val="32"/>
          <w:szCs w:val="32"/>
        </w:rPr>
        <w:t>。</w:t>
      </w:r>
    </w:p>
    <w:p>
      <w:pPr>
        <w:ind w:firstLine="800" w:firstLineChars="250"/>
        <w:rPr>
          <w:rFonts w:hint="eastAsia" w:cs="黑体" w:asciiTheme="minorEastAsia" w:hAnsiTheme="minorEastAsia"/>
          <w:i/>
          <w:color w:val="FF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4.67</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万元，公务用车运行维护费</w:t>
      </w:r>
      <w:r>
        <w:rPr>
          <w:rFonts w:hint="eastAsia" w:asciiTheme="minorEastAsia" w:hAnsiTheme="minorEastAsia"/>
          <w:sz w:val="32"/>
          <w:szCs w:val="32"/>
          <w:lang w:val="en-US" w:eastAsia="zh-CN"/>
        </w:rPr>
        <w:t>4.67</w:t>
      </w:r>
      <w:r>
        <w:rPr>
          <w:rFonts w:hint="eastAsia" w:asciiTheme="minorEastAsia" w:hAnsi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sz w:val="32"/>
          <w:szCs w:val="32"/>
        </w:rPr>
        <w:t>截止2021年12月31日，我单位开支财政拨款的</w:t>
      </w:r>
      <w:r>
        <w:rPr>
          <w:rFonts w:hint="eastAsia" w:asciiTheme="minorEastAsia" w:hAnsiTheme="minorEastAsia"/>
          <w:sz w:val="32"/>
          <w:szCs w:val="32"/>
          <w:lang w:val="en-US" w:eastAsia="zh-CN"/>
        </w:rPr>
        <w:t>公务</w:t>
      </w:r>
      <w:r>
        <w:rPr>
          <w:rFonts w:hint="eastAsia" w:asciiTheme="minorEastAsia" w:hAnsiTheme="minorEastAsia"/>
          <w:sz w:val="32"/>
          <w:szCs w:val="32"/>
        </w:rPr>
        <w:t>用车保有量为</w:t>
      </w:r>
      <w:r>
        <w:rPr>
          <w:rFonts w:hint="eastAsia" w:asciiTheme="minorEastAsia" w:hAnsiTheme="minorEastAsia"/>
          <w:sz w:val="32"/>
          <w:szCs w:val="32"/>
          <w:lang w:val="en-US" w:eastAsia="zh-CN"/>
        </w:rPr>
        <w:t>3</w:t>
      </w:r>
      <w:r>
        <w:rPr>
          <w:rFonts w:hint="eastAsia" w:asciiTheme="minorEastAsia" w:hAnsiTheme="minorEastAsia"/>
          <w:sz w:val="32"/>
          <w:szCs w:val="32"/>
        </w:rPr>
        <w:t>辆。</w:t>
      </w:r>
    </w:p>
    <w:p>
      <w:pPr>
        <w:pStyle w:val="10"/>
        <w:outlineLvl w:val="0"/>
        <w:rPr>
          <w:rFonts w:hAnsi="黑体"/>
          <w:b/>
          <w:sz w:val="32"/>
          <w:szCs w:val="32"/>
        </w:rPr>
      </w:pPr>
      <w:r>
        <w:rPr>
          <w:rFonts w:hint="eastAsia" w:hAnsi="黑体"/>
          <w:b/>
          <w:sz w:val="32"/>
          <w:szCs w:val="32"/>
        </w:rPr>
        <w:t>八、政府性基金预算收入支出决算情况</w:t>
      </w:r>
    </w:p>
    <w:p>
      <w:pPr>
        <w:ind w:firstLine="800" w:firstLineChars="250"/>
        <w:rPr>
          <w:rFonts w:hint="eastAsia" w:asciiTheme="minorEastAsia" w:hAnsiTheme="minorEastAsia"/>
          <w:sz w:val="32"/>
          <w:szCs w:val="32"/>
          <w:lang w:val="en-US" w:eastAsia="zh-CN"/>
        </w:rPr>
      </w:pPr>
      <w:r>
        <w:rPr>
          <w:rFonts w:hint="eastAsia" w:asciiTheme="minorEastAsia" w:hAnsiTheme="minorEastAsia"/>
          <w:sz w:val="32"/>
          <w:szCs w:val="32"/>
        </w:rPr>
        <w:t>2021年度本单位无政府性基金收支</w:t>
      </w:r>
      <w:r>
        <w:rPr>
          <w:rFonts w:hint="eastAsia" w:asciiTheme="minorEastAsia" w:hAnsiTheme="minorEastAsia"/>
          <w:sz w:val="32"/>
          <w:szCs w:val="32"/>
          <w:lang w:eastAsia="zh-CN"/>
        </w:rPr>
        <w:t>。</w:t>
      </w:r>
    </w:p>
    <w:p>
      <w:pPr>
        <w:pStyle w:val="10"/>
        <w:numPr>
          <w:ilvl w:val="0"/>
          <w:numId w:val="3"/>
        </w:numPr>
        <w:outlineLvl w:val="0"/>
        <w:rPr>
          <w:rFonts w:hint="eastAsia" w:hAnsi="黑体"/>
          <w:b/>
          <w:sz w:val="32"/>
          <w:szCs w:val="32"/>
          <w:lang w:eastAsia="zh-CN"/>
        </w:rPr>
      </w:pPr>
      <w:r>
        <w:rPr>
          <w:rFonts w:hint="eastAsia" w:hAnsi="黑体"/>
          <w:b/>
          <w:sz w:val="32"/>
          <w:szCs w:val="32"/>
          <w:lang w:eastAsia="zh-CN"/>
        </w:rPr>
        <w:t>国有资本经营预算财政拨款支出决算情况</w:t>
      </w:r>
    </w:p>
    <w:p>
      <w:pPr>
        <w:ind w:firstLine="800" w:firstLineChars="250"/>
        <w:rPr>
          <w:rFonts w:hint="default" w:asciiTheme="minorEastAsia" w:hAnsiTheme="minorEastAsia"/>
          <w:sz w:val="32"/>
          <w:szCs w:val="32"/>
          <w:lang w:val="en-US" w:eastAsia="zh-CN"/>
        </w:rPr>
      </w:pPr>
      <w:r>
        <w:rPr>
          <w:rFonts w:hint="eastAsia" w:asciiTheme="minorEastAsia" w:hAnsiTheme="minorEastAsia"/>
          <w:sz w:val="32"/>
          <w:szCs w:val="32"/>
          <w:lang w:val="en-US" w:eastAsia="zh-CN"/>
        </w:rPr>
        <w:t>2021年度本单位无国有资本经营</w:t>
      </w:r>
      <w:r>
        <w:rPr>
          <w:rFonts w:hint="eastAsia" w:asciiTheme="minorEastAsia" w:hAnsiTheme="minorEastAsia"/>
          <w:sz w:val="32"/>
          <w:szCs w:val="32"/>
          <w:lang w:eastAsia="zh-CN"/>
        </w:rPr>
        <w:t>预算财政拨款支出。</w:t>
      </w:r>
    </w:p>
    <w:p>
      <w:pPr>
        <w:pStyle w:val="10"/>
        <w:outlineLvl w:val="0"/>
        <w:rPr>
          <w:rFonts w:hAnsi="黑体"/>
          <w:b/>
          <w:sz w:val="32"/>
          <w:szCs w:val="32"/>
        </w:rPr>
      </w:pPr>
      <w:r>
        <w:rPr>
          <w:rFonts w:hint="eastAsia" w:hAnsi="黑体"/>
          <w:b/>
          <w:sz w:val="32"/>
          <w:szCs w:val="32"/>
          <w:lang w:eastAsia="zh-CN"/>
        </w:rPr>
        <w:t>十</w:t>
      </w:r>
      <w:r>
        <w:rPr>
          <w:rFonts w:hint="eastAsia" w:hAnsi="黑体"/>
          <w:b/>
          <w:sz w:val="32"/>
          <w:szCs w:val="32"/>
        </w:rPr>
        <w:t>、机关运行经费支出说明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万元，比</w:t>
      </w:r>
      <w:r>
        <w:rPr>
          <w:rFonts w:hint="eastAsia" w:asciiTheme="minorEastAsia" w:hAnsiTheme="minorEastAsia" w:eastAsiaTheme="minorEastAsia"/>
          <w:sz w:val="32"/>
          <w:szCs w:val="32"/>
          <w:lang w:eastAsia="zh-CN"/>
        </w:rPr>
        <w:t>年初预算</w:t>
      </w:r>
      <w:bookmarkStart w:id="0" w:name="_GoBack"/>
      <w:bookmarkEnd w:id="0"/>
      <w:r>
        <w:rPr>
          <w:rFonts w:hint="eastAsia" w:asciiTheme="minorEastAsia" w:hAnsiTheme="minorEastAsia" w:eastAsiaTheme="minorEastAsia"/>
          <w:sz w:val="32"/>
          <w:szCs w:val="32"/>
        </w:rPr>
        <w:t>数减少</w:t>
      </w:r>
      <w:r>
        <w:rPr>
          <w:rFonts w:hint="eastAsia" w:asciiTheme="minorEastAsia" w:hAnsiTheme="minorEastAsia" w:eastAsiaTheme="minorEastAsia"/>
          <w:sz w:val="32"/>
          <w:szCs w:val="32"/>
          <w:lang w:val="en-US" w:eastAsia="zh-CN"/>
        </w:rPr>
        <w:t>3.43</w:t>
      </w:r>
      <w:r>
        <w:rPr>
          <w:rFonts w:hint="eastAsia" w:asciiTheme="minorEastAsia" w:hAnsiTheme="minorEastAsia" w:eastAsiaTheme="minorEastAsia"/>
          <w:sz w:val="32"/>
          <w:szCs w:val="32"/>
        </w:rPr>
        <w:t xml:space="preserve"> 万元，降低</w:t>
      </w:r>
      <w:r>
        <w:rPr>
          <w:rFonts w:hint="eastAsia" w:asciiTheme="minorEastAsia" w:hAnsiTheme="minorEastAsia" w:eastAsiaTheme="minorEastAsia"/>
          <w:sz w:val="32"/>
          <w:szCs w:val="32"/>
          <w:lang w:val="en-US" w:eastAsia="zh-CN"/>
        </w:rPr>
        <w:t>22.23</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认真贯彻落实中央“八项规定”和省委市委的“规定办法”精神和厉行节约要求，进一步从严控制经费开支。</w:t>
      </w:r>
    </w:p>
    <w:p>
      <w:pPr>
        <w:pStyle w:val="10"/>
        <w:outlineLvl w:val="0"/>
        <w:rPr>
          <w:rFonts w:hAnsi="黑体"/>
          <w:b/>
          <w:sz w:val="32"/>
          <w:szCs w:val="32"/>
        </w:rPr>
      </w:pPr>
      <w:r>
        <w:rPr>
          <w:rFonts w:hint="eastAsia" w:hAnsi="黑体"/>
          <w:b/>
          <w:sz w:val="32"/>
          <w:szCs w:val="32"/>
          <w:lang w:eastAsia="zh-CN"/>
        </w:rPr>
        <w:t>十一</w:t>
      </w:r>
      <w:r>
        <w:rPr>
          <w:rFonts w:hint="eastAsia" w:hAnsi="黑体"/>
          <w:b/>
          <w:sz w:val="32"/>
          <w:szCs w:val="32"/>
        </w:rPr>
        <w:t>、一般性支出情况说明</w:t>
      </w:r>
    </w:p>
    <w:p>
      <w:pPr>
        <w:pStyle w:val="10"/>
        <w:ind w:firstLine="640" w:firstLineChars="200"/>
        <w:rPr>
          <w:rFonts w:hint="eastAsia" w:asciiTheme="minorEastAsia" w:hAnsiTheme="minorEastAsia" w:eastAsiaTheme="minorEastAsia"/>
          <w:color w:val="FF0000"/>
          <w:sz w:val="32"/>
          <w:szCs w:val="32"/>
          <w:lang w:val="en-US" w:eastAsia="zh-CN"/>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宋体" w:hAnsi="宋体" w:eastAsia="宋体"/>
          <w:sz w:val="32"/>
          <w:szCs w:val="32"/>
        </w:rPr>
        <w:t>；</w:t>
      </w:r>
      <w:r>
        <w:rPr>
          <w:rFonts w:hint="eastAsia" w:asciiTheme="minorEastAsia" w:hAnsiTheme="minorEastAsia" w:eastAsiaTheme="minorEastAsia"/>
          <w:sz w:val="32"/>
          <w:szCs w:val="32"/>
        </w:rPr>
        <w:t>举办节庆、晚会、论坛、赛事活动，开支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0"/>
        <w:outlineLvl w:val="0"/>
        <w:rPr>
          <w:rFonts w:hAnsi="黑体"/>
          <w:b/>
          <w:sz w:val="32"/>
          <w:szCs w:val="32"/>
        </w:rPr>
      </w:pPr>
      <w:r>
        <w:rPr>
          <w:rFonts w:hint="eastAsia" w:hAnsi="黑体"/>
          <w:b/>
          <w:sz w:val="32"/>
          <w:szCs w:val="32"/>
        </w:rPr>
        <w:t>十</w:t>
      </w:r>
      <w:r>
        <w:rPr>
          <w:rFonts w:hint="eastAsia" w:hAnsi="黑体"/>
          <w:b/>
          <w:sz w:val="32"/>
          <w:szCs w:val="32"/>
          <w:lang w:eastAsia="zh-CN"/>
        </w:rPr>
        <w:t>二</w:t>
      </w:r>
      <w:r>
        <w:rPr>
          <w:rFonts w:hint="eastAsia" w:hAnsi="黑体"/>
          <w:b/>
          <w:sz w:val="32"/>
          <w:szCs w:val="32"/>
        </w:rPr>
        <w:t>、政府采购支出说明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1.39</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1.39</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1.39</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1.39</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100.00</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rPr>
        <w:t>十</w:t>
      </w:r>
      <w:r>
        <w:rPr>
          <w:rFonts w:hint="eastAsia" w:hAnsi="黑体"/>
          <w:b/>
          <w:sz w:val="32"/>
          <w:szCs w:val="32"/>
          <w:lang w:eastAsia="zh-CN"/>
        </w:rPr>
        <w:t>三</w:t>
      </w:r>
      <w:r>
        <w:rPr>
          <w:rFonts w:hint="eastAsia" w:hAnsi="黑体"/>
          <w:b/>
          <w:sz w:val="32"/>
          <w:szCs w:val="32"/>
        </w:rPr>
        <w:t>、国有资产占用情况说明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殡葬执法车1台，殡葬专用车2台）</w:t>
      </w:r>
      <w:r>
        <w:rPr>
          <w:rFonts w:hint="eastAsia" w:asciiTheme="minorEastAsia" w:hAnsiTheme="minorEastAsia" w:eastAsiaTheme="minorEastAsia"/>
          <w:sz w:val="32"/>
          <w:szCs w:val="32"/>
        </w:rPr>
        <w:t>；单位价值50万元以上通用设备台（套）；单位价值100万元以上专用设备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ind w:firstLine="640" w:firstLineChars="200"/>
        <w:rPr>
          <w:rFonts w:hint="eastAsia" w:asciiTheme="minorEastAsia" w:hAnsiTheme="minorEastAsia" w:eastAsiaTheme="minorEastAsia"/>
          <w:sz w:val="32"/>
          <w:szCs w:val="32"/>
        </w:rPr>
      </w:pPr>
    </w:p>
    <w:p>
      <w:pPr>
        <w:pStyle w:val="10"/>
        <w:outlineLvl w:val="0"/>
        <w:rPr>
          <w:rFonts w:hint="eastAsia" w:hAnsi="黑体"/>
          <w:b/>
          <w:sz w:val="32"/>
          <w:szCs w:val="32"/>
        </w:rPr>
      </w:pPr>
    </w:p>
    <w:p>
      <w:pPr>
        <w:pStyle w:val="10"/>
        <w:outlineLvl w:val="0"/>
        <w:rPr>
          <w:rFonts w:hint="eastAsia" w:hAnsi="黑体"/>
          <w:b/>
          <w:sz w:val="32"/>
          <w:szCs w:val="32"/>
        </w:rPr>
      </w:pPr>
      <w:r>
        <w:rPr>
          <w:rFonts w:hint="eastAsia" w:hAnsi="黑体"/>
          <w:b/>
          <w:sz w:val="32"/>
          <w:szCs w:val="32"/>
        </w:rPr>
        <w:t>十</w:t>
      </w:r>
      <w:r>
        <w:rPr>
          <w:rFonts w:hint="eastAsia" w:hAnsi="黑体"/>
          <w:b/>
          <w:sz w:val="32"/>
          <w:szCs w:val="32"/>
          <w:lang w:eastAsia="zh-CN"/>
        </w:rPr>
        <w:t>四</w:t>
      </w:r>
      <w:r>
        <w:rPr>
          <w:rFonts w:hint="eastAsia" w:hAnsi="黑体"/>
          <w:b/>
          <w:sz w:val="32"/>
          <w:szCs w:val="32"/>
        </w:rPr>
        <w:t>、2021年度预算绩效情况说明</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根据《中共中央 国务院关于全面实施预算绩效管理的意见》（中发〔2018〕34号）、《中共湖南省委办公厅 湖南省人民政府办公厅关于全面实施预算绩效管理的实施意见（湘办发〔2019〕10号）文件精神，结合《</w:t>
      </w:r>
      <w:r>
        <w:rPr>
          <w:rFonts w:hint="eastAsia" w:cs="黑体" w:asciiTheme="minorEastAsia" w:hAnsiTheme="minorEastAsia"/>
          <w:color w:val="000000"/>
          <w:kern w:val="0"/>
          <w:sz w:val="32"/>
          <w:szCs w:val="32"/>
          <w:lang w:val="en-US" w:eastAsia="zh-CN"/>
        </w:rPr>
        <w:t>岳</w:t>
      </w:r>
      <w:r>
        <w:rPr>
          <w:rFonts w:hint="eastAsia" w:cs="黑体" w:asciiTheme="minorEastAsia" w:hAnsiTheme="minorEastAsia"/>
          <w:color w:val="000000"/>
          <w:kern w:val="0"/>
          <w:sz w:val="32"/>
          <w:szCs w:val="32"/>
        </w:rPr>
        <w:t>阳市财政局关于开展202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年度部门绩效自评工作的通知》要求，为进一步规范财政资金管理，强化绩效和责任意识，切实提高财政资金使用效益，我单位对202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年度部门整体支出、单位项目支出、重点（专项）项目支出进行了绩效自评。</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部门整体支出绩效自评得分</w:t>
      </w:r>
      <w:r>
        <w:rPr>
          <w:rFonts w:hint="eastAsia" w:cs="黑体" w:asciiTheme="minorEastAsia" w:hAnsiTheme="minorEastAsia"/>
          <w:color w:val="000000"/>
          <w:kern w:val="0"/>
          <w:sz w:val="32"/>
          <w:szCs w:val="32"/>
          <w:lang w:val="en-US" w:eastAsia="zh-CN"/>
        </w:rPr>
        <w:t>94</w:t>
      </w:r>
      <w:r>
        <w:rPr>
          <w:rFonts w:hint="eastAsia" w:cs="黑体" w:asciiTheme="minorEastAsia" w:hAnsiTheme="minorEastAsia"/>
          <w:color w:val="000000"/>
          <w:kern w:val="0"/>
          <w:sz w:val="32"/>
          <w:szCs w:val="32"/>
        </w:rPr>
        <w:t>，评价等级为“</w:t>
      </w:r>
      <w:r>
        <w:rPr>
          <w:rFonts w:hint="eastAsia" w:cs="黑体" w:asciiTheme="minorEastAsia" w:hAnsiTheme="minorEastAsia"/>
          <w:color w:val="000000"/>
          <w:kern w:val="0"/>
          <w:sz w:val="32"/>
          <w:szCs w:val="32"/>
          <w:lang w:val="en-US" w:eastAsia="zh-CN"/>
        </w:rPr>
        <w:t>优秀</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项目支出绩效自评得分</w:t>
      </w:r>
      <w:r>
        <w:rPr>
          <w:rFonts w:hint="eastAsia" w:cs="黑体" w:asciiTheme="minorEastAsia" w:hAnsiTheme="minorEastAsia"/>
          <w:color w:val="000000"/>
          <w:kern w:val="0"/>
          <w:sz w:val="32"/>
          <w:szCs w:val="32"/>
          <w:lang w:val="en-US" w:eastAsia="zh-CN"/>
        </w:rPr>
        <w:t>93</w:t>
      </w:r>
      <w:r>
        <w:rPr>
          <w:rFonts w:hint="eastAsia" w:cs="黑体" w:asciiTheme="minorEastAsia" w:hAnsiTheme="minorEastAsia"/>
          <w:color w:val="000000"/>
          <w:kern w:val="0"/>
          <w:sz w:val="32"/>
          <w:szCs w:val="32"/>
        </w:rPr>
        <w:t>，评价等级为“</w:t>
      </w:r>
      <w:r>
        <w:rPr>
          <w:rFonts w:hint="eastAsia" w:cs="黑体" w:asciiTheme="minorEastAsia" w:hAnsiTheme="minorEastAsia"/>
          <w:color w:val="000000"/>
          <w:kern w:val="0"/>
          <w:sz w:val="32"/>
          <w:szCs w:val="32"/>
          <w:lang w:val="en-US" w:eastAsia="zh-CN"/>
        </w:rPr>
        <w:t>优秀</w:t>
      </w:r>
      <w:r>
        <w:rPr>
          <w:rFonts w:hint="eastAsia" w:cs="黑体" w:asciiTheme="minorEastAsia" w:hAnsiTheme="minorEastAsia"/>
          <w:color w:val="000000"/>
          <w:kern w:val="0"/>
          <w:sz w:val="32"/>
          <w:szCs w:val="32"/>
        </w:rPr>
        <w:t>”；</w:t>
      </w:r>
    </w:p>
    <w:p>
      <w:pPr>
        <w:pStyle w:val="10"/>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ascii="宋体" w:hAnsi="宋体" w:eastAsia="宋体"/>
          <w:sz w:val="32"/>
          <w:szCs w:val="32"/>
        </w:rPr>
        <w:t>已按市财政局统一要求在我单位门户网站公开。</w:t>
      </w: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报告见附件。</w:t>
      </w:r>
    </w:p>
    <w:p>
      <w:pPr>
        <w:pStyle w:val="10"/>
        <w:ind w:firstLine="1440" w:firstLineChars="200"/>
        <w:jc w:val="left"/>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outlineLvl w:val="0"/>
        <w:rPr>
          <w:rFonts w:hint="eastAsia" w:ascii="黑体" w:eastAsia="黑体" w:cs="黑体"/>
          <w:color w:val="000000"/>
          <w:kern w:val="0"/>
          <w:sz w:val="70"/>
          <w:szCs w:val="70"/>
        </w:rPr>
      </w:pPr>
      <w:r>
        <w:rPr>
          <w:rFonts w:hint="eastAsia" w:ascii="黑体" w:eastAsia="黑体" w:cs="黑体"/>
          <w:color w:val="000000"/>
          <w:kern w:val="0"/>
          <w:sz w:val="70"/>
          <w:szCs w:val="70"/>
        </w:rPr>
        <w:t>名词解释</w:t>
      </w:r>
    </w:p>
    <w:p>
      <w:pPr>
        <w:jc w:val="center"/>
        <w:outlineLvl w:val="0"/>
        <w:rPr>
          <w:rFonts w:hint="eastAsia" w:ascii="黑体" w:eastAsia="黑体" w:cs="黑体"/>
          <w:color w:val="000000"/>
          <w:kern w:val="0"/>
          <w:sz w:val="70"/>
          <w:szCs w:val="70"/>
        </w:rPr>
      </w:pPr>
    </w:p>
    <w:p>
      <w:pPr>
        <w:jc w:val="center"/>
        <w:outlineLvl w:val="0"/>
        <w:rPr>
          <w:rFonts w:hint="eastAsia" w:ascii="黑体" w:eastAsia="黑体" w:cs="黑体"/>
          <w:color w:val="000000"/>
          <w:kern w:val="0"/>
          <w:sz w:val="70"/>
          <w:szCs w:val="70"/>
        </w:rPr>
      </w:pP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1、财政拨款收入：指本级财政当年拨付的资金。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2、其他收入：指除上述“财政拨款收入”、“上级补助收入”、“事业收入”、“经营收入”、“附属单位上缴收入”等以外的收入。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3、社会保障和就业支出：是指用于社会保障和就业方面的支出，包括保障机构正常运转、完成日常和特定的工作任务或事业发展目标的支出。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4、其他支出:是指用于其他方面的支出,包括福利彩票公益金支出.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5、基本支出：指保障机构正常运转、完成支日常工作任务而发生的人员支出和公用支出。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6、项目支出：指在基本支出之外为完成特定行政任务和事业发展目标所发生的支出。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7、机关运行经费：是指各部门的公用经费，包括办公费、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8、“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0" w:firstLineChars="600"/>
        <w:jc w:val="left"/>
        <w:rPr>
          <w:rFonts w:cs="黑体" w:asciiTheme="minorEastAsia" w:hAnsiTheme="minorEastAsia"/>
          <w:b/>
          <w:color w:val="000000"/>
          <w:kern w:val="0"/>
          <w:sz w:val="32"/>
          <w:szCs w:val="32"/>
        </w:rPr>
      </w:pPr>
    </w:p>
    <w:p>
      <w:pPr>
        <w:ind w:firstLine="3200" w:firstLineChars="1000"/>
        <w:jc w:val="left"/>
        <w:rPr>
          <w:rFonts w:hint="eastAsia" w:cs="黑体" w:asciiTheme="minorEastAsia" w:hAnsiTheme="minorEastAsia" w:eastAsiaTheme="minorEastAsia"/>
          <w:b/>
          <w:color w:val="000000"/>
          <w:kern w:val="0"/>
          <w:sz w:val="32"/>
          <w:szCs w:val="32"/>
          <w:lang w:eastAsia="zh-CN"/>
        </w:rPr>
      </w:pPr>
      <w:r>
        <w:rPr>
          <w:rFonts w:hint="eastAsia" w:cs="黑体" w:asciiTheme="minorEastAsia" w:hAnsiTheme="minorEastAsia"/>
          <w:b/>
          <w:color w:val="000000"/>
          <w:kern w:val="0"/>
          <w:sz w:val="32"/>
          <w:szCs w:val="32"/>
        </w:rPr>
        <w:t>2021年度部门决算公开</w:t>
      </w:r>
      <w:r>
        <w:rPr>
          <w:rFonts w:hint="eastAsia" w:cs="黑体" w:asciiTheme="minorEastAsia" w:hAnsiTheme="minorEastAsia"/>
          <w:b/>
          <w:color w:val="000000"/>
          <w:kern w:val="0"/>
          <w:sz w:val="32"/>
          <w:szCs w:val="32"/>
          <w:lang w:eastAsia="zh-CN"/>
        </w:rPr>
        <w:t>表</w:t>
      </w:r>
    </w:p>
    <w:p>
      <w:pPr>
        <w:ind w:firstLine="2560" w:firstLineChars="8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2021年度部门整体支出绩效评价报告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6CB5F"/>
    <w:multiLevelType w:val="singleLevel"/>
    <w:tmpl w:val="F3F6CB5F"/>
    <w:lvl w:ilvl="0" w:tentative="0">
      <w:start w:val="9"/>
      <w:numFmt w:val="chineseCounting"/>
      <w:suff w:val="nothing"/>
      <w:lvlText w:val="%1、"/>
      <w:lvlJc w:val="left"/>
      <w:rPr>
        <w:rFonts w:hint="eastAsia"/>
      </w:rPr>
    </w:lvl>
  </w:abstractNum>
  <w:abstractNum w:abstractNumId="1">
    <w:nsid w:val="0F706760"/>
    <w:multiLevelType w:val="singleLevel"/>
    <w:tmpl w:val="0F706760"/>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Mjg0Mjc4NjAwODI5ODE0MmU0N2E2YzI5NzYyMGM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A7F4C"/>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7D687D"/>
    <w:rsid w:val="0432329F"/>
    <w:rsid w:val="056C67DD"/>
    <w:rsid w:val="05E45FD9"/>
    <w:rsid w:val="062937C1"/>
    <w:rsid w:val="08053CE8"/>
    <w:rsid w:val="09706FA0"/>
    <w:rsid w:val="0BDF1202"/>
    <w:rsid w:val="0CE64061"/>
    <w:rsid w:val="0DD10089"/>
    <w:rsid w:val="0EA77ABC"/>
    <w:rsid w:val="0F927BB6"/>
    <w:rsid w:val="115F7498"/>
    <w:rsid w:val="129423D0"/>
    <w:rsid w:val="139238CC"/>
    <w:rsid w:val="17312D42"/>
    <w:rsid w:val="176A657C"/>
    <w:rsid w:val="17871E76"/>
    <w:rsid w:val="180305E9"/>
    <w:rsid w:val="1A4B61EF"/>
    <w:rsid w:val="1A4C3F2D"/>
    <w:rsid w:val="1C213768"/>
    <w:rsid w:val="24F821EE"/>
    <w:rsid w:val="2C146496"/>
    <w:rsid w:val="325A3602"/>
    <w:rsid w:val="329C3736"/>
    <w:rsid w:val="32FF13C6"/>
    <w:rsid w:val="330469DC"/>
    <w:rsid w:val="38FD77E2"/>
    <w:rsid w:val="3E0E1BEF"/>
    <w:rsid w:val="412A52EC"/>
    <w:rsid w:val="41CB09F0"/>
    <w:rsid w:val="41DF45EA"/>
    <w:rsid w:val="455B1EC0"/>
    <w:rsid w:val="48F01094"/>
    <w:rsid w:val="4D654337"/>
    <w:rsid w:val="51CF30D1"/>
    <w:rsid w:val="52B551A5"/>
    <w:rsid w:val="52ED230C"/>
    <w:rsid w:val="532035CF"/>
    <w:rsid w:val="568735B3"/>
    <w:rsid w:val="5B0F745B"/>
    <w:rsid w:val="5C1C0B18"/>
    <w:rsid w:val="5ED014C1"/>
    <w:rsid w:val="61097F79"/>
    <w:rsid w:val="616E17D5"/>
    <w:rsid w:val="65D97056"/>
    <w:rsid w:val="668E07BF"/>
    <w:rsid w:val="67EE0AE5"/>
    <w:rsid w:val="69FC2167"/>
    <w:rsid w:val="70344547"/>
    <w:rsid w:val="71452699"/>
    <w:rsid w:val="74F83C6A"/>
    <w:rsid w:val="768D1085"/>
    <w:rsid w:val="76F4655E"/>
    <w:rsid w:val="79BF4C33"/>
    <w:rsid w:val="7E0D4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3910</Words>
  <Characters>4279</Characters>
  <Lines>69</Lines>
  <Paragraphs>19</Paragraphs>
  <TotalTime>1</TotalTime>
  <ScaleCrop>false</ScaleCrop>
  <LinksUpToDate>false</LinksUpToDate>
  <CharactersWithSpaces>4291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2023-09-16T04:14:28Z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3F6488DF729A45C6B64AB0B6A38B3E90</vt:lpwstr>
  </property>
</Properties>
</file>