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hint="eastAsia"/>
          <w:sz w:val="56"/>
          <w:szCs w:val="56"/>
        </w:rPr>
      </w:pPr>
    </w:p>
    <w:p>
      <w:pPr>
        <w:pStyle w:val="10"/>
        <w:jc w:val="center"/>
        <w:rPr>
          <w:sz w:val="56"/>
          <w:szCs w:val="56"/>
        </w:rPr>
      </w:pPr>
    </w:p>
    <w:p>
      <w:pPr>
        <w:pStyle w:val="10"/>
        <w:jc w:val="center"/>
        <w:rPr>
          <w:sz w:val="84"/>
          <w:szCs w:val="84"/>
        </w:rPr>
      </w:pPr>
    </w:p>
    <w:p>
      <w:pPr>
        <w:pStyle w:val="10"/>
        <w:jc w:val="center"/>
        <w:rPr>
          <w:sz w:val="84"/>
          <w:szCs w:val="84"/>
        </w:rPr>
      </w:pPr>
    </w:p>
    <w:p>
      <w:pPr>
        <w:pStyle w:val="10"/>
        <w:jc w:val="center"/>
        <w:rPr>
          <w:sz w:val="84"/>
          <w:szCs w:val="84"/>
        </w:rPr>
      </w:pPr>
      <w:r>
        <w:rPr>
          <w:rFonts w:hint="eastAsia"/>
          <w:sz w:val="84"/>
          <w:szCs w:val="84"/>
        </w:rPr>
        <w:t>2021年度</w:t>
      </w:r>
    </w:p>
    <w:p>
      <w:pPr>
        <w:pStyle w:val="10"/>
        <w:jc w:val="center"/>
        <w:rPr>
          <w:sz w:val="84"/>
          <w:szCs w:val="84"/>
        </w:rPr>
      </w:pPr>
      <w:r>
        <w:rPr>
          <w:rFonts w:hint="eastAsia"/>
          <w:sz w:val="84"/>
          <w:szCs w:val="84"/>
        </w:rPr>
        <w:t>岳阳县福利彩票发行中心部门（单位）部门决算</w:t>
      </w: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56"/>
          <w:szCs w:val="56"/>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jc w:val="center"/>
        <w:rPr>
          <w:sz w:val="32"/>
          <w:szCs w:val="32"/>
        </w:rPr>
      </w:pPr>
    </w:p>
    <w:p>
      <w:pPr>
        <w:pStyle w:val="10"/>
        <w:spacing w:line="540" w:lineRule="exact"/>
        <w:jc w:val="center"/>
        <w:rPr>
          <w:sz w:val="56"/>
          <w:szCs w:val="56"/>
        </w:rPr>
      </w:pPr>
    </w:p>
    <w:p>
      <w:pPr>
        <w:pStyle w:val="10"/>
        <w:spacing w:line="500" w:lineRule="exact"/>
        <w:jc w:val="center"/>
        <w:rPr>
          <w:b/>
          <w:sz w:val="36"/>
          <w:szCs w:val="28"/>
        </w:rPr>
      </w:pPr>
    </w:p>
    <w:p>
      <w:pPr>
        <w:pStyle w:val="10"/>
        <w:spacing w:line="500" w:lineRule="exact"/>
        <w:jc w:val="center"/>
        <w:rPr>
          <w:b/>
          <w:sz w:val="36"/>
          <w:szCs w:val="28"/>
        </w:rPr>
      </w:pPr>
    </w:p>
    <w:p>
      <w:pPr>
        <w:pStyle w:val="10"/>
        <w:spacing w:line="500" w:lineRule="exact"/>
        <w:jc w:val="center"/>
        <w:rPr>
          <w:b/>
          <w:sz w:val="36"/>
          <w:szCs w:val="28"/>
        </w:rPr>
      </w:pPr>
      <w:r>
        <w:rPr>
          <w:rFonts w:hint="eastAsia"/>
          <w:b/>
          <w:sz w:val="36"/>
          <w:szCs w:val="28"/>
        </w:rPr>
        <w:t>目录</w:t>
      </w:r>
    </w:p>
    <w:p>
      <w:pPr>
        <w:pStyle w:val="10"/>
        <w:spacing w:line="500" w:lineRule="exact"/>
        <w:outlineLvl w:val="0"/>
        <w:rPr>
          <w:rFonts w:ascii="仿宋_GB2312" w:hAnsi="仿宋_GB2312" w:cs="仿宋_GB2312"/>
          <w:b/>
          <w:sz w:val="28"/>
          <w:szCs w:val="28"/>
        </w:rPr>
      </w:pPr>
      <w:r>
        <w:rPr>
          <w:rFonts w:hint="eastAsia"/>
          <w:b/>
          <w:sz w:val="28"/>
          <w:szCs w:val="28"/>
        </w:rPr>
        <w:t>第一部分单位概况</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一、部门职责</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二、机构设置</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lang w:val="en-US" w:eastAsia="zh-CN"/>
        </w:rPr>
        <w:t>三、决算单位构成</w:t>
      </w:r>
    </w:p>
    <w:p>
      <w:pPr>
        <w:pStyle w:val="10"/>
        <w:spacing w:line="500" w:lineRule="exact"/>
        <w:outlineLvl w:val="0"/>
        <w:rPr>
          <w:rFonts w:ascii="仿宋_GB2312" w:hAnsi="仿宋_GB2312" w:cs="仿宋_GB2312"/>
          <w:b/>
          <w:sz w:val="28"/>
          <w:szCs w:val="28"/>
        </w:rPr>
      </w:pPr>
      <w:r>
        <w:rPr>
          <w:rFonts w:hint="eastAsia" w:hAnsi="仿宋_GB2312"/>
          <w:b/>
          <w:sz w:val="28"/>
          <w:szCs w:val="28"/>
        </w:rPr>
        <w:t>第二部分</w:t>
      </w:r>
      <w:r>
        <w:rPr>
          <w:rFonts w:hAnsi="仿宋_GB2312"/>
          <w:b/>
          <w:sz w:val="28"/>
          <w:szCs w:val="28"/>
        </w:rPr>
        <w:t>20</w:t>
      </w:r>
      <w:r>
        <w:rPr>
          <w:rFonts w:hint="eastAsia" w:hAnsi="仿宋_GB2312"/>
          <w:b/>
          <w:sz w:val="28"/>
          <w:szCs w:val="28"/>
        </w:rPr>
        <w:t>21年度部门决算表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一、部门收支决算总表</w:t>
      </w:r>
    </w:p>
    <w:p>
      <w:pPr>
        <w:pStyle w:val="10"/>
        <w:spacing w:line="500" w:lineRule="exact"/>
        <w:ind w:firstLine="700" w:firstLineChars="250"/>
        <w:rPr>
          <w:rFonts w:hint="eastAsia"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二、部门收入决算表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三、部门支出决算表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四、财政拨款收入支出决算总表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五、一般公共预算财政拨款支出决算表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六、一般公共预算财政拨款基本支出决算</w:t>
      </w:r>
      <w:r>
        <w:rPr>
          <w:rFonts w:hint="eastAsia" w:cs="仿宋_GB2312" w:asciiTheme="minorEastAsia" w:hAnsiTheme="minorEastAsia" w:eastAsiaTheme="minorEastAsia"/>
          <w:sz w:val="28"/>
          <w:szCs w:val="28"/>
        </w:rPr>
        <w:t>明细</w:t>
      </w:r>
      <w:r>
        <w:rPr>
          <w:rFonts w:cs="仿宋_GB2312" w:asciiTheme="minorEastAsia" w:hAnsiTheme="minorEastAsia" w:eastAsiaTheme="minorEastAsia"/>
          <w:sz w:val="28"/>
          <w:szCs w:val="28"/>
        </w:rPr>
        <w:t>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七、一般公共预算财政拨款“三公”经费支出决算表</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八、政府性基金预算财政拨款收入支出决算表</w:t>
      </w:r>
    </w:p>
    <w:p>
      <w:pPr>
        <w:pStyle w:val="10"/>
        <w:spacing w:line="500" w:lineRule="exact"/>
        <w:ind w:firstLine="700" w:firstLineChars="250"/>
        <w:rPr>
          <w:rFonts w:cs="仿宋_GB2312" w:asciiTheme="minorEastAsia" w:hAnsiTheme="minorEastAsia" w:eastAsiaTheme="minorEastAsia"/>
          <w:sz w:val="28"/>
          <w:szCs w:val="28"/>
        </w:rPr>
      </w:pPr>
      <w:r>
        <w:rPr>
          <w:rFonts w:hint="eastAsia" w:cs="仿宋_GB2312" w:asciiTheme="minorEastAsia" w:hAnsiTheme="minorEastAsia" w:eastAsiaTheme="minorEastAsia"/>
          <w:sz w:val="28"/>
          <w:szCs w:val="28"/>
        </w:rPr>
        <w:t>九、国有资本经营预算财政拨款支出决算表</w:t>
      </w:r>
    </w:p>
    <w:p>
      <w:pPr>
        <w:pStyle w:val="10"/>
        <w:spacing w:line="500" w:lineRule="exact"/>
        <w:outlineLvl w:val="0"/>
        <w:rPr>
          <w:rFonts w:ascii="仿宋_GB2312" w:hAnsi="仿宋_GB2312" w:cs="仿宋_GB2312"/>
          <w:b/>
          <w:sz w:val="28"/>
          <w:szCs w:val="28"/>
        </w:rPr>
      </w:pPr>
      <w:r>
        <w:rPr>
          <w:rFonts w:hint="eastAsia" w:hAnsi="仿宋_GB2312"/>
          <w:b/>
          <w:sz w:val="28"/>
          <w:szCs w:val="28"/>
        </w:rPr>
        <w:t>第三部分</w:t>
      </w:r>
      <w:r>
        <w:rPr>
          <w:rFonts w:hAnsi="仿宋_GB2312"/>
          <w:b/>
          <w:sz w:val="28"/>
          <w:szCs w:val="28"/>
        </w:rPr>
        <w:t>20</w:t>
      </w:r>
      <w:r>
        <w:rPr>
          <w:rFonts w:hint="eastAsia" w:hAnsi="仿宋_GB2312"/>
          <w:b/>
          <w:sz w:val="28"/>
          <w:szCs w:val="28"/>
        </w:rPr>
        <w:t>21年度部门决算情况说明</w:t>
      </w:r>
    </w:p>
    <w:p>
      <w:pPr>
        <w:pStyle w:val="10"/>
        <w:spacing w:line="500" w:lineRule="exact"/>
        <w:ind w:firstLine="700" w:firstLineChars="250"/>
        <w:rPr>
          <w:rFonts w:cs="仿宋_GB2312" w:asciiTheme="minorEastAsia" w:hAnsiTheme="minorEastAsia" w:eastAsiaTheme="minorEastAsia"/>
          <w:sz w:val="28"/>
          <w:szCs w:val="28"/>
        </w:rPr>
      </w:pPr>
      <w:r>
        <w:rPr>
          <w:rFonts w:cs="仿宋_GB2312" w:asciiTheme="minorEastAsia" w:hAnsiTheme="minorEastAsia" w:eastAsiaTheme="minorEastAsia"/>
          <w:sz w:val="28"/>
          <w:szCs w:val="28"/>
        </w:rPr>
        <w:t>一、收入支出决算总体情况说明</w:t>
      </w:r>
    </w:p>
    <w:p>
      <w:pPr>
        <w:spacing w:line="500" w:lineRule="exact"/>
        <w:ind w:firstLine="700" w:firstLineChars="250"/>
        <w:jc w:val="left"/>
        <w:rPr>
          <w:rFonts w:ascii="仿宋_GB2312" w:hAnsi="仿宋_GB2312" w:cs="仿宋_GB2312"/>
          <w:sz w:val="28"/>
          <w:szCs w:val="28"/>
        </w:rPr>
      </w:pPr>
      <w:r>
        <w:rPr>
          <w:rFonts w:ascii="仿宋_GB2312" w:hAnsi="仿宋_GB2312" w:cs="仿宋_GB2312"/>
          <w:sz w:val="28"/>
          <w:szCs w:val="28"/>
        </w:rPr>
        <w:t>二、收入决算情况说明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三、支出决算情况说明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四、财政拨款收入支出决算总体情况说明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五、一般公共预算财政拨款支出决算情况说明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六、一般公共预算财政拨款基本支出决算情况说明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ascii="仿宋_GB2312" w:hAnsi="仿宋_GB2312" w:cs="仿宋_GB2312"/>
          <w:color w:val="000000"/>
          <w:kern w:val="0"/>
          <w:sz w:val="28"/>
          <w:szCs w:val="28"/>
        </w:rPr>
        <w:t>七、一般公共预算财政拨款</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三公</w:t>
      </w:r>
      <w:r>
        <w:rPr>
          <w:rFonts w:hint="eastAsia" w:ascii="仿宋_GB2312" w:hAnsi="仿宋_GB2312" w:cs="仿宋_GB2312"/>
          <w:color w:val="000000"/>
          <w:kern w:val="0"/>
          <w:sz w:val="28"/>
          <w:szCs w:val="28"/>
        </w:rPr>
        <w:t>”</w:t>
      </w:r>
      <w:r>
        <w:rPr>
          <w:rFonts w:ascii="仿宋_GB2312" w:hAnsi="仿宋_GB2312" w:cs="仿宋_GB2312"/>
          <w:color w:val="000000"/>
          <w:kern w:val="0"/>
          <w:sz w:val="28"/>
          <w:szCs w:val="28"/>
        </w:rPr>
        <w:t>经费支出决算情况说明</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rPr>
        <w:t>八</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政府性基金预算收入支出决算情况</w:t>
      </w:r>
    </w:p>
    <w:p>
      <w:pPr>
        <w:autoSpaceDE w:val="0"/>
        <w:autoSpaceDN w:val="0"/>
        <w:adjustRightInd w:val="0"/>
        <w:spacing w:line="500" w:lineRule="exact"/>
        <w:ind w:firstLine="700" w:firstLineChars="250"/>
        <w:jc w:val="left"/>
        <w:rPr>
          <w:rFonts w:hint="eastAsia"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九、</w:t>
      </w:r>
      <w:r>
        <w:rPr>
          <w:rFonts w:hint="eastAsia" w:ascii="仿宋_GB2312" w:hAnsi="仿宋_GB2312" w:cs="仿宋_GB2312"/>
          <w:color w:val="000000"/>
          <w:kern w:val="0"/>
          <w:sz w:val="28"/>
          <w:szCs w:val="28"/>
        </w:rPr>
        <w:t>国有资本经营预算财政拨款支出决算总体情况说明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lang w:eastAsia="zh-CN"/>
        </w:rPr>
        <w:t>十</w:t>
      </w:r>
      <w:r>
        <w:rPr>
          <w:rFonts w:ascii="仿宋_GB2312" w:hAnsi="仿宋_GB2312" w:cs="仿宋_GB2312"/>
          <w:color w:val="000000"/>
          <w:kern w:val="0"/>
          <w:sz w:val="28"/>
          <w:szCs w:val="28"/>
        </w:rPr>
        <w:t>、</w:t>
      </w:r>
      <w:r>
        <w:rPr>
          <w:rFonts w:hint="eastAsia" w:ascii="仿宋_GB2312" w:hAnsi="仿宋_GB2312" w:cs="仿宋_GB2312"/>
          <w:color w:val="000000"/>
          <w:kern w:val="0"/>
          <w:sz w:val="28"/>
          <w:szCs w:val="28"/>
        </w:rPr>
        <w:t>机关运行经费支出说明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一</w:t>
      </w:r>
      <w:r>
        <w:rPr>
          <w:rFonts w:hint="eastAsia" w:ascii="仿宋_GB2312" w:hAnsi="仿宋_GB2312" w:cs="仿宋_GB2312"/>
          <w:color w:val="000000"/>
          <w:kern w:val="0"/>
          <w:sz w:val="28"/>
          <w:szCs w:val="28"/>
        </w:rPr>
        <w:t>、一般性支出情况说明</w:t>
      </w:r>
    </w:p>
    <w:p>
      <w:pPr>
        <w:autoSpaceDE w:val="0"/>
        <w:autoSpaceDN w:val="0"/>
        <w:adjustRightInd w:val="0"/>
        <w:spacing w:line="500" w:lineRule="exact"/>
        <w:ind w:firstLine="700" w:firstLineChars="250"/>
        <w:jc w:val="left"/>
        <w:rPr>
          <w:rFonts w:ascii="仿宋_GB2312" w:hAnsi="仿宋_GB2312" w:cs="仿宋_GB2312"/>
          <w:color w:val="000000"/>
          <w:kern w:val="0"/>
          <w:sz w:val="28"/>
          <w:szCs w:val="28"/>
        </w:rPr>
      </w:pPr>
      <w:r>
        <w:rPr>
          <w:rFonts w:hint="eastAsia" w:ascii="仿宋_GB2312" w:hAnsi="仿宋_GB2312" w:cs="仿宋_GB2312"/>
          <w:color w:val="000000"/>
          <w:kern w:val="0"/>
          <w:sz w:val="28"/>
          <w:szCs w:val="28"/>
        </w:rPr>
        <w:t>十</w:t>
      </w:r>
      <w:r>
        <w:rPr>
          <w:rFonts w:hint="eastAsia" w:ascii="仿宋_GB2312" w:hAnsi="仿宋_GB2312" w:cs="仿宋_GB2312"/>
          <w:color w:val="000000"/>
          <w:kern w:val="0"/>
          <w:sz w:val="28"/>
          <w:szCs w:val="28"/>
          <w:lang w:eastAsia="zh-CN"/>
        </w:rPr>
        <w:t>二</w:t>
      </w:r>
      <w:r>
        <w:rPr>
          <w:rFonts w:hint="eastAsia" w:ascii="仿宋_GB2312" w:hAnsi="仿宋_GB2312" w:cs="仿宋_GB2312"/>
          <w:color w:val="000000"/>
          <w:kern w:val="0"/>
          <w:sz w:val="28"/>
          <w:szCs w:val="28"/>
        </w:rPr>
        <w:t>、政府采购支出说明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三</w:t>
      </w:r>
      <w:r>
        <w:rPr>
          <w:rFonts w:hint="eastAsia" w:ascii="仿宋_GB2312" w:hAnsi="仿宋_GB2312" w:cs="仿宋_GB2312" w:eastAsiaTheme="minorEastAsia"/>
          <w:sz w:val="28"/>
          <w:szCs w:val="28"/>
        </w:rPr>
        <w:t>、国有资产占用情况说明</w:t>
      </w:r>
    </w:p>
    <w:p>
      <w:pPr>
        <w:pStyle w:val="10"/>
        <w:spacing w:line="500" w:lineRule="exact"/>
        <w:ind w:firstLine="700" w:firstLineChars="250"/>
        <w:rPr>
          <w:rFonts w:ascii="仿宋_GB2312" w:hAnsi="仿宋_GB2312" w:cs="仿宋_GB2312" w:eastAsiaTheme="minorEastAsia"/>
          <w:sz w:val="28"/>
          <w:szCs w:val="28"/>
        </w:rPr>
      </w:pPr>
      <w:r>
        <w:rPr>
          <w:rFonts w:hint="eastAsia" w:ascii="仿宋_GB2312" w:hAnsi="仿宋_GB2312" w:cs="仿宋_GB2312" w:eastAsiaTheme="minorEastAsia"/>
          <w:sz w:val="28"/>
          <w:szCs w:val="28"/>
        </w:rPr>
        <w:t>十</w:t>
      </w:r>
      <w:r>
        <w:rPr>
          <w:rFonts w:hint="eastAsia" w:ascii="仿宋_GB2312" w:hAnsi="仿宋_GB2312" w:cs="仿宋_GB2312" w:eastAsiaTheme="minorEastAsia"/>
          <w:sz w:val="28"/>
          <w:szCs w:val="28"/>
          <w:lang w:eastAsia="zh-CN"/>
        </w:rPr>
        <w:t>四</w:t>
      </w:r>
      <w:r>
        <w:rPr>
          <w:rFonts w:hint="eastAsia" w:ascii="仿宋_GB2312" w:hAnsi="仿宋_GB2312" w:cs="仿宋_GB2312" w:eastAsiaTheme="minorEastAsia"/>
          <w:sz w:val="28"/>
          <w:szCs w:val="28"/>
        </w:rPr>
        <w:t>、</w:t>
      </w:r>
      <w:r>
        <w:rPr>
          <w:rFonts w:hint="eastAsia" w:cs="仿宋_GB2312" w:asciiTheme="minorEastAsia" w:hAnsiTheme="minorEastAsia" w:eastAsiaTheme="minorEastAsia"/>
          <w:sz w:val="28"/>
          <w:szCs w:val="28"/>
        </w:rPr>
        <w:t>2021年</w:t>
      </w:r>
      <w:r>
        <w:rPr>
          <w:rFonts w:hint="eastAsia" w:ascii="仿宋_GB2312" w:hAnsi="仿宋_GB2312" w:cs="仿宋_GB2312" w:eastAsiaTheme="minorEastAsia"/>
          <w:sz w:val="28"/>
          <w:szCs w:val="28"/>
        </w:rPr>
        <w:t>度预算绩效情况说明</w:t>
      </w:r>
    </w:p>
    <w:p>
      <w:pPr>
        <w:autoSpaceDE w:val="0"/>
        <w:autoSpaceDN w:val="0"/>
        <w:adjustRightInd w:val="0"/>
        <w:spacing w:line="500" w:lineRule="exact"/>
        <w:jc w:val="left"/>
        <w:outlineLvl w:val="0"/>
        <w:rPr>
          <w:rFonts w:ascii="黑体" w:hAnsi="黑体" w:eastAsia="黑体" w:cs="黑体"/>
          <w:b/>
          <w:color w:val="000000"/>
          <w:kern w:val="0"/>
          <w:sz w:val="28"/>
          <w:szCs w:val="28"/>
        </w:rPr>
      </w:pPr>
      <w:r>
        <w:rPr>
          <w:rFonts w:ascii="黑体" w:hAnsi="黑体" w:eastAsia="黑体" w:cs="黑体"/>
          <w:b/>
          <w:color w:val="000000"/>
          <w:kern w:val="0"/>
          <w:sz w:val="28"/>
          <w:szCs w:val="28"/>
        </w:rPr>
        <w:t>第四部分名词解释</w:t>
      </w:r>
    </w:p>
    <w:p>
      <w:pPr>
        <w:autoSpaceDE w:val="0"/>
        <w:autoSpaceDN w:val="0"/>
        <w:adjustRightInd w:val="0"/>
        <w:spacing w:line="500" w:lineRule="exact"/>
        <w:jc w:val="left"/>
        <w:outlineLvl w:val="0"/>
        <w:rPr>
          <w:rFonts w:ascii="黑体" w:hAnsi="黑体" w:eastAsia="黑体" w:cs="仿宋_GB2312"/>
          <w:b/>
          <w:color w:val="000000"/>
          <w:kern w:val="0"/>
          <w:sz w:val="28"/>
          <w:szCs w:val="28"/>
        </w:rPr>
      </w:pPr>
      <w:r>
        <w:rPr>
          <w:rFonts w:hint="eastAsia" w:ascii="黑体" w:hAnsi="黑体" w:eastAsia="黑体" w:cs="黑体"/>
          <w:b/>
          <w:color w:val="000000"/>
          <w:kern w:val="0"/>
          <w:sz w:val="28"/>
          <w:szCs w:val="28"/>
        </w:rPr>
        <w:t>第五部分附件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rPr>
          <w:sz w:val="72"/>
          <w:szCs w:val="72"/>
        </w:rPr>
      </w:pPr>
    </w:p>
    <w:p>
      <w:pPr>
        <w:pStyle w:val="10"/>
        <w:jc w:val="center"/>
        <w:rPr>
          <w:sz w:val="84"/>
          <w:szCs w:val="84"/>
        </w:rPr>
      </w:pPr>
      <w:r>
        <w:rPr>
          <w:rFonts w:hint="eastAsia"/>
          <w:sz w:val="84"/>
          <w:szCs w:val="84"/>
        </w:rPr>
        <w:t>第一部分</w:t>
      </w:r>
      <w:r>
        <w:rPr>
          <w:sz w:val="84"/>
          <w:szCs w:val="84"/>
        </w:rPr>
        <w:t xml:space="preserve"> </w:t>
      </w:r>
    </w:p>
    <w:p>
      <w:pPr>
        <w:pStyle w:val="10"/>
        <w:jc w:val="center"/>
        <w:rPr>
          <w:sz w:val="84"/>
          <w:szCs w:val="84"/>
        </w:rPr>
      </w:pPr>
    </w:p>
    <w:p>
      <w:pPr>
        <w:pStyle w:val="10"/>
        <w:jc w:val="center"/>
        <w:outlineLvl w:val="0"/>
        <w:rPr>
          <w:rFonts w:hint="eastAsia"/>
          <w:sz w:val="84"/>
          <w:szCs w:val="84"/>
        </w:rPr>
      </w:pPr>
      <w:r>
        <w:rPr>
          <w:rFonts w:hint="eastAsia"/>
          <w:sz w:val="84"/>
          <w:szCs w:val="84"/>
        </w:rPr>
        <w:t>岳阳县福利彩票发行中心</w:t>
      </w:r>
    </w:p>
    <w:p>
      <w:pPr>
        <w:pStyle w:val="10"/>
        <w:jc w:val="center"/>
        <w:outlineLvl w:val="0"/>
        <w:rPr>
          <w:sz w:val="84"/>
          <w:szCs w:val="84"/>
        </w:rPr>
      </w:pPr>
      <w:r>
        <w:rPr>
          <w:rFonts w:hint="eastAsia"/>
          <w:sz w:val="84"/>
          <w:szCs w:val="84"/>
        </w:rPr>
        <w:t>单位概况</w:t>
      </w:r>
    </w:p>
    <w:p>
      <w:pPr>
        <w:jc w:val="center"/>
        <w:rPr>
          <w:sz w:val="72"/>
          <w:szCs w:val="72"/>
        </w:rPr>
      </w:pPr>
    </w:p>
    <w:p>
      <w:pPr>
        <w:jc w:val="center"/>
        <w:rPr>
          <w:sz w:val="72"/>
          <w:szCs w:val="72"/>
        </w:rPr>
      </w:pPr>
    </w:p>
    <w:p>
      <w:pPr>
        <w:jc w:val="center"/>
        <w:rPr>
          <w:sz w:val="72"/>
          <w:szCs w:val="72"/>
        </w:rPr>
      </w:pPr>
    </w:p>
    <w:p>
      <w:pPr>
        <w:jc w:val="center"/>
        <w:rPr>
          <w:sz w:val="72"/>
          <w:szCs w:val="72"/>
        </w:rPr>
      </w:pPr>
    </w:p>
    <w:p>
      <w:pPr>
        <w:pStyle w:val="11"/>
        <w:numPr>
          <w:ilvl w:val="0"/>
          <w:numId w:val="1"/>
        </w:numPr>
        <w:ind w:firstLineChars="0"/>
        <w:jc w:val="left"/>
        <w:rPr>
          <w:rFonts w:ascii="黑体" w:hAnsi="黑体" w:eastAsia="黑体"/>
          <w:sz w:val="32"/>
          <w:szCs w:val="32"/>
        </w:rPr>
      </w:pPr>
      <w:r>
        <w:rPr>
          <w:rFonts w:ascii="黑体" w:hAnsi="黑体" w:eastAsia="黑体"/>
          <w:sz w:val="32"/>
          <w:szCs w:val="32"/>
        </w:rPr>
        <w:t>部门职责</w:t>
      </w:r>
    </w:p>
    <w:p>
      <w:pPr>
        <w:widowControl/>
        <w:spacing w:line="600" w:lineRule="exact"/>
        <w:ind w:firstLine="320" w:firstLineChars="100"/>
        <w:jc w:val="left"/>
        <w:rPr>
          <w:rFonts w:hint="eastAsia" w:eastAsia="仿宋_GB2312"/>
          <w:sz w:val="32"/>
          <w:szCs w:val="32"/>
        </w:rPr>
      </w:pPr>
      <w:r>
        <w:rPr>
          <w:rFonts w:hint="eastAsia" w:eastAsia="仿宋_GB2312"/>
          <w:sz w:val="32"/>
          <w:szCs w:val="32"/>
          <w:lang w:eastAsia="zh-CN"/>
        </w:rPr>
        <w:t>（一）</w:t>
      </w:r>
      <w:r>
        <w:rPr>
          <w:rFonts w:hint="eastAsia" w:eastAsia="仿宋_GB2312"/>
          <w:sz w:val="32"/>
          <w:szCs w:val="32"/>
        </w:rPr>
        <w:t>负责贯彻执行</w:t>
      </w:r>
      <w:r>
        <w:rPr>
          <w:rFonts w:hint="eastAsia" w:eastAsia="仿宋_GB2312"/>
          <w:sz w:val="32"/>
          <w:szCs w:val="32"/>
          <w:lang w:val="en-US" w:eastAsia="zh-CN"/>
        </w:rPr>
        <w:t>福利彩票发行的法规和政策。</w:t>
      </w:r>
    </w:p>
    <w:p>
      <w:pPr>
        <w:widowControl/>
        <w:spacing w:line="600" w:lineRule="exact"/>
        <w:ind w:firstLine="320" w:firstLineChars="100"/>
        <w:jc w:val="left"/>
        <w:rPr>
          <w:rFonts w:hint="eastAsia" w:eastAsia="仿宋_GB2312"/>
          <w:sz w:val="32"/>
          <w:szCs w:val="32"/>
        </w:rPr>
      </w:pPr>
      <w:r>
        <w:rPr>
          <w:rFonts w:hint="eastAsia" w:eastAsia="仿宋_GB2312"/>
          <w:sz w:val="32"/>
          <w:szCs w:val="32"/>
          <w:lang w:val="en-US" w:eastAsia="zh-CN"/>
        </w:rPr>
        <w:t>（二）负责指导管理本县区域内福利彩票销售工作</w:t>
      </w:r>
      <w:r>
        <w:rPr>
          <w:rFonts w:hint="eastAsia" w:eastAsia="仿宋_GB2312"/>
          <w:sz w:val="32"/>
          <w:szCs w:val="32"/>
        </w:rPr>
        <w:t>。</w:t>
      </w:r>
    </w:p>
    <w:p>
      <w:pPr>
        <w:widowControl/>
        <w:spacing w:line="600" w:lineRule="exact"/>
        <w:ind w:firstLine="320" w:firstLineChars="100"/>
        <w:jc w:val="left"/>
        <w:rPr>
          <w:rFonts w:hint="eastAsia" w:eastAsia="仿宋_GB2312"/>
          <w:sz w:val="32"/>
          <w:szCs w:val="32"/>
        </w:rPr>
      </w:pPr>
      <w:r>
        <w:rPr>
          <w:rFonts w:hint="eastAsia" w:eastAsia="仿宋_GB2312"/>
          <w:sz w:val="32"/>
          <w:szCs w:val="32"/>
          <w:lang w:val="en-US" w:eastAsia="zh-CN"/>
        </w:rPr>
        <w:t>（三）筹集社会福利资金</w:t>
      </w:r>
      <w:r>
        <w:rPr>
          <w:rFonts w:hint="eastAsia" w:eastAsia="仿宋_GB2312"/>
          <w:sz w:val="32"/>
          <w:szCs w:val="32"/>
        </w:rPr>
        <w:t>。</w:t>
      </w:r>
    </w:p>
    <w:p>
      <w:pPr>
        <w:jc w:val="left"/>
        <w:rPr>
          <w:rFonts w:ascii="仿宋_GB2312" w:eastAsia="仿宋_GB2312" w:hAnsiTheme="minorEastAsia"/>
          <w:sz w:val="28"/>
          <w:szCs w:val="32"/>
        </w:rPr>
      </w:pP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机构设置</w:t>
      </w:r>
    </w:p>
    <w:p>
      <w:pPr>
        <w:widowControl/>
        <w:spacing w:line="600" w:lineRule="exact"/>
        <w:ind w:firstLine="640" w:firstLineChars="200"/>
        <w:jc w:val="left"/>
        <w:rPr>
          <w:rFonts w:hint="eastAsia" w:eastAsia="仿宋_GB2312"/>
          <w:sz w:val="32"/>
          <w:szCs w:val="32"/>
          <w:lang w:eastAsia="zh-CN"/>
        </w:rPr>
      </w:pPr>
      <w:r>
        <w:rPr>
          <w:rFonts w:hint="eastAsia" w:eastAsia="仿宋_GB2312"/>
          <w:sz w:val="32"/>
          <w:szCs w:val="32"/>
        </w:rPr>
        <w:t>本单位</w:t>
      </w:r>
      <w:r>
        <w:rPr>
          <w:rFonts w:hint="eastAsia" w:eastAsia="仿宋_GB2312"/>
          <w:sz w:val="32"/>
          <w:szCs w:val="32"/>
          <w:lang w:val="en-US" w:eastAsia="zh-CN"/>
        </w:rPr>
        <w:t>系岳阳县民政局属二级机构，</w:t>
      </w:r>
      <w:r>
        <w:rPr>
          <w:rFonts w:hint="eastAsia" w:eastAsia="仿宋_GB2312"/>
          <w:sz w:val="32"/>
          <w:szCs w:val="32"/>
        </w:rPr>
        <w:t xml:space="preserve">内设 </w:t>
      </w:r>
      <w:r>
        <w:rPr>
          <w:rFonts w:hint="eastAsia" w:eastAsia="仿宋_GB2312"/>
          <w:sz w:val="32"/>
          <w:szCs w:val="32"/>
          <w:lang w:val="en-US" w:eastAsia="zh-CN"/>
        </w:rPr>
        <w:t>3</w:t>
      </w:r>
      <w:r>
        <w:rPr>
          <w:rFonts w:hint="eastAsia" w:eastAsia="仿宋_GB2312"/>
          <w:sz w:val="32"/>
          <w:szCs w:val="32"/>
        </w:rPr>
        <w:t>个股室，分别是：办公室、</w:t>
      </w:r>
      <w:r>
        <w:rPr>
          <w:rFonts w:hint="eastAsia" w:eastAsia="仿宋_GB2312"/>
          <w:sz w:val="32"/>
          <w:szCs w:val="32"/>
          <w:lang w:val="en-US" w:eastAsia="zh-CN"/>
        </w:rPr>
        <w:t>财务室、市场管理室</w:t>
      </w:r>
      <w:r>
        <w:rPr>
          <w:rFonts w:hint="eastAsia" w:eastAsia="仿宋_GB2312"/>
          <w:sz w:val="32"/>
          <w:szCs w:val="32"/>
        </w:rPr>
        <w:t>。年末实有在职人数</w:t>
      </w:r>
      <w:r>
        <w:rPr>
          <w:rFonts w:hint="eastAsia" w:eastAsia="仿宋_GB2312"/>
          <w:sz w:val="32"/>
          <w:szCs w:val="32"/>
          <w:lang w:val="en-US" w:eastAsia="zh-CN"/>
        </w:rPr>
        <w:t>4</w:t>
      </w:r>
      <w:r>
        <w:rPr>
          <w:rFonts w:hint="eastAsia" w:eastAsia="仿宋_GB2312"/>
          <w:sz w:val="32"/>
          <w:szCs w:val="32"/>
        </w:rPr>
        <w:t>人</w:t>
      </w:r>
      <w:r>
        <w:rPr>
          <w:rFonts w:hint="eastAsia" w:eastAsia="仿宋_GB2312"/>
          <w:sz w:val="32"/>
          <w:szCs w:val="32"/>
          <w:lang w:eastAsia="zh-CN"/>
        </w:rPr>
        <w:t>。</w:t>
      </w:r>
    </w:p>
    <w:p>
      <w:pPr>
        <w:widowControl/>
        <w:numPr>
          <w:ilvl w:val="0"/>
          <w:numId w:val="2"/>
        </w:numPr>
        <w:spacing w:line="600" w:lineRule="exact"/>
        <w:rPr>
          <w:rFonts w:hint="eastAsia" w:ascii="黑体" w:hAnsi="黑体" w:eastAsia="黑体"/>
          <w:bCs/>
          <w:kern w:val="0"/>
          <w:sz w:val="32"/>
          <w:szCs w:val="32"/>
        </w:rPr>
      </w:pPr>
      <w:r>
        <w:rPr>
          <w:rFonts w:hint="eastAsia" w:ascii="黑体" w:hAnsi="黑体" w:eastAsia="黑体"/>
          <w:bCs/>
          <w:kern w:val="0"/>
          <w:sz w:val="32"/>
          <w:szCs w:val="32"/>
        </w:rPr>
        <w:t>决算单位构成</w:t>
      </w:r>
    </w:p>
    <w:p>
      <w:pPr>
        <w:jc w:val="center"/>
        <w:rPr>
          <w:rFonts w:ascii="黑体" w:hAnsi="黑体" w:eastAsia="黑体"/>
          <w:sz w:val="28"/>
          <w:szCs w:val="28"/>
        </w:rPr>
      </w:pPr>
      <w:r>
        <w:rPr>
          <w:rFonts w:hint="eastAsia" w:eastAsia="仿宋_GB2312"/>
          <w:sz w:val="32"/>
          <w:szCs w:val="32"/>
        </w:rPr>
        <w:t>本单位没有所属</w:t>
      </w:r>
      <w:r>
        <w:rPr>
          <w:rFonts w:hint="eastAsia" w:eastAsia="仿宋_GB2312"/>
          <w:sz w:val="32"/>
          <w:szCs w:val="32"/>
          <w:lang w:val="en-US" w:eastAsia="zh-CN"/>
        </w:rPr>
        <w:t>下</w:t>
      </w:r>
      <w:r>
        <w:rPr>
          <w:rFonts w:hint="eastAsia" w:eastAsia="仿宋_GB2312"/>
          <w:sz w:val="32"/>
          <w:szCs w:val="32"/>
        </w:rPr>
        <w:t>级机构，因此本年度部门预算仅为本级部门</w:t>
      </w:r>
      <w:r>
        <w:rPr>
          <w:rFonts w:hint="eastAsia" w:eastAsia="仿宋_GB2312"/>
          <w:sz w:val="32"/>
          <w:szCs w:val="32"/>
          <w:lang w:val="en-US" w:eastAsia="zh-CN"/>
        </w:rPr>
        <w:t>决</w:t>
      </w:r>
      <w:r>
        <w:rPr>
          <w:rFonts w:hint="eastAsia" w:eastAsia="仿宋_GB2312"/>
          <w:sz w:val="32"/>
          <w:szCs w:val="32"/>
        </w:rPr>
        <w:t>算。</w:t>
      </w: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p>
    <w:p>
      <w:pPr>
        <w:jc w:val="center"/>
        <w:rPr>
          <w:sz w:val="72"/>
          <w:szCs w:val="72"/>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rFonts w:ascii="黑体" w:hAnsi="黑体" w:eastAsia="黑体"/>
          <w:sz w:val="28"/>
          <w:szCs w:val="28"/>
        </w:rPr>
      </w:pPr>
    </w:p>
    <w:p>
      <w:pPr>
        <w:jc w:val="center"/>
        <w:rPr>
          <w:sz w:val="72"/>
          <w:szCs w:val="72"/>
        </w:rPr>
      </w:pPr>
      <w:r>
        <w:rPr>
          <w:rFonts w:hint="eastAsia"/>
          <w:sz w:val="72"/>
          <w:szCs w:val="72"/>
        </w:rPr>
        <w:t>第二部分</w:t>
      </w:r>
    </w:p>
    <w:p>
      <w:pPr>
        <w:jc w:val="center"/>
        <w:rPr>
          <w:sz w:val="72"/>
          <w:szCs w:val="72"/>
        </w:rPr>
      </w:pPr>
    </w:p>
    <w:p>
      <w:pPr>
        <w:jc w:val="center"/>
        <w:outlineLvl w:val="0"/>
        <w:rPr>
          <w:sz w:val="72"/>
          <w:szCs w:val="72"/>
        </w:rPr>
      </w:pPr>
      <w:r>
        <w:rPr>
          <w:rFonts w:hint="eastAsia"/>
          <w:sz w:val="72"/>
          <w:szCs w:val="72"/>
        </w:rPr>
        <w:t>部门决算表</w:t>
      </w:r>
    </w:p>
    <w:p>
      <w:pPr>
        <w:jc w:val="center"/>
        <w:rPr>
          <w:rFonts w:hint="eastAsia" w:eastAsiaTheme="minorEastAsia"/>
          <w:sz w:val="72"/>
          <w:szCs w:val="72"/>
          <w:lang w:eastAsia="zh-CN"/>
        </w:rPr>
      </w:pPr>
      <w:r>
        <w:rPr>
          <w:rFonts w:hint="eastAsia"/>
          <w:sz w:val="72"/>
          <w:szCs w:val="72"/>
          <w:lang w:eastAsia="zh-CN"/>
        </w:rPr>
        <w:t>（见附件）</w:t>
      </w: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center"/>
        <w:rPr>
          <w:sz w:val="72"/>
          <w:szCs w:val="72"/>
        </w:rPr>
      </w:pPr>
    </w:p>
    <w:p>
      <w:pPr>
        <w:jc w:val="left"/>
        <w:rPr>
          <w:sz w:val="32"/>
          <w:szCs w:val="32"/>
        </w:rPr>
      </w:pPr>
    </w:p>
    <w:p>
      <w:pPr>
        <w:jc w:val="left"/>
        <w:rPr>
          <w:rFonts w:asciiTheme="minorEastAsia" w:hAnsiTheme="minorEastAsia"/>
          <w:sz w:val="32"/>
          <w:szCs w:val="32"/>
        </w:rPr>
        <w:sectPr>
          <w:pgSz w:w="11906" w:h="16838"/>
          <w:pgMar w:top="720" w:right="720" w:bottom="720" w:left="720" w:header="851" w:footer="992" w:gutter="0"/>
          <w:cols w:space="425" w:num="1"/>
          <w:docGrid w:type="lines" w:linePitch="312" w:charSpace="0"/>
        </w:sectPr>
      </w:pPr>
    </w:p>
    <w:p>
      <w:pPr>
        <w:pStyle w:val="10"/>
        <w:jc w:val="center"/>
        <w:rPr>
          <w:sz w:val="72"/>
          <w:szCs w:val="72"/>
        </w:rPr>
      </w:pPr>
      <w:r>
        <w:rPr>
          <w:rFonts w:hint="eastAsia"/>
          <w:sz w:val="72"/>
          <w:szCs w:val="72"/>
        </w:rPr>
        <w:t>第三部分</w:t>
      </w:r>
    </w:p>
    <w:p>
      <w:pPr>
        <w:pStyle w:val="10"/>
        <w:jc w:val="center"/>
        <w:rPr>
          <w:sz w:val="70"/>
          <w:szCs w:val="70"/>
        </w:rPr>
      </w:pPr>
    </w:p>
    <w:p>
      <w:pPr>
        <w:pStyle w:val="10"/>
        <w:jc w:val="center"/>
        <w:outlineLvl w:val="0"/>
        <w:rPr>
          <w:sz w:val="70"/>
          <w:szCs w:val="70"/>
        </w:rPr>
      </w:pPr>
      <w:r>
        <w:rPr>
          <w:sz w:val="70"/>
          <w:szCs w:val="70"/>
        </w:rPr>
        <w:t>20</w:t>
      </w:r>
      <w:r>
        <w:rPr>
          <w:rFonts w:hint="eastAsia"/>
          <w:sz w:val="70"/>
          <w:szCs w:val="70"/>
        </w:rPr>
        <w:t>21年度部门决算情况说明</w:t>
      </w:r>
    </w:p>
    <w:p>
      <w:pPr>
        <w:widowControl/>
        <w:jc w:val="left"/>
        <w:rPr>
          <w:rFonts w:hint="eastAsia" w:hAnsi="黑体"/>
          <w:b/>
          <w:sz w:val="32"/>
          <w:szCs w:val="32"/>
        </w:rPr>
      </w:pPr>
    </w:p>
    <w:p>
      <w:pPr>
        <w:widowControl/>
        <w:jc w:val="left"/>
        <w:rPr>
          <w:rFonts w:hAnsi="黑体"/>
          <w:b/>
          <w:sz w:val="32"/>
          <w:szCs w:val="32"/>
        </w:rPr>
      </w:pPr>
      <w:r>
        <w:rPr>
          <w:rFonts w:hint="eastAsia" w:hAnsi="黑体"/>
          <w:b/>
          <w:sz w:val="32"/>
          <w:szCs w:val="32"/>
        </w:rPr>
        <w:t>一、收入支出决算总体情况说明</w:t>
      </w:r>
    </w:p>
    <w:p>
      <w:pPr>
        <w:pStyle w:val="10"/>
        <w:ind w:firstLine="640" w:firstLineChars="200"/>
        <w:rPr>
          <w:rFonts w:ascii="宋体" w:hAnsi="宋体" w:eastAsia="宋体"/>
          <w:sz w:val="32"/>
          <w:szCs w:val="32"/>
        </w:rPr>
      </w:pPr>
      <w:r>
        <w:rPr>
          <w:rFonts w:hint="eastAsia" w:ascii="宋体" w:hAnsi="宋体" w:eastAsia="宋体"/>
          <w:sz w:val="32"/>
          <w:szCs w:val="32"/>
        </w:rPr>
        <w:t>2021年度收入总计</w:t>
      </w:r>
      <w:r>
        <w:rPr>
          <w:rFonts w:hint="eastAsia" w:ascii="宋体" w:hAnsi="宋体" w:eastAsia="宋体"/>
          <w:sz w:val="32"/>
          <w:szCs w:val="32"/>
          <w:lang w:val="en-US" w:eastAsia="zh-CN"/>
        </w:rPr>
        <w:t>192.67</w:t>
      </w:r>
      <w:r>
        <w:rPr>
          <w:rFonts w:hint="eastAsia" w:ascii="宋体" w:hAnsi="宋体" w:eastAsia="宋体"/>
          <w:sz w:val="32"/>
          <w:szCs w:val="32"/>
        </w:rPr>
        <w:t>万元</w:t>
      </w:r>
      <w:r>
        <w:rPr>
          <w:rFonts w:hint="eastAsia" w:ascii="宋体" w:hAnsi="宋体" w:eastAsia="宋体"/>
          <w:b w:val="0"/>
          <w:bCs w:val="0"/>
          <w:color w:val="auto"/>
          <w:sz w:val="28"/>
          <w:szCs w:val="28"/>
        </w:rPr>
        <w:t>（</w:t>
      </w:r>
      <w:r>
        <w:rPr>
          <w:rFonts w:hint="eastAsia" w:ascii="宋体" w:hAnsi="宋体" w:eastAsia="宋体"/>
          <w:sz w:val="32"/>
          <w:szCs w:val="32"/>
        </w:rPr>
        <w:t>含年初结转和结余资金</w:t>
      </w:r>
      <w:r>
        <w:rPr>
          <w:rFonts w:hint="eastAsia" w:ascii="宋体" w:hAnsi="宋体" w:eastAsia="宋体"/>
          <w:sz w:val="32"/>
          <w:szCs w:val="32"/>
          <w:lang w:val="en-US" w:eastAsia="zh-CN"/>
        </w:rPr>
        <w:t>90.41万元</w:t>
      </w:r>
      <w:r>
        <w:rPr>
          <w:rFonts w:hint="eastAsia" w:ascii="宋体" w:hAnsi="宋体" w:eastAsia="宋体"/>
          <w:b w:val="0"/>
          <w:bCs w:val="0"/>
          <w:color w:val="auto"/>
          <w:sz w:val="28"/>
          <w:szCs w:val="28"/>
        </w:rPr>
        <w:t>）</w:t>
      </w:r>
      <w:r>
        <w:rPr>
          <w:rFonts w:hint="eastAsia" w:ascii="宋体" w:hAnsi="宋体" w:eastAsia="宋体"/>
          <w:sz w:val="32"/>
          <w:szCs w:val="32"/>
        </w:rPr>
        <w:t>，与上年相比，减少</w:t>
      </w:r>
      <w:r>
        <w:rPr>
          <w:rFonts w:hint="eastAsia" w:ascii="宋体" w:hAnsi="宋体" w:eastAsia="宋体"/>
          <w:sz w:val="32"/>
          <w:szCs w:val="32"/>
          <w:lang w:val="en-US" w:eastAsia="zh-CN"/>
        </w:rPr>
        <w:t>21.68</w:t>
      </w:r>
      <w:r>
        <w:rPr>
          <w:rFonts w:hint="eastAsia" w:ascii="宋体" w:hAnsi="宋体" w:eastAsia="宋体"/>
          <w:sz w:val="32"/>
          <w:szCs w:val="32"/>
        </w:rPr>
        <w:t>万元，减少</w:t>
      </w:r>
      <w:r>
        <w:rPr>
          <w:rFonts w:hint="eastAsia" w:ascii="宋体" w:hAnsi="宋体" w:eastAsia="宋体"/>
          <w:sz w:val="32"/>
          <w:szCs w:val="32"/>
          <w:lang w:val="en-US" w:eastAsia="zh-CN"/>
        </w:rPr>
        <w:t>10.11</w:t>
      </w:r>
      <w:r>
        <w:rPr>
          <w:rFonts w:hint="eastAsia" w:ascii="宋体" w:hAnsi="宋体" w:eastAsia="宋体"/>
          <w:sz w:val="32"/>
          <w:szCs w:val="32"/>
        </w:rPr>
        <w:t>%，主要是因为</w:t>
      </w:r>
      <w:r>
        <w:rPr>
          <w:rFonts w:hint="eastAsia" w:ascii="宋体" w:hAnsi="宋体" w:eastAsia="宋体"/>
          <w:sz w:val="32"/>
          <w:szCs w:val="32"/>
          <w:lang w:val="en-US" w:eastAsia="zh-CN"/>
        </w:rPr>
        <w:t>福利彩票销售政策变更及疫情影响原因</w:t>
      </w:r>
      <w:r>
        <w:rPr>
          <w:rFonts w:hint="eastAsia" w:ascii="宋体" w:hAnsi="宋体" w:eastAsia="宋体"/>
          <w:sz w:val="32"/>
          <w:szCs w:val="32"/>
        </w:rPr>
        <w:t>。</w:t>
      </w:r>
    </w:p>
    <w:p>
      <w:pPr>
        <w:pStyle w:val="10"/>
        <w:ind w:firstLine="640" w:firstLineChars="200"/>
        <w:rPr>
          <w:rFonts w:asciiTheme="minorEastAsia" w:hAnsiTheme="minorEastAsia" w:eastAsiaTheme="minorEastAsia"/>
          <w:sz w:val="32"/>
          <w:szCs w:val="32"/>
        </w:rPr>
      </w:pPr>
      <w:r>
        <w:rPr>
          <w:rFonts w:hint="eastAsia" w:ascii="宋体" w:hAnsi="宋体" w:eastAsia="宋体"/>
          <w:sz w:val="32"/>
          <w:szCs w:val="32"/>
        </w:rPr>
        <w:t>2021年度支出总计</w:t>
      </w:r>
      <w:r>
        <w:rPr>
          <w:rFonts w:hint="eastAsia" w:ascii="宋体" w:hAnsi="宋体" w:eastAsia="宋体"/>
          <w:sz w:val="32"/>
          <w:szCs w:val="32"/>
          <w:lang w:val="en-US" w:eastAsia="zh-CN"/>
        </w:rPr>
        <w:t>192.67</w:t>
      </w:r>
      <w:r>
        <w:rPr>
          <w:rFonts w:hint="eastAsia" w:ascii="宋体" w:hAnsi="宋体" w:eastAsia="宋体"/>
          <w:sz w:val="32"/>
          <w:szCs w:val="32"/>
        </w:rPr>
        <w:t>万元</w:t>
      </w:r>
      <w:r>
        <w:rPr>
          <w:rFonts w:hint="eastAsia" w:ascii="宋体" w:hAnsi="宋体" w:eastAsia="宋体"/>
          <w:b w:val="0"/>
          <w:bCs w:val="0"/>
          <w:color w:val="auto"/>
          <w:sz w:val="28"/>
          <w:szCs w:val="28"/>
        </w:rPr>
        <w:t>（含</w:t>
      </w:r>
      <w:r>
        <w:rPr>
          <w:rFonts w:hint="eastAsia" w:ascii="宋体" w:hAnsi="宋体" w:eastAsia="宋体"/>
          <w:sz w:val="32"/>
          <w:szCs w:val="32"/>
        </w:rPr>
        <w:t>年末结转和结余资金</w:t>
      </w:r>
      <w:r>
        <w:rPr>
          <w:rFonts w:hint="eastAsia" w:ascii="宋体" w:hAnsi="宋体" w:eastAsia="宋体"/>
          <w:sz w:val="32"/>
          <w:szCs w:val="32"/>
          <w:lang w:val="en-US" w:eastAsia="zh-CN"/>
        </w:rPr>
        <w:t>55.74万元</w:t>
      </w:r>
      <w:r>
        <w:rPr>
          <w:rFonts w:hint="eastAsia" w:ascii="宋体" w:hAnsi="宋体" w:eastAsia="宋体"/>
          <w:b w:val="0"/>
          <w:bCs w:val="0"/>
          <w:color w:val="auto"/>
          <w:sz w:val="28"/>
          <w:szCs w:val="28"/>
        </w:rPr>
        <w:t>）</w:t>
      </w:r>
      <w:r>
        <w:rPr>
          <w:rFonts w:hint="eastAsia" w:ascii="宋体" w:hAnsi="宋体" w:eastAsia="宋体"/>
          <w:sz w:val="32"/>
          <w:szCs w:val="32"/>
        </w:rPr>
        <w:t>，与上年相比，减少</w:t>
      </w:r>
      <w:r>
        <w:rPr>
          <w:rFonts w:hint="eastAsia" w:ascii="宋体" w:hAnsi="宋体" w:eastAsia="宋体"/>
          <w:sz w:val="32"/>
          <w:szCs w:val="32"/>
          <w:lang w:val="en-US" w:eastAsia="zh-CN"/>
        </w:rPr>
        <w:t>21.68</w:t>
      </w:r>
      <w:r>
        <w:rPr>
          <w:rFonts w:hint="eastAsia" w:ascii="宋体" w:hAnsi="宋体" w:eastAsia="宋体"/>
          <w:sz w:val="32"/>
          <w:szCs w:val="32"/>
        </w:rPr>
        <w:t>万元，减少</w:t>
      </w:r>
      <w:r>
        <w:rPr>
          <w:rFonts w:hint="eastAsia" w:ascii="宋体" w:hAnsi="宋体" w:eastAsia="宋体"/>
          <w:sz w:val="32"/>
          <w:szCs w:val="32"/>
          <w:lang w:val="en-US" w:eastAsia="zh-CN"/>
        </w:rPr>
        <w:t>10.11</w:t>
      </w:r>
      <w:r>
        <w:rPr>
          <w:rFonts w:hint="eastAsia" w:ascii="宋体" w:hAnsi="宋体" w:eastAsia="宋体"/>
          <w:sz w:val="32"/>
          <w:szCs w:val="32"/>
        </w:rPr>
        <w:t>%，主要是因为</w:t>
      </w:r>
      <w:r>
        <w:rPr>
          <w:rFonts w:hint="eastAsia" w:ascii="宋体" w:hAnsi="宋体" w:eastAsia="宋体"/>
          <w:sz w:val="32"/>
          <w:szCs w:val="32"/>
          <w:lang w:val="en-US" w:eastAsia="zh-CN"/>
        </w:rPr>
        <w:t>福利彩票销售政策变更及疫情影响原因</w:t>
      </w:r>
      <w:r>
        <w:rPr>
          <w:rFonts w:hint="eastAsia" w:ascii="宋体" w:hAnsi="宋体" w:eastAsia="宋体"/>
          <w:sz w:val="32"/>
          <w:szCs w:val="32"/>
        </w:rPr>
        <w:t>。</w:t>
      </w:r>
    </w:p>
    <w:p>
      <w:pPr>
        <w:pStyle w:val="10"/>
        <w:outlineLvl w:val="0"/>
        <w:rPr>
          <w:rFonts w:hAnsi="黑体"/>
          <w:b/>
          <w:sz w:val="32"/>
          <w:szCs w:val="32"/>
        </w:rPr>
      </w:pPr>
      <w:r>
        <w:rPr>
          <w:rFonts w:hint="eastAsia" w:hAnsi="黑体"/>
          <w:b/>
          <w:sz w:val="32"/>
          <w:szCs w:val="32"/>
        </w:rPr>
        <w:t>二、收入决算情况说明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收入合计</w:t>
      </w:r>
      <w:r>
        <w:rPr>
          <w:rFonts w:hint="eastAsia" w:asciiTheme="minorEastAsia" w:hAnsiTheme="minorEastAsia" w:eastAsiaTheme="minorEastAsia"/>
          <w:sz w:val="32"/>
          <w:szCs w:val="32"/>
          <w:lang w:val="en-US" w:eastAsia="zh-CN"/>
        </w:rPr>
        <w:t>102.27</w:t>
      </w:r>
      <w:r>
        <w:rPr>
          <w:rFonts w:hint="eastAsia" w:asciiTheme="minorEastAsia" w:hAnsiTheme="minorEastAsia" w:eastAsiaTheme="minorEastAsia"/>
          <w:sz w:val="32"/>
          <w:szCs w:val="32"/>
        </w:rPr>
        <w:t>万元</w:t>
      </w:r>
      <w:r>
        <w:rPr>
          <w:rFonts w:hint="eastAsia" w:ascii="宋体" w:hAnsi="宋体" w:eastAsia="宋体"/>
          <w:b w:val="0"/>
          <w:bCs w:val="0"/>
          <w:color w:val="auto"/>
          <w:sz w:val="28"/>
          <w:szCs w:val="28"/>
        </w:rPr>
        <w:t>（</w:t>
      </w:r>
      <w:r>
        <w:rPr>
          <w:rFonts w:hint="eastAsia" w:ascii="宋体" w:hAnsi="宋体" w:eastAsia="宋体"/>
          <w:sz w:val="32"/>
          <w:szCs w:val="32"/>
        </w:rPr>
        <w:t>不含年初结转和结余资金</w:t>
      </w:r>
      <w:r>
        <w:rPr>
          <w:rFonts w:hint="eastAsia" w:ascii="宋体" w:hAnsi="宋体" w:eastAsia="宋体"/>
          <w:b w:val="0"/>
          <w:bCs w:val="0"/>
          <w:color w:val="auto"/>
          <w:sz w:val="28"/>
          <w:szCs w:val="28"/>
        </w:rPr>
        <w:t>）</w:t>
      </w:r>
      <w:r>
        <w:rPr>
          <w:rFonts w:hint="eastAsia" w:asciiTheme="minorEastAsia" w:hAnsiTheme="minorEastAsia" w:eastAsiaTheme="minorEastAsia"/>
          <w:sz w:val="32"/>
          <w:szCs w:val="32"/>
        </w:rPr>
        <w:t>，其中：财政拨款收入</w:t>
      </w:r>
      <w:r>
        <w:rPr>
          <w:rFonts w:hint="eastAsia" w:asciiTheme="minorEastAsia" w:hAnsiTheme="minorEastAsia" w:eastAsiaTheme="minorEastAsia"/>
          <w:sz w:val="32"/>
          <w:szCs w:val="32"/>
          <w:lang w:val="en-US" w:eastAsia="zh-CN"/>
        </w:rPr>
        <w:t>79.21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77.45</w:t>
      </w:r>
      <w:r>
        <w:rPr>
          <w:rFonts w:hint="eastAsia" w:asciiTheme="minorEastAsia" w:hAnsiTheme="minorEastAsia" w:eastAsiaTheme="minorEastAsia"/>
          <w:sz w:val="32"/>
          <w:szCs w:val="32"/>
        </w:rPr>
        <w:t>%；其他收入</w:t>
      </w:r>
      <w:r>
        <w:rPr>
          <w:rFonts w:hint="eastAsia" w:asciiTheme="minorEastAsia" w:hAnsiTheme="minorEastAsia" w:eastAsiaTheme="minorEastAsia"/>
          <w:sz w:val="32"/>
          <w:szCs w:val="32"/>
          <w:lang w:val="en-US" w:eastAsia="zh-CN"/>
        </w:rPr>
        <w:t>23.06</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22.55</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三、支出决算情况说明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lang w:val="en-US" w:eastAsia="zh-CN"/>
        </w:rPr>
        <w:t>2021年度</w:t>
      </w:r>
      <w:r>
        <w:rPr>
          <w:rFonts w:hint="eastAsia" w:asciiTheme="minorEastAsia" w:hAnsiTheme="minorEastAsia" w:eastAsiaTheme="minorEastAsia"/>
          <w:sz w:val="32"/>
          <w:szCs w:val="32"/>
        </w:rPr>
        <w:t>支出合计</w:t>
      </w:r>
      <w:r>
        <w:rPr>
          <w:rFonts w:hint="eastAsia" w:asciiTheme="minorEastAsia" w:hAnsiTheme="minorEastAsia" w:eastAsiaTheme="minorEastAsia"/>
          <w:sz w:val="32"/>
          <w:szCs w:val="32"/>
          <w:lang w:val="en-US" w:eastAsia="zh-CN"/>
        </w:rPr>
        <w:t>136.94</w:t>
      </w:r>
      <w:r>
        <w:rPr>
          <w:rFonts w:hint="eastAsia" w:asciiTheme="minorEastAsia" w:hAnsiTheme="minorEastAsia" w:eastAsiaTheme="minorEastAsia"/>
          <w:sz w:val="32"/>
          <w:szCs w:val="32"/>
        </w:rPr>
        <w:t>万元</w:t>
      </w:r>
      <w:r>
        <w:rPr>
          <w:rFonts w:hint="eastAsia" w:ascii="宋体" w:hAnsi="宋体" w:eastAsia="宋体"/>
          <w:b w:val="0"/>
          <w:bCs w:val="0"/>
          <w:color w:val="auto"/>
          <w:sz w:val="28"/>
          <w:szCs w:val="28"/>
        </w:rPr>
        <w:t>（</w:t>
      </w:r>
      <w:r>
        <w:rPr>
          <w:rFonts w:hint="eastAsia" w:ascii="宋体" w:hAnsi="宋体" w:eastAsia="宋体"/>
          <w:sz w:val="32"/>
          <w:szCs w:val="32"/>
        </w:rPr>
        <w:t>不含年末结转和结余资金</w:t>
      </w:r>
      <w:r>
        <w:rPr>
          <w:rFonts w:hint="eastAsia" w:ascii="宋体" w:hAnsi="宋体" w:eastAsia="宋体"/>
          <w:b w:val="0"/>
          <w:bCs w:val="0"/>
          <w:color w:val="auto"/>
          <w:sz w:val="28"/>
          <w:szCs w:val="28"/>
        </w:rPr>
        <w:t>）</w:t>
      </w:r>
      <w:r>
        <w:rPr>
          <w:rFonts w:hint="eastAsia" w:asciiTheme="minorEastAsia" w:hAnsiTheme="minorEastAsia" w:eastAsiaTheme="minorEastAsia"/>
          <w:sz w:val="32"/>
          <w:szCs w:val="32"/>
        </w:rPr>
        <w:t>，其中：基本支出</w:t>
      </w:r>
      <w:r>
        <w:rPr>
          <w:rFonts w:hint="eastAsia" w:asciiTheme="minorEastAsia" w:hAnsiTheme="minorEastAsia" w:eastAsiaTheme="minorEastAsia"/>
          <w:sz w:val="32"/>
          <w:szCs w:val="32"/>
          <w:lang w:val="en-US" w:eastAsia="zh-CN"/>
        </w:rPr>
        <w:t>52.51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38.35</w:t>
      </w:r>
      <w:r>
        <w:rPr>
          <w:rFonts w:hint="eastAsia" w:asciiTheme="minorEastAsia" w:hAnsiTheme="minorEastAsia" w:eastAsiaTheme="minorEastAsia"/>
          <w:sz w:val="32"/>
          <w:szCs w:val="32"/>
        </w:rPr>
        <w:t>%；项目支出</w:t>
      </w:r>
      <w:r>
        <w:rPr>
          <w:rFonts w:hint="eastAsia" w:asciiTheme="minorEastAsia" w:hAnsiTheme="minorEastAsia" w:eastAsiaTheme="minorEastAsia"/>
          <w:sz w:val="32"/>
          <w:szCs w:val="32"/>
          <w:lang w:val="en-US" w:eastAsia="zh-CN"/>
        </w:rPr>
        <w:t>84.42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61.65</w:t>
      </w:r>
      <w:r>
        <w:rPr>
          <w:rFonts w:hint="eastAsia" w:asciiTheme="minorEastAsia" w:hAnsiTheme="minorEastAsia" w:eastAsiaTheme="minorEastAsia"/>
          <w:sz w:val="32"/>
          <w:szCs w:val="32"/>
        </w:rPr>
        <w:t>%。</w:t>
      </w:r>
    </w:p>
    <w:p>
      <w:pPr>
        <w:pStyle w:val="10"/>
        <w:rPr>
          <w:rFonts w:hAnsi="黑体"/>
          <w:b/>
          <w:sz w:val="32"/>
          <w:szCs w:val="32"/>
        </w:rPr>
      </w:pPr>
      <w:r>
        <w:rPr>
          <w:rFonts w:hint="eastAsia" w:hAnsi="黑体"/>
          <w:b/>
          <w:sz w:val="32"/>
          <w:szCs w:val="32"/>
        </w:rPr>
        <w:t>四、财政拨款收入支出决算总体情况说明</w:t>
      </w:r>
    </w:p>
    <w:p>
      <w:pPr>
        <w:pStyle w:val="10"/>
        <w:ind w:firstLine="640"/>
        <w:rPr>
          <w:rFonts w:hint="default" w:ascii="宋体" w:hAnsi="宋体" w:eastAsia="宋体"/>
          <w:sz w:val="32"/>
          <w:szCs w:val="32"/>
          <w:lang w:val="en-US" w:eastAsia="zh-CN"/>
        </w:rPr>
      </w:pPr>
      <w:r>
        <w:rPr>
          <w:rFonts w:hint="eastAsia" w:ascii="宋体" w:hAnsi="宋体" w:eastAsia="宋体"/>
          <w:sz w:val="32"/>
          <w:szCs w:val="32"/>
        </w:rPr>
        <w:t>2021年度财政拨款收入合计</w:t>
      </w:r>
      <w:r>
        <w:rPr>
          <w:rFonts w:hint="eastAsia" w:ascii="宋体" w:hAnsi="宋体" w:eastAsia="宋体"/>
          <w:sz w:val="32"/>
          <w:szCs w:val="32"/>
          <w:lang w:val="en-US" w:eastAsia="zh-CN"/>
        </w:rPr>
        <w:t>79.21</w:t>
      </w:r>
      <w:r>
        <w:rPr>
          <w:rFonts w:hint="eastAsia" w:ascii="宋体" w:hAnsi="宋体" w:eastAsia="宋体"/>
          <w:sz w:val="32"/>
          <w:szCs w:val="32"/>
        </w:rPr>
        <w:t>万元</w:t>
      </w:r>
      <w:r>
        <w:rPr>
          <w:rFonts w:hint="eastAsia" w:ascii="宋体" w:hAnsi="宋体" w:eastAsia="宋体"/>
          <w:sz w:val="32"/>
          <w:szCs w:val="32"/>
          <w:lang w:eastAsia="zh-CN"/>
        </w:rPr>
        <w:t>，</w:t>
      </w:r>
      <w:r>
        <w:rPr>
          <w:rFonts w:hint="eastAsia" w:ascii="宋体" w:hAnsi="宋体" w:eastAsia="宋体"/>
          <w:sz w:val="32"/>
          <w:szCs w:val="32"/>
        </w:rPr>
        <w:t>与上年相比，增加</w:t>
      </w:r>
      <w:r>
        <w:rPr>
          <w:rFonts w:hint="eastAsia" w:ascii="宋体" w:hAnsi="宋体" w:eastAsia="宋体"/>
          <w:sz w:val="32"/>
          <w:szCs w:val="32"/>
          <w:lang w:val="en-US" w:eastAsia="zh-CN"/>
        </w:rPr>
        <w:t>32.66</w:t>
      </w:r>
      <w:r>
        <w:rPr>
          <w:rFonts w:hint="eastAsia" w:ascii="宋体" w:hAnsi="宋体" w:eastAsia="宋体"/>
          <w:sz w:val="32"/>
          <w:szCs w:val="32"/>
        </w:rPr>
        <w:t>万元,增长</w:t>
      </w:r>
      <w:r>
        <w:rPr>
          <w:rFonts w:hint="eastAsia" w:ascii="宋体" w:hAnsi="宋体" w:eastAsia="宋体"/>
          <w:sz w:val="32"/>
          <w:szCs w:val="32"/>
          <w:lang w:val="en-US" w:eastAsia="zh-CN"/>
        </w:rPr>
        <w:t>70.16</w:t>
      </w:r>
      <w:r>
        <w:rPr>
          <w:rFonts w:hint="eastAsia" w:ascii="宋体" w:hAnsi="宋体" w:eastAsia="宋体"/>
          <w:sz w:val="32"/>
          <w:szCs w:val="32"/>
        </w:rPr>
        <w:t>%，主要是因为</w:t>
      </w:r>
      <w:r>
        <w:rPr>
          <w:rFonts w:hint="eastAsia" w:ascii="宋体" w:hAnsi="宋体" w:eastAsia="宋体"/>
          <w:sz w:val="32"/>
          <w:szCs w:val="32"/>
          <w:lang w:val="en-US" w:eastAsia="zh-CN"/>
        </w:rPr>
        <w:t>人员变动及预算政策变更原因。</w:t>
      </w:r>
    </w:p>
    <w:p>
      <w:pPr>
        <w:pStyle w:val="10"/>
        <w:ind w:firstLine="640"/>
        <w:rPr>
          <w:rFonts w:ascii="宋体" w:hAnsi="宋体" w:eastAsia="宋体"/>
          <w:b/>
          <w:bCs/>
          <w:color w:val="FF0000"/>
          <w:sz w:val="28"/>
          <w:szCs w:val="28"/>
        </w:rPr>
      </w:pPr>
      <w:r>
        <w:rPr>
          <w:rFonts w:hint="eastAsia" w:ascii="宋体" w:hAnsi="宋体" w:eastAsia="宋体"/>
          <w:sz w:val="32"/>
          <w:szCs w:val="32"/>
        </w:rPr>
        <w:t>2021年度财政拨款支出合计</w:t>
      </w:r>
      <w:r>
        <w:rPr>
          <w:rFonts w:hint="eastAsia" w:ascii="宋体" w:hAnsi="宋体" w:eastAsia="宋体"/>
          <w:sz w:val="32"/>
          <w:szCs w:val="32"/>
          <w:lang w:val="en-US" w:eastAsia="zh-CN"/>
        </w:rPr>
        <w:t>79.21</w:t>
      </w:r>
      <w:r>
        <w:rPr>
          <w:rFonts w:hint="eastAsia" w:ascii="宋体" w:hAnsi="宋体" w:eastAsia="宋体"/>
          <w:sz w:val="32"/>
          <w:szCs w:val="32"/>
        </w:rPr>
        <w:t>万元，与上年相比，增加</w:t>
      </w:r>
      <w:r>
        <w:rPr>
          <w:rFonts w:hint="eastAsia" w:ascii="宋体" w:hAnsi="宋体" w:eastAsia="宋体"/>
          <w:sz w:val="32"/>
          <w:szCs w:val="32"/>
          <w:lang w:val="en-US" w:eastAsia="zh-CN"/>
        </w:rPr>
        <w:t>32.66</w:t>
      </w:r>
      <w:r>
        <w:rPr>
          <w:rFonts w:hint="eastAsia" w:ascii="宋体" w:hAnsi="宋体" w:eastAsia="宋体"/>
          <w:sz w:val="32"/>
          <w:szCs w:val="32"/>
        </w:rPr>
        <w:t>万元,增长</w:t>
      </w:r>
      <w:r>
        <w:rPr>
          <w:rFonts w:hint="eastAsia" w:ascii="宋体" w:hAnsi="宋体" w:eastAsia="宋体"/>
          <w:sz w:val="32"/>
          <w:szCs w:val="32"/>
          <w:lang w:val="en-US" w:eastAsia="zh-CN"/>
        </w:rPr>
        <w:t>70.16</w:t>
      </w:r>
      <w:r>
        <w:rPr>
          <w:rFonts w:hint="eastAsia" w:ascii="宋体" w:hAnsi="宋体" w:eastAsia="宋体"/>
          <w:sz w:val="32"/>
          <w:szCs w:val="32"/>
        </w:rPr>
        <w:t>%，主要是因为</w:t>
      </w:r>
      <w:r>
        <w:rPr>
          <w:rFonts w:hint="eastAsia" w:ascii="宋体" w:hAnsi="宋体" w:eastAsia="宋体"/>
          <w:sz w:val="32"/>
          <w:szCs w:val="32"/>
          <w:lang w:val="en-US" w:eastAsia="zh-CN"/>
        </w:rPr>
        <w:t>人员变动及预算政策变更原因。</w:t>
      </w:r>
    </w:p>
    <w:p>
      <w:pPr>
        <w:pStyle w:val="10"/>
        <w:outlineLvl w:val="0"/>
        <w:rPr>
          <w:rFonts w:hAnsi="黑体"/>
          <w:b/>
          <w:sz w:val="32"/>
          <w:szCs w:val="32"/>
        </w:rPr>
      </w:pPr>
      <w:r>
        <w:rPr>
          <w:rFonts w:hint="eastAsia" w:hAnsi="黑体"/>
          <w:b/>
          <w:sz w:val="32"/>
          <w:szCs w:val="32"/>
        </w:rPr>
        <w:t>五、一般公共预算财政拨款支出决算情况说明</w:t>
      </w:r>
    </w:p>
    <w:p>
      <w:pPr>
        <w:pStyle w:val="10"/>
        <w:ind w:firstLine="640" w:firstLineChars="20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（一）财政拨款支出决算总体情况</w:t>
      </w:r>
    </w:p>
    <w:p>
      <w:pPr>
        <w:pStyle w:val="10"/>
        <w:ind w:firstLine="640"/>
        <w:rPr>
          <w:rFonts w:ascii="宋体" w:hAnsi="宋体" w:eastAsia="宋体"/>
          <w:b/>
          <w:bCs/>
          <w:color w:val="FF0000"/>
          <w:sz w:val="28"/>
          <w:szCs w:val="28"/>
        </w:rPr>
      </w:pPr>
      <w:r>
        <w:rPr>
          <w:rFonts w:hint="eastAsia" w:asciiTheme="minorEastAsia" w:hAnsiTheme="minorEastAsia" w:eastAsiaTheme="minorEastAsia"/>
          <w:sz w:val="32"/>
          <w:szCs w:val="32"/>
        </w:rPr>
        <w:t>2021年度财政拨款支出</w:t>
      </w:r>
      <w:r>
        <w:rPr>
          <w:rFonts w:hint="eastAsia" w:ascii="宋体" w:hAnsi="宋体" w:eastAsia="宋体"/>
          <w:sz w:val="32"/>
          <w:szCs w:val="32"/>
          <w:lang w:val="en-US" w:eastAsia="zh-CN"/>
        </w:rPr>
        <w:t>79.21</w:t>
      </w:r>
      <w:r>
        <w:rPr>
          <w:rFonts w:hint="eastAsia" w:asciiTheme="minorEastAsia" w:hAnsiTheme="minorEastAsia" w:eastAsiaTheme="minorEastAsia"/>
          <w:sz w:val="32"/>
          <w:szCs w:val="32"/>
        </w:rPr>
        <w:t>万元，占本年支出合计的</w:t>
      </w:r>
      <w:r>
        <w:rPr>
          <w:rFonts w:hint="eastAsia" w:asciiTheme="minorEastAsia" w:hAnsiTheme="minorEastAsia" w:eastAsiaTheme="minorEastAsia"/>
          <w:sz w:val="32"/>
          <w:szCs w:val="32"/>
          <w:lang w:val="en-US" w:eastAsia="zh-CN"/>
        </w:rPr>
        <w:t>57.84</w:t>
      </w:r>
      <w:r>
        <w:rPr>
          <w:rFonts w:hint="eastAsia" w:asciiTheme="minorEastAsia" w:hAnsiTheme="minorEastAsia" w:eastAsiaTheme="minorEastAsia"/>
          <w:sz w:val="32"/>
          <w:szCs w:val="32"/>
        </w:rPr>
        <w:t>%，与上年相比，财政拨款支出</w:t>
      </w:r>
      <w:r>
        <w:rPr>
          <w:rFonts w:hint="eastAsia" w:ascii="宋体" w:hAnsi="宋体" w:eastAsia="宋体"/>
          <w:sz w:val="32"/>
          <w:szCs w:val="32"/>
        </w:rPr>
        <w:t>增加</w:t>
      </w:r>
      <w:r>
        <w:rPr>
          <w:rFonts w:hint="eastAsia" w:ascii="宋体" w:hAnsi="宋体" w:eastAsia="宋体"/>
          <w:sz w:val="32"/>
          <w:szCs w:val="32"/>
          <w:lang w:val="en-US" w:eastAsia="zh-CN"/>
        </w:rPr>
        <w:t>32.66</w:t>
      </w:r>
      <w:r>
        <w:rPr>
          <w:rFonts w:hint="eastAsia" w:ascii="宋体" w:hAnsi="宋体" w:eastAsia="宋体"/>
          <w:sz w:val="32"/>
          <w:szCs w:val="32"/>
        </w:rPr>
        <w:t>万元,增长</w:t>
      </w:r>
      <w:r>
        <w:rPr>
          <w:rFonts w:hint="eastAsia" w:ascii="宋体" w:hAnsi="宋体" w:eastAsia="宋体"/>
          <w:sz w:val="32"/>
          <w:szCs w:val="32"/>
          <w:lang w:val="en-US" w:eastAsia="zh-CN"/>
        </w:rPr>
        <w:t>70.16</w:t>
      </w:r>
      <w:r>
        <w:rPr>
          <w:rFonts w:hint="eastAsia" w:ascii="宋体" w:hAnsi="宋体" w:eastAsia="宋体"/>
          <w:sz w:val="32"/>
          <w:szCs w:val="32"/>
        </w:rPr>
        <w:t>%，主要是因为</w:t>
      </w:r>
      <w:r>
        <w:rPr>
          <w:rFonts w:hint="eastAsia" w:ascii="宋体" w:hAnsi="宋体" w:eastAsia="宋体"/>
          <w:sz w:val="32"/>
          <w:szCs w:val="32"/>
          <w:lang w:val="en-US" w:eastAsia="zh-CN"/>
        </w:rPr>
        <w:t>人员变动及预算政策变更原因。</w:t>
      </w:r>
    </w:p>
    <w:p>
      <w:pPr>
        <w:pStyle w:val="10"/>
        <w:ind w:firstLine="800" w:firstLineChars="250"/>
        <w:rPr>
          <w:rFonts w:asciiTheme="minorEastAsia" w:hAnsiTheme="minorEastAsia" w:eastAsiaTheme="minorEastAsia"/>
          <w:sz w:val="32"/>
          <w:szCs w:val="32"/>
        </w:rPr>
      </w:pPr>
    </w:p>
    <w:p>
      <w:pPr>
        <w:pStyle w:val="10"/>
        <w:ind w:firstLine="480" w:firstLineChars="1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（二）财政拨款支出决算结构情况</w:t>
      </w:r>
    </w:p>
    <w:p>
      <w:pPr>
        <w:pStyle w:val="10"/>
        <w:ind w:firstLine="640" w:firstLineChars="200"/>
        <w:rPr>
          <w:rFonts w:hint="eastAsia" w:asciiTheme="minorEastAsia" w:hAnsiTheme="minorEastAsia" w:eastAsiaTheme="minorEastAsia"/>
          <w:sz w:val="32"/>
          <w:szCs w:val="32"/>
          <w:lang w:val="en-US" w:eastAsia="zh-CN"/>
        </w:rPr>
      </w:pPr>
      <w:r>
        <w:rPr>
          <w:rFonts w:hint="eastAsia" w:asciiTheme="minorEastAsia" w:hAnsiTheme="minorEastAsia" w:eastAsiaTheme="minorEastAsia"/>
          <w:sz w:val="32"/>
          <w:szCs w:val="32"/>
        </w:rPr>
        <w:t>2021年度财政拨款支出</w:t>
      </w:r>
      <w:r>
        <w:rPr>
          <w:rFonts w:hint="eastAsia" w:asciiTheme="minorEastAsia" w:hAnsiTheme="minorEastAsia" w:eastAsiaTheme="minorEastAsia"/>
          <w:sz w:val="32"/>
          <w:szCs w:val="32"/>
          <w:lang w:val="en-US" w:eastAsia="zh-CN"/>
        </w:rPr>
        <w:t>79.21</w:t>
      </w:r>
      <w:r>
        <w:rPr>
          <w:rFonts w:hint="eastAsia" w:asciiTheme="minorEastAsia" w:hAnsiTheme="minorEastAsia" w:eastAsiaTheme="minorEastAsia"/>
          <w:sz w:val="32"/>
          <w:szCs w:val="32"/>
        </w:rPr>
        <w:t>万元，主要用于以下方面：社会保障和就业（类）支出</w:t>
      </w:r>
      <w:r>
        <w:rPr>
          <w:rFonts w:hint="eastAsia" w:asciiTheme="minorEastAsia" w:hAnsiTheme="minorEastAsia" w:eastAsiaTheme="minorEastAsia"/>
          <w:sz w:val="32"/>
          <w:szCs w:val="32"/>
          <w:lang w:val="en-US" w:eastAsia="zh-CN"/>
        </w:rPr>
        <w:t>79.21</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w:t>
      </w:r>
    </w:p>
    <w:p>
      <w:pPr>
        <w:pStyle w:val="10"/>
        <w:ind w:firstLine="800" w:firstLineChars="25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（三）财政拨款支出决算具体情况</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2021年度财政拨款支出年初预算数为</w:t>
      </w:r>
      <w:r>
        <w:rPr>
          <w:rFonts w:hint="eastAsia" w:asciiTheme="minorEastAsia" w:hAnsiTheme="minorEastAsia" w:eastAsiaTheme="minorEastAsia"/>
          <w:sz w:val="32"/>
          <w:szCs w:val="32"/>
          <w:lang w:val="en-US" w:eastAsia="zh-CN"/>
        </w:rPr>
        <w:t>46.55</w:t>
      </w:r>
      <w:r>
        <w:rPr>
          <w:rFonts w:hint="eastAsia" w:asciiTheme="minorEastAsia" w:hAnsiTheme="minorEastAsia" w:eastAsiaTheme="minorEastAsia"/>
          <w:sz w:val="32"/>
          <w:szCs w:val="32"/>
        </w:rPr>
        <w:t>万元，支出决算数为</w:t>
      </w:r>
      <w:r>
        <w:rPr>
          <w:rFonts w:hint="eastAsia" w:asciiTheme="minorEastAsia" w:hAnsiTheme="minorEastAsia" w:eastAsiaTheme="minorEastAsia"/>
          <w:sz w:val="32"/>
          <w:szCs w:val="32"/>
          <w:lang w:val="en-US" w:eastAsia="zh-CN"/>
        </w:rPr>
        <w:t>79.21</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170.16</w:t>
      </w:r>
      <w:r>
        <w:rPr>
          <w:rFonts w:hint="eastAsia" w:asciiTheme="minorEastAsia" w:hAnsiTheme="minorEastAsia" w:eastAsiaTheme="minorEastAsia"/>
          <w:sz w:val="32"/>
          <w:szCs w:val="32"/>
        </w:rPr>
        <w:t>%，其中：</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1、社会保障和就业支出（类）</w:t>
      </w:r>
      <w:r>
        <w:rPr>
          <w:rFonts w:hint="eastAsia" w:asciiTheme="minorEastAsia" w:hAnsiTheme="minorEastAsia" w:eastAsiaTheme="minorEastAsia"/>
          <w:sz w:val="32"/>
          <w:szCs w:val="32"/>
          <w:lang w:val="en-US" w:eastAsia="zh-CN"/>
        </w:rPr>
        <w:t>民政管理事务</w:t>
      </w:r>
      <w:r>
        <w:rPr>
          <w:rFonts w:hint="eastAsia" w:asciiTheme="minorEastAsia" w:hAnsiTheme="minorEastAsia" w:eastAsiaTheme="minorEastAsia"/>
          <w:sz w:val="32"/>
          <w:szCs w:val="32"/>
        </w:rPr>
        <w:t>（款） 其他民政管理事务支出（项）。</w:t>
      </w:r>
    </w:p>
    <w:p>
      <w:pPr>
        <w:pStyle w:val="10"/>
        <w:ind w:firstLine="640"/>
        <w:rPr>
          <w:rFonts w:hint="eastAsia" w:ascii="宋体" w:hAnsi="宋体" w:eastAsia="宋体"/>
          <w:b/>
          <w:bCs/>
          <w:color w:val="FF0000"/>
          <w:sz w:val="28"/>
          <w:szCs w:val="28"/>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36.55</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37.87</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103.61</w:t>
      </w:r>
      <w:r>
        <w:rPr>
          <w:rFonts w:hint="eastAsia" w:asciiTheme="minorEastAsia" w:hAnsiTheme="minorEastAsia" w:eastAsiaTheme="minorEastAsia"/>
          <w:sz w:val="32"/>
          <w:szCs w:val="32"/>
        </w:rPr>
        <w:t>%，决算数大于年初预算数的主要原因是：</w:t>
      </w:r>
      <w:r>
        <w:rPr>
          <w:rFonts w:hint="eastAsia" w:ascii="宋体" w:hAnsi="宋体" w:eastAsia="宋体"/>
          <w:sz w:val="32"/>
          <w:szCs w:val="32"/>
        </w:rPr>
        <w:t>主要是因为</w:t>
      </w:r>
      <w:r>
        <w:rPr>
          <w:rFonts w:hint="eastAsia" w:ascii="宋体" w:hAnsi="宋体" w:eastAsia="宋体"/>
          <w:sz w:val="32"/>
          <w:szCs w:val="32"/>
          <w:lang w:val="en-US" w:eastAsia="zh-CN"/>
        </w:rPr>
        <w:t>基本工资正常调资所致</w:t>
      </w:r>
      <w:r>
        <w:rPr>
          <w:rFonts w:hint="eastAsia" w:ascii="宋体" w:hAnsi="宋体" w:eastAsia="宋体"/>
          <w:sz w:val="32"/>
          <w:szCs w:val="32"/>
        </w:rPr>
        <w:t>。</w:t>
      </w:r>
    </w:p>
    <w:p>
      <w:pPr>
        <w:pStyle w:val="10"/>
        <w:ind w:firstLine="800" w:firstLineChars="250"/>
        <w:outlineLvl w:val="2"/>
        <w:rPr>
          <w:rFonts w:asciiTheme="minorEastAsia" w:hAnsiTheme="minorEastAsia" w:eastAsiaTheme="minorEastAsia"/>
          <w:sz w:val="32"/>
          <w:szCs w:val="32"/>
        </w:rPr>
      </w:pPr>
      <w:r>
        <w:rPr>
          <w:rFonts w:hint="eastAsia" w:asciiTheme="minorEastAsia" w:hAnsiTheme="minorEastAsia" w:eastAsiaTheme="minorEastAsia"/>
          <w:sz w:val="32"/>
          <w:szCs w:val="32"/>
        </w:rPr>
        <w:t>2、社会保障和就业支出（类）社会福利（款）其他社会福利支出（项）。</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年初预算为</w:t>
      </w:r>
      <w:r>
        <w:rPr>
          <w:rFonts w:hint="eastAsia" w:asciiTheme="minorEastAsia" w:hAnsiTheme="minorEastAsia" w:eastAsiaTheme="minorEastAsia"/>
          <w:sz w:val="32"/>
          <w:szCs w:val="32"/>
          <w:lang w:val="en-US" w:eastAsia="zh-CN"/>
        </w:rPr>
        <w:t>10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41.34</w:t>
      </w:r>
      <w:r>
        <w:rPr>
          <w:rFonts w:hint="eastAsia" w:asciiTheme="minorEastAsia" w:hAnsiTheme="minorEastAsia" w:eastAsiaTheme="minorEastAsia"/>
          <w:sz w:val="32"/>
          <w:szCs w:val="32"/>
        </w:rPr>
        <w:t>万元，完成年初预算的</w:t>
      </w:r>
      <w:r>
        <w:rPr>
          <w:rFonts w:hint="eastAsia" w:asciiTheme="minorEastAsia" w:hAnsiTheme="minorEastAsia" w:eastAsiaTheme="minorEastAsia"/>
          <w:sz w:val="32"/>
          <w:szCs w:val="32"/>
          <w:lang w:val="en-US" w:eastAsia="zh-CN"/>
        </w:rPr>
        <w:t>413.40</w:t>
      </w:r>
      <w:r>
        <w:rPr>
          <w:rFonts w:hint="eastAsia" w:asciiTheme="minorEastAsia" w:hAnsiTheme="minorEastAsia" w:eastAsiaTheme="minorEastAsia"/>
          <w:sz w:val="32"/>
          <w:szCs w:val="32"/>
        </w:rPr>
        <w:t>%，决算数大于年初预算数的主要原因是：</w:t>
      </w:r>
      <w:r>
        <w:rPr>
          <w:rFonts w:hint="eastAsia" w:asciiTheme="minorEastAsia" w:hAnsiTheme="minorEastAsia" w:eastAsiaTheme="minorEastAsia"/>
          <w:sz w:val="32"/>
          <w:szCs w:val="32"/>
          <w:lang w:val="en-US" w:eastAsia="zh-CN"/>
        </w:rPr>
        <w:t>当年度项目支出增加及结算时间差异原因。</w:t>
      </w:r>
    </w:p>
    <w:p>
      <w:pPr>
        <w:pStyle w:val="10"/>
        <w:outlineLvl w:val="0"/>
        <w:rPr>
          <w:rFonts w:hAnsi="黑体"/>
          <w:b/>
          <w:sz w:val="32"/>
          <w:szCs w:val="32"/>
        </w:rPr>
      </w:pPr>
      <w:r>
        <w:rPr>
          <w:rFonts w:hint="eastAsia" w:hAnsi="黑体"/>
          <w:b/>
          <w:sz w:val="32"/>
          <w:szCs w:val="32"/>
        </w:rPr>
        <w:t>六、一般公共预算财政拨款基本支出决算情况说明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2021年度财政拨款基本支出</w:t>
      </w:r>
      <w:r>
        <w:rPr>
          <w:rFonts w:hint="eastAsia" w:asciiTheme="minorEastAsia" w:hAnsiTheme="minorEastAsia" w:eastAsiaTheme="minorEastAsia"/>
          <w:sz w:val="32"/>
          <w:szCs w:val="32"/>
          <w:lang w:val="en-US" w:eastAsia="zh-CN"/>
        </w:rPr>
        <w:t>37.87</w:t>
      </w:r>
      <w:r>
        <w:rPr>
          <w:rFonts w:hint="eastAsia" w:asciiTheme="minorEastAsia" w:hAnsiTheme="minorEastAsia" w:eastAsiaTheme="minorEastAsia"/>
          <w:sz w:val="32"/>
          <w:szCs w:val="32"/>
        </w:rPr>
        <w:t>万元，其中：人员经费</w:t>
      </w:r>
      <w:r>
        <w:rPr>
          <w:rFonts w:hint="eastAsia" w:asciiTheme="minorEastAsia" w:hAnsiTheme="minorEastAsia" w:eastAsiaTheme="minorEastAsia"/>
          <w:sz w:val="32"/>
          <w:szCs w:val="32"/>
          <w:lang w:val="en-US" w:eastAsia="zh-CN"/>
        </w:rPr>
        <w:t>28.24</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74.57</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val="en-US" w:eastAsia="zh-CN"/>
        </w:rPr>
        <w:t>主要包括基本工资、津贴补贴、奖金、其他社会保障缴费、伙食补助费、绩效工资、机关事业单位基本养老保险缴费、职业年金缴费、其他工资福利支出、医疗费、奖励金、住房公积金、其他对个人和家庭的补助支出；</w:t>
      </w:r>
      <w:r>
        <w:rPr>
          <w:rFonts w:hint="eastAsia" w:asciiTheme="minorEastAsia" w:hAnsiTheme="minorEastAsia" w:eastAsiaTheme="minorEastAsia"/>
          <w:sz w:val="32"/>
          <w:szCs w:val="32"/>
        </w:rPr>
        <w:t>公用经费</w:t>
      </w:r>
      <w:r>
        <w:rPr>
          <w:rFonts w:hint="eastAsia" w:asciiTheme="minorEastAsia" w:hAnsiTheme="minorEastAsia" w:eastAsiaTheme="minorEastAsia"/>
          <w:sz w:val="32"/>
          <w:szCs w:val="32"/>
          <w:lang w:val="en-US" w:eastAsia="zh-CN"/>
        </w:rPr>
        <w:t>9.63</w:t>
      </w:r>
      <w:r>
        <w:rPr>
          <w:rFonts w:hint="eastAsia" w:asciiTheme="minorEastAsia" w:hAnsiTheme="minorEastAsia" w:eastAsiaTheme="minorEastAsia"/>
          <w:sz w:val="32"/>
          <w:szCs w:val="32"/>
        </w:rPr>
        <w:t>万元，占基本支出的</w:t>
      </w:r>
      <w:r>
        <w:rPr>
          <w:rFonts w:hint="eastAsia" w:asciiTheme="minorEastAsia" w:hAnsiTheme="minorEastAsia" w:eastAsiaTheme="minorEastAsia"/>
          <w:sz w:val="32"/>
          <w:szCs w:val="32"/>
          <w:lang w:val="en-US" w:eastAsia="zh-CN"/>
        </w:rPr>
        <w:t>25.43</w:t>
      </w:r>
      <w:r>
        <w:rPr>
          <w:rFonts w:hint="eastAsia" w:asciiTheme="minorEastAsia" w:hAnsiTheme="minorEastAsia" w:eastAsiaTheme="minorEastAsia"/>
          <w:sz w:val="32"/>
          <w:szCs w:val="32"/>
        </w:rPr>
        <w:t>%，主要包括</w:t>
      </w:r>
      <w:r>
        <w:rPr>
          <w:rFonts w:hint="eastAsia" w:asciiTheme="minorEastAsia" w:hAnsiTheme="minorEastAsia" w:eastAsiaTheme="minorEastAsia"/>
          <w:sz w:val="32"/>
          <w:szCs w:val="32"/>
          <w:lang w:val="en-US" w:eastAsia="zh-CN"/>
        </w:rPr>
        <w:t>办公费、印刷费、水费、电费、咨询费、邮电费、物业管理费、差旅费、维修（护）费、租赁费、培训费、劳务费、工会经费、其他交通费用、其他商品和服务支出等。</w:t>
      </w:r>
    </w:p>
    <w:p>
      <w:pPr>
        <w:pStyle w:val="10"/>
        <w:outlineLvl w:val="0"/>
        <w:rPr>
          <w:rFonts w:hAnsi="黑体"/>
          <w:b/>
          <w:sz w:val="32"/>
          <w:szCs w:val="32"/>
        </w:rPr>
      </w:pPr>
      <w:r>
        <w:rPr>
          <w:rFonts w:hint="eastAsia" w:hAnsi="黑体"/>
          <w:b/>
          <w:sz w:val="32"/>
          <w:szCs w:val="32"/>
        </w:rPr>
        <w:t>七、一般公共预算财政拨款“三公”经费支出决算情况说明</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（一）“三公”经费财政拨款支出决算总体情况说明</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0.92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%，其中：</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因公出国（境）费支出预算为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%。与上年相比减少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万元，减少</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%，减少的主要原因是未安排出国出境。</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公务接待费支出预算为</w:t>
      </w:r>
      <w:r>
        <w:rPr>
          <w:rFonts w:hint="eastAsia" w:asciiTheme="minorEastAsia" w:hAnsiTheme="minorEastAsia" w:eastAsiaTheme="minorEastAsia"/>
          <w:sz w:val="32"/>
          <w:szCs w:val="32"/>
          <w:lang w:val="en-US" w:eastAsia="zh-CN"/>
        </w:rPr>
        <w:t>1</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0.92</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92</w:t>
      </w:r>
      <w:r>
        <w:rPr>
          <w:rFonts w:hint="eastAsia" w:asciiTheme="minorEastAsia" w:hAnsiTheme="minorEastAsia" w:eastAsiaTheme="minorEastAsia"/>
          <w:sz w:val="32"/>
          <w:szCs w:val="32"/>
        </w:rPr>
        <w:t>%，决算数</w:t>
      </w:r>
      <w:r>
        <w:rPr>
          <w:rFonts w:hint="eastAsia" w:asciiTheme="minorEastAsia" w:hAnsiTheme="minorEastAsia" w:eastAsiaTheme="minorEastAsia"/>
          <w:sz w:val="32"/>
          <w:szCs w:val="32"/>
          <w:lang w:eastAsia="zh-CN"/>
        </w:rPr>
        <w:t>小</w:t>
      </w:r>
      <w:r>
        <w:rPr>
          <w:rFonts w:hint="eastAsia" w:asciiTheme="minorEastAsia" w:hAnsiTheme="minorEastAsia" w:eastAsiaTheme="minorEastAsia"/>
          <w:sz w:val="32"/>
          <w:szCs w:val="32"/>
        </w:rPr>
        <w:t>于年初预算数的主要原因是认真贯彻落实中央“八项规定”和省委市委的“规定办法”精神和厉行节约要求，进一步从严控制“三公”经费开支，与上年相比增加</w:t>
      </w:r>
      <w:r>
        <w:rPr>
          <w:rFonts w:hint="eastAsia" w:asciiTheme="minorEastAsia" w:hAnsiTheme="minorEastAsia" w:eastAsiaTheme="minorEastAsia"/>
          <w:sz w:val="32"/>
          <w:szCs w:val="32"/>
          <w:lang w:val="en-US" w:eastAsia="zh-CN"/>
        </w:rPr>
        <w:t>0.81</w:t>
      </w:r>
      <w:r>
        <w:rPr>
          <w:rFonts w:hint="eastAsia" w:asciiTheme="minorEastAsia" w:hAnsiTheme="minorEastAsia" w:eastAsiaTheme="minorEastAsia"/>
          <w:sz w:val="32"/>
          <w:szCs w:val="32"/>
        </w:rPr>
        <w:t>万元，增长</w:t>
      </w:r>
      <w:r>
        <w:rPr>
          <w:rFonts w:hint="eastAsia" w:asciiTheme="minorEastAsia" w:hAnsiTheme="minorEastAsia" w:eastAsiaTheme="minorEastAsia"/>
          <w:sz w:val="32"/>
          <w:szCs w:val="32"/>
          <w:lang w:val="en-US" w:eastAsia="zh-CN"/>
        </w:rPr>
        <w:t>716.8</w:t>
      </w:r>
      <w:r>
        <w:rPr>
          <w:rFonts w:hint="eastAsia" w:asciiTheme="minorEastAsia" w:hAnsiTheme="minorEastAsia" w:eastAsiaTheme="minorEastAsia"/>
          <w:sz w:val="32"/>
          <w:szCs w:val="32"/>
        </w:rPr>
        <w:t>%,增长的主要原因是</w:t>
      </w:r>
      <w:r>
        <w:rPr>
          <w:rFonts w:hint="eastAsia" w:asciiTheme="minorEastAsia" w:hAnsiTheme="minorEastAsia" w:eastAsiaTheme="minorEastAsia"/>
          <w:sz w:val="32"/>
          <w:szCs w:val="32"/>
          <w:lang w:val="en-US" w:eastAsia="zh-CN"/>
        </w:rPr>
        <w:t>今年有项目建设致接待增加</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公务用车购置费及运行维护费支出预算为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公务用车运行维护费支出预算为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万元，完成预算的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lang w:val="en-US" w:eastAsia="zh-CN"/>
        </w:rPr>
        <w:t>与上年持平</w:t>
      </w:r>
      <w:r>
        <w:rPr>
          <w:rFonts w:hint="eastAsia" w:asciiTheme="minorEastAsia" w:hAnsiTheme="minorEastAsia" w:eastAsiaTheme="minorEastAsia"/>
          <w:sz w:val="32"/>
          <w:szCs w:val="32"/>
        </w:rPr>
        <w:t>。</w:t>
      </w:r>
    </w:p>
    <w:p>
      <w:pPr>
        <w:pStyle w:val="10"/>
        <w:outlineLvl w:val="1"/>
        <w:rPr>
          <w:rFonts w:asciiTheme="minorEastAsia" w:hAnsiTheme="minorEastAsia" w:eastAsiaTheme="minorEastAsia"/>
          <w:b/>
          <w:sz w:val="32"/>
          <w:szCs w:val="32"/>
        </w:rPr>
      </w:pPr>
      <w:r>
        <w:rPr>
          <w:rFonts w:hint="eastAsia" w:asciiTheme="minorEastAsia" w:hAnsiTheme="minorEastAsia" w:eastAsiaTheme="minorEastAsia"/>
          <w:b/>
          <w:sz w:val="32"/>
          <w:szCs w:val="32"/>
        </w:rPr>
        <w:t>（二）“三公”经费财政拨款支出决算具体情况说明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2021年度“三公”经费财政拨款支出决算中，公务接待费支出决算</w:t>
      </w:r>
      <w:r>
        <w:rPr>
          <w:rFonts w:hint="eastAsia" w:asciiTheme="minorEastAsia" w:hAnsiTheme="minorEastAsia" w:eastAsiaTheme="minorEastAsia"/>
          <w:sz w:val="32"/>
          <w:szCs w:val="32"/>
          <w:lang w:val="en-US" w:eastAsia="zh-CN"/>
        </w:rPr>
        <w:t>0.92</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%,因公出国（境）费支出决算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%,公务用车购置费及运行维护费支出决算</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万元，占</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%。其中：</w:t>
      </w:r>
    </w:p>
    <w:p>
      <w:pPr>
        <w:pStyle w:val="10"/>
        <w:ind w:firstLine="640" w:firstLineChars="200"/>
        <w:rPr>
          <w:rFonts w:hint="eastAsia" w:asciiTheme="minorEastAsia" w:hAnsiTheme="minorEastAsia" w:eastAsiaTheme="minorEastAsia"/>
          <w:b/>
          <w:sz w:val="32"/>
          <w:szCs w:val="32"/>
          <w:lang w:eastAsia="zh-CN"/>
        </w:rPr>
      </w:pPr>
      <w:r>
        <w:rPr>
          <w:rFonts w:hint="eastAsia" w:asciiTheme="minorEastAsia" w:hAnsiTheme="minorEastAsia" w:eastAsiaTheme="minorEastAsia"/>
          <w:sz w:val="32"/>
          <w:szCs w:val="32"/>
        </w:rPr>
        <w:t>1、因公出国（境）费支出决算为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万元，全年安排因公出国（境）团组</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个，累计</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人次</w:t>
      </w:r>
      <w:r>
        <w:rPr>
          <w:rFonts w:hint="eastAsia" w:asciiTheme="minorEastAsia" w:hAnsiTheme="minorEastAsia" w:eastAsiaTheme="minorEastAsia"/>
          <w:sz w:val="32"/>
          <w:szCs w:val="32"/>
          <w:lang w:eastAsia="zh-CN"/>
        </w:rPr>
        <w:t>。</w:t>
      </w:r>
    </w:p>
    <w:p>
      <w:pPr>
        <w:pStyle w:val="10"/>
        <w:ind w:firstLine="800" w:firstLineChars="250"/>
        <w:rPr>
          <w:rFonts w:asciiTheme="minorEastAsia" w:hAnsiTheme="minorEastAsia" w:eastAsiaTheme="minorEastAsia"/>
          <w:sz w:val="32"/>
          <w:szCs w:val="32"/>
        </w:rPr>
      </w:pPr>
      <w:r>
        <w:rPr>
          <w:rFonts w:hint="eastAsia" w:asciiTheme="minorEastAsia" w:hAnsiTheme="minorEastAsia" w:eastAsiaTheme="minorEastAsia"/>
          <w:sz w:val="32"/>
          <w:szCs w:val="32"/>
        </w:rPr>
        <w:t>2、公务接待费支出决算为</w:t>
      </w:r>
      <w:r>
        <w:rPr>
          <w:rFonts w:hint="eastAsia" w:asciiTheme="minorEastAsia" w:hAnsiTheme="minorEastAsia" w:eastAsiaTheme="minorEastAsia"/>
          <w:sz w:val="32"/>
          <w:szCs w:val="32"/>
          <w:lang w:val="en-US" w:eastAsia="zh-CN"/>
        </w:rPr>
        <w:t>0.92</w:t>
      </w:r>
      <w:r>
        <w:rPr>
          <w:rFonts w:hint="eastAsia" w:asciiTheme="minorEastAsia" w:hAnsiTheme="minorEastAsia" w:eastAsiaTheme="minorEastAsia"/>
          <w:sz w:val="32"/>
          <w:szCs w:val="32"/>
        </w:rPr>
        <w:t>万元，全年共接待来访团组</w:t>
      </w:r>
      <w:r>
        <w:rPr>
          <w:rFonts w:hint="eastAsia" w:asciiTheme="minorEastAsia" w:hAnsiTheme="minorEastAsia" w:eastAsiaTheme="minorEastAsia"/>
          <w:sz w:val="32"/>
          <w:szCs w:val="32"/>
          <w:lang w:val="en-US" w:eastAsia="zh-CN"/>
        </w:rPr>
        <w:t>19</w:t>
      </w:r>
      <w:r>
        <w:rPr>
          <w:rFonts w:hint="eastAsia" w:asciiTheme="minorEastAsia" w:hAnsiTheme="minorEastAsia" w:eastAsiaTheme="minorEastAsia"/>
          <w:sz w:val="32"/>
          <w:szCs w:val="32"/>
        </w:rPr>
        <w:t>个、来宾</w:t>
      </w:r>
      <w:r>
        <w:rPr>
          <w:rFonts w:hint="eastAsia" w:asciiTheme="minorEastAsia" w:hAnsiTheme="minorEastAsia" w:eastAsiaTheme="minorEastAsia"/>
          <w:sz w:val="32"/>
          <w:szCs w:val="32"/>
          <w:lang w:val="en-US" w:eastAsia="zh-CN"/>
        </w:rPr>
        <w:t>76</w:t>
      </w:r>
      <w:r>
        <w:rPr>
          <w:rFonts w:hint="eastAsia" w:asciiTheme="minorEastAsia" w:hAnsiTheme="minorEastAsia" w:eastAsiaTheme="minorEastAsia"/>
          <w:sz w:val="32"/>
          <w:szCs w:val="32"/>
        </w:rPr>
        <w:t>人次，主要是</w:t>
      </w:r>
      <w:r>
        <w:rPr>
          <w:rFonts w:hint="eastAsia" w:asciiTheme="minorEastAsia" w:hAnsiTheme="minorEastAsia" w:eastAsiaTheme="minorEastAsia"/>
          <w:sz w:val="32"/>
          <w:szCs w:val="32"/>
          <w:lang w:val="en-US" w:eastAsia="zh-CN"/>
        </w:rPr>
        <w:t>市福彩中心检查指导和其他单位参观及业务往来</w:t>
      </w:r>
      <w:r>
        <w:rPr>
          <w:rFonts w:hint="eastAsia" w:asciiTheme="minorEastAsia" w:hAnsiTheme="minorEastAsia" w:eastAsiaTheme="minorEastAsia"/>
          <w:sz w:val="32"/>
          <w:szCs w:val="32"/>
        </w:rPr>
        <w:t>发生的接待支出。</w:t>
      </w:r>
    </w:p>
    <w:p>
      <w:pPr>
        <w:ind w:firstLine="800" w:firstLineChars="250"/>
        <w:rPr>
          <w:rFonts w:ascii="宋体" w:hAnsi="宋体" w:eastAsia="宋体"/>
          <w:b/>
          <w:bCs/>
          <w:color w:val="FF0000"/>
          <w:sz w:val="32"/>
          <w:szCs w:val="32"/>
        </w:rPr>
      </w:pPr>
      <w:r>
        <w:rPr>
          <w:rFonts w:hint="eastAsia" w:asciiTheme="minorEastAsia" w:hAnsiTheme="minorEastAsia"/>
          <w:sz w:val="32"/>
          <w:szCs w:val="32"/>
        </w:rPr>
        <w:t>3、公务用车购置费及运行维护费支出决算为</w:t>
      </w:r>
      <w:r>
        <w:rPr>
          <w:rFonts w:hint="eastAsia" w:asciiTheme="minorEastAsia" w:hAnsiTheme="minorEastAsia"/>
          <w:sz w:val="32"/>
          <w:szCs w:val="32"/>
          <w:lang w:val="en-US" w:eastAsia="zh-CN"/>
        </w:rPr>
        <w:t>0</w:t>
      </w:r>
      <w:r>
        <w:rPr>
          <w:rFonts w:hint="eastAsia" w:asciiTheme="minorEastAsia" w:hAnsiTheme="minorEastAsia"/>
          <w:sz w:val="32"/>
          <w:szCs w:val="32"/>
        </w:rPr>
        <w:t>万元，其中：公务用车购置费</w:t>
      </w:r>
      <w:r>
        <w:rPr>
          <w:rFonts w:hint="eastAsia" w:asciiTheme="minorEastAsia" w:hAnsiTheme="minorEastAsia"/>
          <w:sz w:val="32"/>
          <w:szCs w:val="32"/>
          <w:lang w:val="en-US" w:eastAsia="zh-CN"/>
        </w:rPr>
        <w:t>0</w:t>
      </w:r>
      <w:r>
        <w:rPr>
          <w:rFonts w:hint="eastAsia" w:asciiTheme="minorEastAsia" w:hAnsiTheme="minorEastAsia"/>
          <w:sz w:val="32"/>
          <w:szCs w:val="32"/>
        </w:rPr>
        <w:t>万元，公务用车运行维护费</w:t>
      </w:r>
      <w:r>
        <w:rPr>
          <w:rFonts w:hint="eastAsia" w:asciiTheme="minorEastAsia" w:hAnsiTheme="minorEastAsia"/>
          <w:sz w:val="32"/>
          <w:szCs w:val="32"/>
          <w:lang w:val="en-US" w:eastAsia="zh-CN"/>
        </w:rPr>
        <w:t>0</w:t>
      </w:r>
      <w:r>
        <w:rPr>
          <w:rFonts w:hint="eastAsia" w:asciiTheme="minorEastAsia" w:hAnsiTheme="minorEastAsia"/>
          <w:sz w:val="32"/>
          <w:szCs w:val="32"/>
        </w:rPr>
        <w:t>万元，截止2021年12月31日，我单位开支财政拨款的公务用车保有量为</w:t>
      </w:r>
      <w:r>
        <w:rPr>
          <w:rFonts w:hint="eastAsia" w:asciiTheme="minorEastAsia" w:hAnsiTheme="minorEastAsia"/>
          <w:sz w:val="32"/>
          <w:szCs w:val="32"/>
          <w:lang w:val="en-US" w:eastAsia="zh-CN"/>
        </w:rPr>
        <w:t>0</w:t>
      </w:r>
      <w:r>
        <w:rPr>
          <w:rFonts w:hint="eastAsia" w:asciiTheme="minorEastAsia" w:hAnsiTheme="minorEastAsia"/>
          <w:sz w:val="32"/>
          <w:szCs w:val="32"/>
        </w:rPr>
        <w:t>辆。</w:t>
      </w:r>
    </w:p>
    <w:p>
      <w:pPr>
        <w:pStyle w:val="10"/>
        <w:outlineLvl w:val="0"/>
        <w:rPr>
          <w:rFonts w:hAnsi="黑体"/>
          <w:b/>
          <w:sz w:val="32"/>
          <w:szCs w:val="32"/>
        </w:rPr>
      </w:pPr>
      <w:r>
        <w:rPr>
          <w:rFonts w:hint="eastAsia" w:hAnsi="黑体"/>
          <w:b/>
          <w:sz w:val="32"/>
          <w:szCs w:val="32"/>
        </w:rPr>
        <w:t>八、政府性基金预算收入支出决算情况</w:t>
      </w:r>
    </w:p>
    <w:p>
      <w:pPr>
        <w:pStyle w:val="10"/>
        <w:rPr>
          <w:rFonts w:hint="eastAsia" w:asciiTheme="minorEastAsia" w:hAnsiTheme="minorEastAsia" w:eastAsiaTheme="minorEastAsia"/>
          <w:i/>
          <w:color w:val="FF0000"/>
          <w:sz w:val="32"/>
          <w:szCs w:val="32"/>
          <w:lang w:eastAsia="zh-CN"/>
        </w:rPr>
      </w:pPr>
      <w:r>
        <w:rPr>
          <w:rFonts w:hint="eastAsia" w:asciiTheme="minorEastAsia" w:hAnsiTheme="minorEastAsia" w:eastAsiaTheme="minorEastAsia"/>
          <w:sz w:val="32"/>
          <w:szCs w:val="32"/>
        </w:rPr>
        <w:t xml:space="preserve">     本单位无政府性基金收支</w:t>
      </w:r>
      <w:r>
        <w:rPr>
          <w:rFonts w:hint="eastAsia" w:asciiTheme="minorEastAsia" w:hAnsiTheme="minorEastAsia" w:eastAsiaTheme="minorEastAsia"/>
          <w:sz w:val="32"/>
          <w:szCs w:val="32"/>
          <w:lang w:eastAsia="zh-CN"/>
        </w:rPr>
        <w:t>。</w:t>
      </w:r>
    </w:p>
    <w:p>
      <w:pPr>
        <w:pStyle w:val="10"/>
        <w:numPr>
          <w:ilvl w:val="0"/>
          <w:numId w:val="3"/>
        </w:numPr>
        <w:outlineLvl w:val="0"/>
        <w:rPr>
          <w:rFonts w:hint="eastAsia" w:hAnsi="黑体"/>
          <w:b/>
          <w:sz w:val="32"/>
          <w:szCs w:val="32"/>
          <w:lang w:eastAsia="zh-CN"/>
        </w:rPr>
      </w:pPr>
      <w:r>
        <w:rPr>
          <w:rFonts w:hint="eastAsia" w:hAnsi="黑体"/>
          <w:b/>
          <w:sz w:val="32"/>
          <w:szCs w:val="32"/>
          <w:lang w:eastAsia="zh-CN"/>
        </w:rPr>
        <w:t>国有资本经营预算财政拨款支出决算情况</w:t>
      </w:r>
    </w:p>
    <w:p>
      <w:pPr>
        <w:pStyle w:val="10"/>
        <w:ind w:firstLine="640" w:firstLineChars="200"/>
        <w:rPr>
          <w:rFonts w:hint="default" w:asciiTheme="minorEastAsia" w:hAnsiTheme="minorEastAsia" w:eastAsiaTheme="minorEastAsia"/>
          <w:sz w:val="32"/>
          <w:szCs w:val="32"/>
          <w:lang w:val="en-US" w:eastAsia="zh-CN"/>
        </w:rPr>
      </w:pPr>
      <w:r>
        <w:rPr>
          <w:rFonts w:hint="eastAsia" w:asciiTheme="minorEastAsia" w:hAnsiTheme="minorEastAsia" w:eastAsiaTheme="minorEastAsia"/>
          <w:sz w:val="32"/>
          <w:szCs w:val="32"/>
          <w:lang w:val="en-US" w:eastAsia="zh-CN"/>
        </w:rPr>
        <w:t>2021年度本单位无国有资本经营</w:t>
      </w:r>
      <w:r>
        <w:rPr>
          <w:rFonts w:hint="eastAsia" w:asciiTheme="minorEastAsia" w:hAnsiTheme="minorEastAsia" w:eastAsiaTheme="minorEastAsia"/>
          <w:sz w:val="32"/>
          <w:szCs w:val="32"/>
          <w:lang w:eastAsia="zh-CN"/>
        </w:rPr>
        <w:t>预算财政拨款支出。</w:t>
      </w:r>
    </w:p>
    <w:p>
      <w:pPr>
        <w:pStyle w:val="10"/>
        <w:outlineLvl w:val="0"/>
        <w:rPr>
          <w:rFonts w:hAnsi="黑体"/>
          <w:b/>
          <w:sz w:val="32"/>
          <w:szCs w:val="32"/>
        </w:rPr>
      </w:pPr>
      <w:r>
        <w:rPr>
          <w:rFonts w:hint="eastAsia" w:hAnsi="黑体"/>
          <w:b/>
          <w:sz w:val="32"/>
          <w:szCs w:val="32"/>
          <w:lang w:eastAsia="zh-CN"/>
        </w:rPr>
        <w:t>十</w:t>
      </w:r>
      <w:r>
        <w:rPr>
          <w:rFonts w:hint="eastAsia" w:hAnsi="黑体"/>
          <w:b/>
          <w:sz w:val="32"/>
          <w:szCs w:val="32"/>
        </w:rPr>
        <w:t>、机关运行经费支出说明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本部门2021年度机关运行经费支出</w:t>
      </w:r>
      <w:r>
        <w:rPr>
          <w:rFonts w:hint="eastAsia" w:asciiTheme="minorEastAsia" w:hAnsiTheme="minorEastAsia" w:eastAsiaTheme="minorEastAsia"/>
          <w:sz w:val="32"/>
          <w:szCs w:val="32"/>
          <w:lang w:val="en-US" w:eastAsia="zh-CN"/>
        </w:rPr>
        <w:t>9.63</w:t>
      </w:r>
      <w:r>
        <w:rPr>
          <w:rFonts w:hint="eastAsia" w:asciiTheme="minorEastAsia" w:hAnsiTheme="minorEastAsia" w:eastAsiaTheme="minorEastAsia"/>
          <w:sz w:val="32"/>
          <w:szCs w:val="32"/>
        </w:rPr>
        <w:t>万元，比</w:t>
      </w:r>
      <w:r>
        <w:rPr>
          <w:rFonts w:hint="eastAsia" w:asciiTheme="minorEastAsia" w:hAnsiTheme="minorEastAsia" w:eastAsiaTheme="minorEastAsia"/>
          <w:sz w:val="32"/>
          <w:szCs w:val="32"/>
          <w:lang w:eastAsia="zh-CN"/>
        </w:rPr>
        <w:t>年初预算</w:t>
      </w:r>
      <w:bookmarkStart w:id="0" w:name="_GoBack"/>
      <w:bookmarkEnd w:id="0"/>
      <w:r>
        <w:rPr>
          <w:rFonts w:hint="eastAsia" w:asciiTheme="minorEastAsia" w:hAnsiTheme="minorEastAsia" w:eastAsiaTheme="minorEastAsia"/>
          <w:sz w:val="32"/>
          <w:szCs w:val="32"/>
        </w:rPr>
        <w:t>数增加</w:t>
      </w:r>
      <w:r>
        <w:rPr>
          <w:rFonts w:hint="eastAsia" w:asciiTheme="minorEastAsia" w:hAnsiTheme="minorEastAsia" w:eastAsiaTheme="minorEastAsia"/>
          <w:sz w:val="32"/>
          <w:szCs w:val="32"/>
          <w:lang w:val="en-US" w:eastAsia="zh-CN"/>
        </w:rPr>
        <w:t>3.75</w:t>
      </w:r>
      <w:r>
        <w:rPr>
          <w:rFonts w:hint="eastAsia" w:asciiTheme="minorEastAsia" w:hAnsiTheme="minorEastAsia" w:eastAsiaTheme="minorEastAsia"/>
          <w:sz w:val="32"/>
          <w:szCs w:val="32"/>
        </w:rPr>
        <w:t xml:space="preserve"> 万元，增长</w:t>
      </w:r>
      <w:r>
        <w:rPr>
          <w:rFonts w:hint="eastAsia" w:asciiTheme="minorEastAsia" w:hAnsiTheme="minorEastAsia" w:eastAsiaTheme="minorEastAsia"/>
          <w:sz w:val="32"/>
          <w:szCs w:val="32"/>
          <w:lang w:val="en-US" w:eastAsia="zh-CN"/>
        </w:rPr>
        <w:t>85.62</w:t>
      </w:r>
      <w:r>
        <w:rPr>
          <w:rFonts w:hint="eastAsia" w:asciiTheme="minorEastAsia" w:hAnsiTheme="minorEastAsia" w:eastAsiaTheme="minorEastAsia"/>
          <w:sz w:val="32"/>
          <w:szCs w:val="32"/>
        </w:rPr>
        <w:t>%。主要原因是：</w:t>
      </w:r>
      <w:r>
        <w:rPr>
          <w:rFonts w:hint="eastAsia" w:asciiTheme="minorEastAsia" w:hAnsiTheme="minorEastAsia" w:eastAsiaTheme="minorEastAsia"/>
          <w:sz w:val="32"/>
          <w:szCs w:val="32"/>
          <w:lang w:val="en-US" w:eastAsia="zh-CN"/>
        </w:rPr>
        <w:t>本年度福彩业务开展较去年大幅增加</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lang w:eastAsia="zh-CN"/>
        </w:rPr>
        <w:t>十一</w:t>
      </w:r>
      <w:r>
        <w:rPr>
          <w:rFonts w:hint="eastAsia" w:hAnsi="黑体"/>
          <w:b/>
          <w:sz w:val="32"/>
          <w:szCs w:val="32"/>
        </w:rPr>
        <w:t>、一般性支出情况说明</w:t>
      </w:r>
    </w:p>
    <w:p>
      <w:pPr>
        <w:pStyle w:val="10"/>
        <w:ind w:firstLine="640" w:firstLineChars="200"/>
        <w:rPr>
          <w:rFonts w:asciiTheme="minorEastAsia" w:hAnsiTheme="minorEastAsia" w:eastAsiaTheme="minorEastAsia"/>
          <w:color w:val="FF0000"/>
          <w:sz w:val="32"/>
          <w:szCs w:val="32"/>
        </w:rPr>
      </w:pPr>
      <w:r>
        <w:rPr>
          <w:rFonts w:hint="eastAsia" w:asciiTheme="minorEastAsia" w:hAnsiTheme="minorEastAsia" w:eastAsiaTheme="minorEastAsia"/>
          <w:sz w:val="32"/>
          <w:szCs w:val="32"/>
        </w:rPr>
        <w:t>2021年本部门开支会议费</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eastAsia="zh-CN"/>
        </w:rPr>
        <w:t>；</w:t>
      </w:r>
      <w:r>
        <w:rPr>
          <w:rFonts w:hint="eastAsia" w:asciiTheme="minorEastAsia" w:hAnsiTheme="minorEastAsia" w:eastAsiaTheme="minorEastAsia"/>
          <w:sz w:val="32"/>
          <w:szCs w:val="32"/>
        </w:rPr>
        <w:t>开支培训费</w:t>
      </w:r>
      <w:r>
        <w:rPr>
          <w:rFonts w:hint="eastAsia" w:asciiTheme="minorEastAsia" w:hAnsiTheme="minorEastAsia" w:eastAsiaTheme="minorEastAsia"/>
          <w:sz w:val="32"/>
          <w:szCs w:val="32"/>
          <w:lang w:val="en-US" w:eastAsia="zh-CN"/>
        </w:rPr>
        <w:t>0.07</w:t>
      </w:r>
      <w:r>
        <w:rPr>
          <w:rFonts w:hint="eastAsia" w:asciiTheme="minorEastAsia" w:hAnsiTheme="minorEastAsia" w:eastAsiaTheme="minorEastAsia"/>
          <w:sz w:val="32"/>
          <w:szCs w:val="32"/>
        </w:rPr>
        <w:t>万元，</w:t>
      </w:r>
      <w:r>
        <w:rPr>
          <w:rFonts w:hint="eastAsia" w:asciiTheme="minorEastAsia" w:hAnsiTheme="minorEastAsia" w:eastAsiaTheme="minorEastAsia"/>
          <w:sz w:val="32"/>
          <w:szCs w:val="32"/>
          <w:lang w:val="en-US" w:eastAsia="zh-CN"/>
        </w:rPr>
        <w:t>用于湖南省事业单位工作人员网上培训课程费</w:t>
      </w:r>
      <w:r>
        <w:rPr>
          <w:rFonts w:hint="eastAsia" w:ascii="宋体" w:hAnsi="宋体" w:eastAsia="宋体"/>
          <w:sz w:val="32"/>
          <w:szCs w:val="32"/>
        </w:rPr>
        <w:t>，人数</w:t>
      </w:r>
      <w:r>
        <w:rPr>
          <w:rFonts w:hint="eastAsia" w:ascii="宋体" w:hAnsi="宋体" w:eastAsia="宋体"/>
          <w:sz w:val="32"/>
          <w:szCs w:val="32"/>
          <w:lang w:val="en-US" w:eastAsia="zh-CN"/>
        </w:rPr>
        <w:t>4</w:t>
      </w:r>
      <w:r>
        <w:rPr>
          <w:rFonts w:hint="eastAsia" w:ascii="宋体" w:hAnsi="宋体" w:eastAsia="宋体"/>
          <w:sz w:val="32"/>
          <w:szCs w:val="32"/>
        </w:rPr>
        <w:t>人，内容为</w:t>
      </w:r>
      <w:r>
        <w:rPr>
          <w:rFonts w:hint="eastAsia" w:ascii="宋体" w:hAnsi="宋体" w:eastAsia="宋体"/>
          <w:sz w:val="32"/>
          <w:szCs w:val="32"/>
          <w:lang w:val="en-US" w:eastAsia="zh-CN"/>
        </w:rPr>
        <w:t>公开课及专业课网上学习</w:t>
      </w:r>
      <w:r>
        <w:rPr>
          <w:rFonts w:hint="eastAsia" w:ascii="宋体" w:hAnsi="宋体" w:eastAsia="宋体"/>
          <w:sz w:val="32"/>
          <w:szCs w:val="32"/>
        </w:rPr>
        <w:t>；</w:t>
      </w:r>
      <w:r>
        <w:rPr>
          <w:rFonts w:hint="eastAsia" w:asciiTheme="minorEastAsia" w:hAnsiTheme="minorEastAsia" w:eastAsiaTheme="minorEastAsia"/>
          <w:sz w:val="32"/>
          <w:szCs w:val="32"/>
        </w:rPr>
        <w:t>；举办节庆、晚会、论坛、赛事活动，开支</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二</w:t>
      </w:r>
      <w:r>
        <w:rPr>
          <w:rFonts w:hint="eastAsia" w:hAnsi="黑体"/>
          <w:b/>
          <w:sz w:val="32"/>
          <w:szCs w:val="32"/>
        </w:rPr>
        <w:t>、政府采购支出说明</w:t>
      </w:r>
    </w:p>
    <w:p>
      <w:pPr>
        <w:pStyle w:val="10"/>
        <w:ind w:firstLine="640" w:firstLineChars="200"/>
        <w:rPr>
          <w:rFonts w:asciiTheme="minorEastAsia" w:hAnsiTheme="minorEastAsia" w:eastAsiaTheme="minorEastAsia"/>
          <w:sz w:val="32"/>
          <w:szCs w:val="32"/>
        </w:rPr>
      </w:pPr>
      <w:r>
        <w:rPr>
          <w:rFonts w:hint="eastAsia" w:asciiTheme="minorEastAsia" w:hAnsiTheme="minorEastAsia" w:eastAsiaTheme="minorEastAsia"/>
          <w:sz w:val="32"/>
          <w:szCs w:val="32"/>
        </w:rPr>
        <w:t>本部门2021年度政府采购支出总额</w:t>
      </w:r>
      <w:r>
        <w:rPr>
          <w:rFonts w:hint="eastAsia" w:asciiTheme="minorEastAsia" w:hAnsiTheme="minorEastAsia" w:eastAsiaTheme="minorEastAsia"/>
          <w:sz w:val="32"/>
          <w:szCs w:val="32"/>
          <w:lang w:val="en-US" w:eastAsia="zh-CN"/>
        </w:rPr>
        <w:t>1.42</w:t>
      </w:r>
      <w:r>
        <w:rPr>
          <w:rFonts w:hint="eastAsia" w:asciiTheme="minorEastAsia" w:hAnsiTheme="minorEastAsia" w:eastAsiaTheme="minorEastAsia"/>
          <w:sz w:val="32"/>
          <w:szCs w:val="32"/>
        </w:rPr>
        <w:t>万元，其中：政府采购货物支出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万元、政府采购工程支出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万元、政府采购服务支出</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万元。授予中小企业合同金额</w:t>
      </w:r>
      <w:r>
        <w:rPr>
          <w:rFonts w:hint="eastAsia" w:asciiTheme="minorEastAsia" w:hAnsiTheme="minorEastAsia" w:eastAsiaTheme="minorEastAsia"/>
          <w:sz w:val="32"/>
          <w:szCs w:val="32"/>
          <w:lang w:val="en-US" w:eastAsia="zh-CN"/>
        </w:rPr>
        <w:t>1.42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%，其中：授予小微企业合同金额</w:t>
      </w:r>
      <w:r>
        <w:rPr>
          <w:rFonts w:hint="eastAsia" w:asciiTheme="minorEastAsia" w:hAnsiTheme="minorEastAsia" w:eastAsiaTheme="minorEastAsia"/>
          <w:sz w:val="32"/>
          <w:szCs w:val="32"/>
          <w:lang w:val="en-US" w:eastAsia="zh-CN"/>
        </w:rPr>
        <w:t>1.42</w:t>
      </w:r>
      <w:r>
        <w:rPr>
          <w:rFonts w:hint="eastAsia" w:asciiTheme="minorEastAsia" w:hAnsiTheme="minorEastAsia" w:eastAsiaTheme="minorEastAsia"/>
          <w:sz w:val="32"/>
          <w:szCs w:val="32"/>
        </w:rPr>
        <w:t>万元，占政府采购支出总额的</w:t>
      </w:r>
      <w:r>
        <w:rPr>
          <w:rFonts w:hint="eastAsia" w:asciiTheme="minorEastAsia" w:hAnsiTheme="minorEastAsia" w:eastAsiaTheme="minorEastAsia"/>
          <w:sz w:val="32"/>
          <w:szCs w:val="32"/>
          <w:lang w:val="en-US" w:eastAsia="zh-CN"/>
        </w:rPr>
        <w:t>100</w:t>
      </w:r>
      <w:r>
        <w:rPr>
          <w:rFonts w:hint="eastAsia" w:asciiTheme="minorEastAsia" w:hAnsiTheme="minorEastAsia" w:eastAsiaTheme="minorEastAsia"/>
          <w:sz w:val="32"/>
          <w:szCs w:val="32"/>
        </w:rPr>
        <w:t>%。</w:t>
      </w: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三</w:t>
      </w:r>
      <w:r>
        <w:rPr>
          <w:rFonts w:hint="eastAsia" w:hAnsi="黑体"/>
          <w:b/>
          <w:sz w:val="32"/>
          <w:szCs w:val="32"/>
        </w:rPr>
        <w:t>、国有资产占用情况说明</w:t>
      </w:r>
    </w:p>
    <w:p>
      <w:pPr>
        <w:pStyle w:val="10"/>
        <w:ind w:firstLine="640" w:firstLineChars="200"/>
        <w:rPr>
          <w:rFonts w:hint="eastAsia" w:asciiTheme="minorEastAsia" w:hAnsiTheme="minorEastAsia" w:eastAsiaTheme="minorEastAsia"/>
          <w:sz w:val="32"/>
          <w:szCs w:val="32"/>
        </w:rPr>
      </w:pPr>
      <w:r>
        <w:rPr>
          <w:rFonts w:hint="eastAsia" w:asciiTheme="minorEastAsia" w:hAnsiTheme="minorEastAsia" w:eastAsiaTheme="minorEastAsia"/>
          <w:sz w:val="32"/>
          <w:szCs w:val="32"/>
        </w:rPr>
        <w:t>截至2021年12月31日，部门（单位）共有车辆</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辆，其中，主要领导干部用车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辆，机要通信用车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辆、应急保障用车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辆、执法执勤用车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辆、特种专业技术用车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辆、其他用车</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辆；单位价值50万元以上通用设备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台（套）；单位价值100万元以上专用设备</w:t>
      </w:r>
      <w:r>
        <w:rPr>
          <w:rFonts w:hint="eastAsia" w:asciiTheme="minorEastAsia" w:hAnsiTheme="minorEastAsia" w:eastAsiaTheme="minorEastAsia"/>
          <w:sz w:val="32"/>
          <w:szCs w:val="32"/>
          <w:lang w:val="en-US" w:eastAsia="zh-CN"/>
        </w:rPr>
        <w:t>0</w:t>
      </w:r>
      <w:r>
        <w:rPr>
          <w:rFonts w:hint="eastAsia" w:asciiTheme="minorEastAsia" w:hAnsiTheme="minorEastAsia" w:eastAsiaTheme="minorEastAsia"/>
          <w:sz w:val="32"/>
          <w:szCs w:val="32"/>
        </w:rPr>
        <w:t>台（套）。</w:t>
      </w:r>
    </w:p>
    <w:p>
      <w:pPr>
        <w:pStyle w:val="10"/>
        <w:outlineLvl w:val="0"/>
        <w:rPr>
          <w:rFonts w:hint="eastAsia" w:hAnsi="黑体"/>
          <w:b/>
          <w:sz w:val="32"/>
          <w:szCs w:val="32"/>
        </w:rPr>
      </w:pPr>
    </w:p>
    <w:p>
      <w:pPr>
        <w:pStyle w:val="10"/>
        <w:outlineLvl w:val="0"/>
        <w:rPr>
          <w:rFonts w:hAnsi="黑体"/>
          <w:b/>
          <w:sz w:val="32"/>
          <w:szCs w:val="32"/>
        </w:rPr>
      </w:pPr>
      <w:r>
        <w:rPr>
          <w:rFonts w:hint="eastAsia" w:hAnsi="黑体"/>
          <w:b/>
          <w:sz w:val="32"/>
          <w:szCs w:val="32"/>
        </w:rPr>
        <w:t>十</w:t>
      </w:r>
      <w:r>
        <w:rPr>
          <w:rFonts w:hint="eastAsia" w:hAnsi="黑体"/>
          <w:b/>
          <w:sz w:val="32"/>
          <w:szCs w:val="32"/>
          <w:lang w:eastAsia="zh-CN"/>
        </w:rPr>
        <w:t>四</w:t>
      </w:r>
      <w:r>
        <w:rPr>
          <w:rFonts w:hint="eastAsia" w:hAnsi="黑体"/>
          <w:b/>
          <w:sz w:val="32"/>
          <w:szCs w:val="32"/>
        </w:rPr>
        <w:t>、2021年度预算绩效情况说明</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根据《中共中央 国务院关于全面实施预算绩效管理的意见》（中发〔2018〕34号）、《中共湖南省委办公厅 湖南省人民政府办公厅关于全面实施预算绩效管理的实施意见（湘办发〔2019〕10号）文件精神，结合《</w:t>
      </w:r>
      <w:r>
        <w:rPr>
          <w:rFonts w:hint="eastAsia" w:cs="黑体" w:asciiTheme="minorEastAsia" w:hAnsiTheme="minorEastAsia"/>
          <w:color w:val="000000"/>
          <w:kern w:val="0"/>
          <w:sz w:val="32"/>
          <w:szCs w:val="32"/>
          <w:lang w:val="en-US" w:eastAsia="zh-CN"/>
        </w:rPr>
        <w:t>岳</w:t>
      </w:r>
      <w:r>
        <w:rPr>
          <w:rFonts w:hint="eastAsia" w:cs="黑体" w:asciiTheme="minorEastAsia" w:hAnsiTheme="minorEastAsia"/>
          <w:color w:val="000000"/>
          <w:kern w:val="0"/>
          <w:sz w:val="32"/>
          <w:szCs w:val="32"/>
        </w:rPr>
        <w:t>阳市财政局关于开展202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年度部门绩效自评工作的通知》要求，为进一步规范财政资金管理，强化绩效和责任意识，切实提高财政资金使用效益，我单位对202</w:t>
      </w:r>
      <w:r>
        <w:rPr>
          <w:rFonts w:hint="eastAsia" w:cs="黑体" w:asciiTheme="minorEastAsia" w:hAnsiTheme="minorEastAsia"/>
          <w:color w:val="000000"/>
          <w:kern w:val="0"/>
          <w:sz w:val="32"/>
          <w:szCs w:val="32"/>
          <w:lang w:val="en-US" w:eastAsia="zh-CN"/>
        </w:rPr>
        <w:t>1</w:t>
      </w:r>
      <w:r>
        <w:rPr>
          <w:rFonts w:hint="eastAsia" w:cs="黑体" w:asciiTheme="minorEastAsia" w:hAnsiTheme="minorEastAsia"/>
          <w:color w:val="000000"/>
          <w:kern w:val="0"/>
          <w:sz w:val="32"/>
          <w:szCs w:val="32"/>
        </w:rPr>
        <w:t>年度部门整体支出、单位项目支出、重点（专项）项目支出进行了绩效自评。</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部门整体支出绩效自评得分</w:t>
      </w:r>
      <w:r>
        <w:rPr>
          <w:rFonts w:hint="eastAsia" w:cs="黑体" w:asciiTheme="minorEastAsia" w:hAnsiTheme="minorEastAsia"/>
          <w:color w:val="000000"/>
          <w:kern w:val="0"/>
          <w:sz w:val="32"/>
          <w:szCs w:val="32"/>
          <w:lang w:val="en-US" w:eastAsia="zh-CN"/>
        </w:rPr>
        <w:t>95</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cs="黑体" w:asciiTheme="minorEastAsia" w:hAnsiTheme="minorEastAsia"/>
          <w:color w:val="000000"/>
          <w:kern w:val="0"/>
          <w:sz w:val="32"/>
          <w:szCs w:val="32"/>
        </w:rPr>
        <w:t>项目支出绩效自评得分</w:t>
      </w:r>
      <w:r>
        <w:rPr>
          <w:rFonts w:hint="eastAsia" w:cs="黑体" w:asciiTheme="minorEastAsia" w:hAnsiTheme="minorEastAsia"/>
          <w:color w:val="000000"/>
          <w:kern w:val="0"/>
          <w:sz w:val="32"/>
          <w:szCs w:val="32"/>
          <w:lang w:val="en-US" w:eastAsia="zh-CN"/>
        </w:rPr>
        <w:t>93</w:t>
      </w:r>
      <w:r>
        <w:rPr>
          <w:rFonts w:hint="eastAsia" w:cs="黑体" w:asciiTheme="minorEastAsia" w:hAnsiTheme="minorEastAsia"/>
          <w:color w:val="000000"/>
          <w:kern w:val="0"/>
          <w:sz w:val="32"/>
          <w:szCs w:val="32"/>
        </w:rPr>
        <w:t>，评价等级为“</w:t>
      </w:r>
      <w:r>
        <w:rPr>
          <w:rFonts w:hint="eastAsia" w:cs="黑体" w:asciiTheme="minorEastAsia" w:hAnsiTheme="minorEastAsia"/>
          <w:color w:val="000000"/>
          <w:kern w:val="0"/>
          <w:sz w:val="32"/>
          <w:szCs w:val="32"/>
          <w:lang w:val="en-US" w:eastAsia="zh-CN"/>
        </w:rPr>
        <w:t>优秀</w:t>
      </w:r>
      <w:r>
        <w:rPr>
          <w:rFonts w:hint="eastAsia" w:cs="黑体" w:asciiTheme="minorEastAsia" w:hAnsiTheme="minorEastAsia"/>
          <w:color w:val="000000"/>
          <w:kern w:val="0"/>
          <w:sz w:val="32"/>
          <w:szCs w:val="32"/>
        </w:rPr>
        <w:t>”；</w:t>
      </w:r>
    </w:p>
    <w:p>
      <w:pPr>
        <w:pStyle w:val="10"/>
        <w:autoSpaceDE w:val="0"/>
        <w:autoSpaceDN w:val="0"/>
        <w:adjustRightInd w:val="0"/>
        <w:ind w:firstLine="640" w:firstLineChars="200"/>
        <w:jc w:val="left"/>
        <w:rPr>
          <w:rFonts w:hint="eastAsia" w:cs="黑体" w:asciiTheme="minorEastAsia" w:hAnsiTheme="minorEastAsia"/>
          <w:color w:val="000000"/>
          <w:kern w:val="0"/>
          <w:sz w:val="32"/>
          <w:szCs w:val="32"/>
        </w:rPr>
      </w:pPr>
      <w:r>
        <w:rPr>
          <w:rFonts w:hint="eastAsia" w:ascii="宋体" w:hAnsi="宋体" w:eastAsia="宋体"/>
          <w:sz w:val="32"/>
          <w:szCs w:val="32"/>
        </w:rPr>
        <w:t>已按市财政局统一要求在我单位门户网站公开。</w:t>
      </w:r>
    </w:p>
    <w:p>
      <w:pPr>
        <w:autoSpaceDE w:val="0"/>
        <w:autoSpaceDN w:val="0"/>
        <w:adjustRightInd w:val="0"/>
        <w:ind w:firstLine="640" w:firstLineChars="200"/>
        <w:jc w:val="left"/>
        <w:rPr>
          <w:rFonts w:hint="eastAsia" w:cs="黑体" w:asciiTheme="minorEastAsia" w:hAnsiTheme="minorEastAsia"/>
          <w:color w:val="000000"/>
          <w:kern w:val="0"/>
          <w:sz w:val="32"/>
          <w:szCs w:val="32"/>
          <w:lang w:val="en-US" w:eastAsia="zh-CN"/>
        </w:rPr>
      </w:pPr>
      <w:r>
        <w:rPr>
          <w:rFonts w:hint="eastAsia" w:cs="黑体" w:asciiTheme="minorEastAsia" w:hAnsiTheme="minorEastAsia"/>
          <w:color w:val="000000"/>
          <w:kern w:val="0"/>
          <w:sz w:val="32"/>
          <w:szCs w:val="32"/>
          <w:lang w:val="en-US" w:eastAsia="zh-CN"/>
        </w:rPr>
        <w:t>报告见附件。</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rPr>
          <w:sz w:val="72"/>
          <w:szCs w:val="72"/>
        </w:rPr>
      </w:pPr>
    </w:p>
    <w:p>
      <w:pPr>
        <w:pStyle w:val="10"/>
        <w:rPr>
          <w:sz w:val="72"/>
          <w:szCs w:val="72"/>
        </w:rPr>
      </w:pPr>
    </w:p>
    <w:p>
      <w:pPr>
        <w:pStyle w:val="10"/>
        <w:jc w:val="center"/>
        <w:rPr>
          <w:sz w:val="72"/>
          <w:szCs w:val="72"/>
        </w:rPr>
      </w:pPr>
    </w:p>
    <w:p>
      <w:pPr>
        <w:pStyle w:val="10"/>
        <w:jc w:val="center"/>
        <w:rPr>
          <w:sz w:val="72"/>
          <w:szCs w:val="72"/>
        </w:rPr>
      </w:pPr>
    </w:p>
    <w:p>
      <w:pPr>
        <w:pStyle w:val="10"/>
        <w:jc w:val="center"/>
        <w:rPr>
          <w:rFonts w:ascii="黑体" w:eastAsia="黑体" w:cs="黑体"/>
          <w:color w:val="000000"/>
          <w:kern w:val="0"/>
          <w:sz w:val="70"/>
          <w:szCs w:val="70"/>
        </w:rPr>
      </w:pPr>
      <w:r>
        <w:rPr>
          <w:rFonts w:hint="eastAsia"/>
          <w:sz w:val="72"/>
          <w:szCs w:val="72"/>
        </w:rPr>
        <w:t>第四部分</w:t>
      </w:r>
      <w:r>
        <w:rPr>
          <w:rFonts w:hint="eastAsia"/>
          <w:sz w:val="72"/>
          <w:szCs w:val="72"/>
          <w:lang w:val="en-US" w:eastAsia="zh-CN"/>
        </w:rPr>
        <w:t xml:space="preserve"> </w:t>
      </w:r>
      <w:r>
        <w:rPr>
          <w:rFonts w:hint="eastAsia" w:ascii="黑体" w:eastAsia="黑体" w:cs="黑体"/>
          <w:color w:val="000000"/>
          <w:kern w:val="0"/>
          <w:sz w:val="70"/>
          <w:szCs w:val="70"/>
        </w:rPr>
        <w:t>名词解释</w:t>
      </w:r>
    </w:p>
    <w:p>
      <w:pPr>
        <w:widowControl/>
        <w:ind w:firstLine="320" w:firstLineChars="100"/>
        <w:jc w:val="left"/>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1、财政拨款收入：指本级财政当年拨付的资金。</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2、其他收入：指除上述“财政拨款收入”、“上级补助收入”、“事业收入”、“经营收入”、“附属单位上缴收入”等以外的收入。</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3、社会保障和就业支出：是指用于社会保障和就业方面的支出，包括保障机构正常运转、完成日常和特定的工作任务或事业发展目标的支出。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4、其他支出:是指用于其他方面的支出,包括福利彩票公益金支出.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5、基本支出：指保障机构正常运转、完成支日常工作任务而发生的人员支出和公用支出。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6、项目支出：指在基本支出之外为完成特定行政任务和事业发展目标所发生的支出。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2" w:lineRule="atLeast"/>
        <w:ind w:left="0" w:right="0" w:firstLine="420"/>
        <w:jc w:val="both"/>
        <w:rPr>
          <w:rFonts w:hint="eastAsia" w:ascii="宋体" w:hAnsi="宋体" w:eastAsia="宋体" w:cs="黑体"/>
          <w:color w:val="000000"/>
          <w:kern w:val="0"/>
          <w:sz w:val="32"/>
          <w:szCs w:val="32"/>
          <w:lang w:val="en-US" w:eastAsia="zh-CN" w:bidi="ar-SA"/>
        </w:rPr>
      </w:pPr>
      <w:r>
        <w:rPr>
          <w:rFonts w:hint="eastAsia" w:ascii="宋体" w:hAnsi="宋体" w:eastAsia="宋体" w:cs="黑体"/>
          <w:color w:val="000000"/>
          <w:kern w:val="0"/>
          <w:sz w:val="32"/>
          <w:szCs w:val="32"/>
          <w:lang w:val="en-US" w:eastAsia="zh-CN" w:bidi="ar-SA"/>
        </w:rPr>
        <w:t>7、机关运行经费：是指各部门的公用经费，包括办公费、印刷费、邮电费、差旅费、会议费、福利费、日常维修费、专用资料及一般设备购置费、办公用房水电费、办公用房取暖费、办公用房物业管理费、公务用车运行维护费以及其他费用。</w:t>
      </w:r>
    </w:p>
    <w:p>
      <w:pPr>
        <w:widowControl/>
        <w:jc w:val="left"/>
        <w:rPr>
          <w:sz w:val="72"/>
          <w:szCs w:val="72"/>
        </w:rPr>
      </w:pPr>
      <w:r>
        <w:rPr>
          <w:rFonts w:hint="eastAsia" w:ascii="宋体" w:hAnsi="宋体" w:eastAsia="宋体" w:cs="黑体"/>
          <w:color w:val="000000"/>
          <w:kern w:val="0"/>
          <w:sz w:val="32"/>
          <w:szCs w:val="32"/>
          <w:lang w:val="en-US" w:eastAsia="zh-CN" w:bidi="ar-SA"/>
        </w:rPr>
        <w:t>8、“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w:t>
      </w: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p>
    <w:p>
      <w:pPr>
        <w:pStyle w:val="10"/>
        <w:jc w:val="center"/>
        <w:rPr>
          <w:sz w:val="72"/>
          <w:szCs w:val="72"/>
        </w:rPr>
      </w:pPr>
      <w:r>
        <w:rPr>
          <w:rFonts w:hint="eastAsia"/>
          <w:sz w:val="72"/>
          <w:szCs w:val="72"/>
        </w:rPr>
        <w:t>第五部分</w:t>
      </w:r>
    </w:p>
    <w:p>
      <w:pPr>
        <w:jc w:val="center"/>
        <w:rPr>
          <w:rFonts w:ascii="黑体" w:eastAsia="黑体" w:cs="黑体"/>
          <w:color w:val="000000"/>
          <w:kern w:val="0"/>
          <w:sz w:val="70"/>
          <w:szCs w:val="70"/>
        </w:rPr>
      </w:pPr>
    </w:p>
    <w:p>
      <w:pPr>
        <w:jc w:val="center"/>
        <w:outlineLvl w:val="0"/>
        <w:rPr>
          <w:rFonts w:ascii="黑体" w:eastAsia="黑体" w:cs="黑体"/>
          <w:color w:val="000000"/>
          <w:kern w:val="0"/>
          <w:sz w:val="70"/>
          <w:szCs w:val="70"/>
        </w:rPr>
      </w:pPr>
      <w:r>
        <w:rPr>
          <w:rFonts w:hint="eastAsia" w:ascii="黑体" w:eastAsia="黑体" w:cs="黑体"/>
          <w:color w:val="000000"/>
          <w:kern w:val="0"/>
          <w:sz w:val="70"/>
          <w:szCs w:val="70"/>
        </w:rPr>
        <w:t>附件</w:t>
      </w:r>
    </w:p>
    <w:p>
      <w:pPr>
        <w:widowControl/>
        <w:ind w:firstLine="1920" w:firstLineChars="600"/>
        <w:jc w:val="left"/>
        <w:rPr>
          <w:rFonts w:cs="黑体" w:asciiTheme="minorEastAsia" w:hAnsiTheme="minorEastAsia"/>
          <w:b/>
          <w:color w:val="000000"/>
          <w:kern w:val="0"/>
          <w:sz w:val="32"/>
          <w:szCs w:val="32"/>
        </w:rPr>
      </w:pPr>
    </w:p>
    <w:p>
      <w:pPr>
        <w:ind w:firstLine="3200" w:firstLineChars="1000"/>
        <w:jc w:val="left"/>
        <w:rPr>
          <w:rFonts w:hint="eastAsia" w:cs="黑体" w:asciiTheme="minorEastAsia" w:hAnsiTheme="minorEastAsia" w:eastAsiaTheme="minorEastAsia"/>
          <w:b/>
          <w:color w:val="000000"/>
          <w:kern w:val="0"/>
          <w:sz w:val="32"/>
          <w:szCs w:val="32"/>
          <w:lang w:eastAsia="zh-CN"/>
        </w:rPr>
      </w:pPr>
      <w:r>
        <w:rPr>
          <w:rFonts w:hint="eastAsia" w:cs="黑体" w:asciiTheme="minorEastAsia" w:hAnsiTheme="minorEastAsia"/>
          <w:b/>
          <w:color w:val="000000"/>
          <w:kern w:val="0"/>
          <w:sz w:val="32"/>
          <w:szCs w:val="32"/>
        </w:rPr>
        <w:t>2021年度部门决算公开</w:t>
      </w:r>
      <w:r>
        <w:rPr>
          <w:rFonts w:hint="eastAsia" w:cs="黑体" w:asciiTheme="minorEastAsia" w:hAnsiTheme="minorEastAsia"/>
          <w:b/>
          <w:color w:val="000000"/>
          <w:kern w:val="0"/>
          <w:sz w:val="32"/>
          <w:szCs w:val="32"/>
          <w:lang w:eastAsia="zh-CN"/>
        </w:rPr>
        <w:t>表</w:t>
      </w:r>
    </w:p>
    <w:p>
      <w:pPr>
        <w:ind w:firstLine="2560" w:firstLineChars="800"/>
        <w:jc w:val="left"/>
        <w:rPr>
          <w:rFonts w:cs="黑体" w:asciiTheme="minorEastAsia" w:hAnsiTheme="minorEastAsia"/>
          <w:color w:val="000000"/>
          <w:kern w:val="0"/>
          <w:sz w:val="32"/>
          <w:szCs w:val="32"/>
        </w:rPr>
      </w:pPr>
      <w:r>
        <w:rPr>
          <w:rFonts w:hint="eastAsia" w:cs="黑体" w:asciiTheme="minorEastAsia" w:hAnsiTheme="minorEastAsia"/>
          <w:b/>
          <w:color w:val="000000"/>
          <w:kern w:val="0"/>
          <w:sz w:val="32"/>
          <w:szCs w:val="32"/>
        </w:rPr>
        <w:t>2021年度部门整体支出绩效评价报告</w:t>
      </w:r>
    </w:p>
    <w:sectPr>
      <w:pgSz w:w="11906" w:h="16838"/>
      <w:pgMar w:top="720" w:right="720" w:bottom="720" w:left="720"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3F6CB5F"/>
    <w:multiLevelType w:val="singleLevel"/>
    <w:tmpl w:val="F3F6CB5F"/>
    <w:lvl w:ilvl="0" w:tentative="0">
      <w:start w:val="9"/>
      <w:numFmt w:val="chineseCounting"/>
      <w:suff w:val="nothing"/>
      <w:lvlText w:val="%1、"/>
      <w:lvlJc w:val="left"/>
      <w:rPr>
        <w:rFonts w:hint="eastAsia"/>
      </w:rPr>
    </w:lvl>
  </w:abstractNum>
  <w:abstractNum w:abstractNumId="1">
    <w:nsid w:val="0F706760"/>
    <w:multiLevelType w:val="singleLevel"/>
    <w:tmpl w:val="0F706760"/>
    <w:lvl w:ilvl="0" w:tentative="0">
      <w:start w:val="2"/>
      <w:numFmt w:val="chineseCounting"/>
      <w:suff w:val="nothing"/>
      <w:lvlText w:val="%1、"/>
      <w:lvlJc w:val="left"/>
      <w:rPr>
        <w:rFonts w:hint="eastAsia"/>
      </w:rPr>
    </w:lvl>
  </w:abstractNum>
  <w:abstractNum w:abstractNumId="2">
    <w:nsid w:val="373518C1"/>
    <w:multiLevelType w:val="multilevel"/>
    <w:tmpl w:val="373518C1"/>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U0Mjg0Mjc4NjAwODI5ODE0MmU0N2E2YzI5NzYyMGMifQ=="/>
  </w:docVars>
  <w:rsids>
    <w:rsidRoot w:val="004506F9"/>
    <w:rsid w:val="0002229B"/>
    <w:rsid w:val="000273BD"/>
    <w:rsid w:val="000415B7"/>
    <w:rsid w:val="00041E3F"/>
    <w:rsid w:val="00055DAA"/>
    <w:rsid w:val="00061F7B"/>
    <w:rsid w:val="000658A3"/>
    <w:rsid w:val="00074155"/>
    <w:rsid w:val="000873EF"/>
    <w:rsid w:val="000A3F69"/>
    <w:rsid w:val="00103957"/>
    <w:rsid w:val="00124A1F"/>
    <w:rsid w:val="00152C6D"/>
    <w:rsid w:val="00162D39"/>
    <w:rsid w:val="001678BD"/>
    <w:rsid w:val="00182373"/>
    <w:rsid w:val="001A67DB"/>
    <w:rsid w:val="001C3C29"/>
    <w:rsid w:val="001D51E5"/>
    <w:rsid w:val="001E080D"/>
    <w:rsid w:val="001E53D0"/>
    <w:rsid w:val="001F0C3B"/>
    <w:rsid w:val="00202C14"/>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C4197"/>
    <w:rsid w:val="003C47E6"/>
    <w:rsid w:val="003C4FC2"/>
    <w:rsid w:val="003E2331"/>
    <w:rsid w:val="00416E61"/>
    <w:rsid w:val="0042790C"/>
    <w:rsid w:val="004506F9"/>
    <w:rsid w:val="004717A2"/>
    <w:rsid w:val="00473DF3"/>
    <w:rsid w:val="00487911"/>
    <w:rsid w:val="00491741"/>
    <w:rsid w:val="004B0CEE"/>
    <w:rsid w:val="00500E5F"/>
    <w:rsid w:val="005122EF"/>
    <w:rsid w:val="0051441A"/>
    <w:rsid w:val="00517C33"/>
    <w:rsid w:val="00517D5F"/>
    <w:rsid w:val="00521AF2"/>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48B"/>
    <w:rsid w:val="006A351B"/>
    <w:rsid w:val="006B0422"/>
    <w:rsid w:val="006C1B53"/>
    <w:rsid w:val="006D7730"/>
    <w:rsid w:val="006E5284"/>
    <w:rsid w:val="006F3EB5"/>
    <w:rsid w:val="00702E34"/>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70249"/>
    <w:rsid w:val="00A70B02"/>
    <w:rsid w:val="00A71D9F"/>
    <w:rsid w:val="00A92E9F"/>
    <w:rsid w:val="00B33BEA"/>
    <w:rsid w:val="00B57C9F"/>
    <w:rsid w:val="00B63572"/>
    <w:rsid w:val="00B845B3"/>
    <w:rsid w:val="00B85D8B"/>
    <w:rsid w:val="00BB4A40"/>
    <w:rsid w:val="00BD6C3E"/>
    <w:rsid w:val="00BE3674"/>
    <w:rsid w:val="00C10681"/>
    <w:rsid w:val="00C3049A"/>
    <w:rsid w:val="00C31B1E"/>
    <w:rsid w:val="00C77645"/>
    <w:rsid w:val="00CE04C3"/>
    <w:rsid w:val="00CE76A0"/>
    <w:rsid w:val="00D148C6"/>
    <w:rsid w:val="00D17A8A"/>
    <w:rsid w:val="00D415BA"/>
    <w:rsid w:val="00D63780"/>
    <w:rsid w:val="00D644EE"/>
    <w:rsid w:val="00D75489"/>
    <w:rsid w:val="00DD06FF"/>
    <w:rsid w:val="00DD5FE9"/>
    <w:rsid w:val="00E00C7A"/>
    <w:rsid w:val="00E209CF"/>
    <w:rsid w:val="00E37D6C"/>
    <w:rsid w:val="00E55B68"/>
    <w:rsid w:val="00E67BE6"/>
    <w:rsid w:val="00E8683C"/>
    <w:rsid w:val="00EA2B72"/>
    <w:rsid w:val="00F74360"/>
    <w:rsid w:val="00FB462F"/>
    <w:rsid w:val="00FE16FA"/>
    <w:rsid w:val="00FE328A"/>
    <w:rsid w:val="00FE6269"/>
    <w:rsid w:val="00FF5CD6"/>
    <w:rsid w:val="03F84569"/>
    <w:rsid w:val="06624C0A"/>
    <w:rsid w:val="06800405"/>
    <w:rsid w:val="072D132D"/>
    <w:rsid w:val="079E2DA6"/>
    <w:rsid w:val="09C83405"/>
    <w:rsid w:val="09D73726"/>
    <w:rsid w:val="0F927BB6"/>
    <w:rsid w:val="10E7043D"/>
    <w:rsid w:val="115F7498"/>
    <w:rsid w:val="13C41619"/>
    <w:rsid w:val="14982BF3"/>
    <w:rsid w:val="14B940A6"/>
    <w:rsid w:val="16EC58A2"/>
    <w:rsid w:val="17871E76"/>
    <w:rsid w:val="190466DF"/>
    <w:rsid w:val="196F15A1"/>
    <w:rsid w:val="1A4B61EF"/>
    <w:rsid w:val="1C9E7DEB"/>
    <w:rsid w:val="23137077"/>
    <w:rsid w:val="28673828"/>
    <w:rsid w:val="2AA25CA6"/>
    <w:rsid w:val="3167588E"/>
    <w:rsid w:val="353F6DC5"/>
    <w:rsid w:val="388273B5"/>
    <w:rsid w:val="38FD77E2"/>
    <w:rsid w:val="3A9138E3"/>
    <w:rsid w:val="43E47B54"/>
    <w:rsid w:val="479428F0"/>
    <w:rsid w:val="47D93184"/>
    <w:rsid w:val="52ED230C"/>
    <w:rsid w:val="5D0625A5"/>
    <w:rsid w:val="5DF277D0"/>
    <w:rsid w:val="65EF37E5"/>
    <w:rsid w:val="67C71BA2"/>
    <w:rsid w:val="68106986"/>
    <w:rsid w:val="68582403"/>
    <w:rsid w:val="69FC2167"/>
    <w:rsid w:val="6E6E2980"/>
    <w:rsid w:val="6EDA1312"/>
    <w:rsid w:val="70344547"/>
    <w:rsid w:val="70381498"/>
    <w:rsid w:val="70F4660E"/>
    <w:rsid w:val="72B94D91"/>
    <w:rsid w:val="74655CAA"/>
    <w:rsid w:val="7748213F"/>
    <w:rsid w:val="7A2215B4"/>
    <w:rsid w:val="7C8C3248"/>
    <w:rsid w:val="7DCC23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customStyle="1" w:styleId="8">
    <w:name w:val="页眉 Char"/>
    <w:basedOn w:val="7"/>
    <w:link w:val="4"/>
    <w:qFormat/>
    <w:uiPriority w:val="99"/>
    <w:rPr>
      <w:sz w:val="18"/>
      <w:szCs w:val="18"/>
    </w:rPr>
  </w:style>
  <w:style w:type="character" w:customStyle="1" w:styleId="9">
    <w:name w:val="页脚 Char"/>
    <w:basedOn w:val="7"/>
    <w:link w:val="3"/>
    <w:qFormat/>
    <w:uiPriority w:val="99"/>
    <w:rPr>
      <w:sz w:val="18"/>
      <w:szCs w:val="18"/>
    </w:rPr>
  </w:style>
  <w:style w:type="paragraph" w:customStyle="1" w:styleId="10">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paragraph" w:styleId="11">
    <w:name w:val="List Paragraph"/>
    <w:basedOn w:val="1"/>
    <w:qFormat/>
    <w:uiPriority w:val="34"/>
    <w:pPr>
      <w:ind w:firstLine="420" w:firstLineChars="200"/>
    </w:pPr>
  </w:style>
  <w:style w:type="character" w:customStyle="1" w:styleId="12">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480904-B2FB-4FE3-894F-42F14B17BC59}">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3683</Words>
  <Characters>4066</Characters>
  <Lines>69</Lines>
  <Paragraphs>19</Paragraphs>
  <TotalTime>1</TotalTime>
  <ScaleCrop>false</ScaleCrop>
  <LinksUpToDate>false</LinksUpToDate>
  <CharactersWithSpaces>4078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2020-07-02T02:32:00Z</dcterms:created>
  <dc:creator>李航 null</dc:creator>
  <cp:lastModifiedBy>Administrator</cp:lastModifiedBy>
  <cp:lastPrinted>2022-07-27T12:55:00Z</cp:lastPrinted>
  <dcterms:modified xsi:type="dcterms:W3CDTF">2023-09-16T04:14:50Z</dcterms:modified>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BF49CF4C812642EFBBF2E16E4050B406</vt:lpwstr>
  </property>
</Properties>
</file>