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hint="eastAsia"/>
          <w:sz w:val="56"/>
          <w:szCs w:val="56"/>
          <w:highlight w:val="none"/>
        </w:rPr>
      </w:pPr>
    </w:p>
    <w:p>
      <w:pPr>
        <w:pStyle w:val="13"/>
        <w:jc w:val="center"/>
        <w:rPr>
          <w:sz w:val="56"/>
          <w:szCs w:val="56"/>
          <w:highlight w:val="none"/>
        </w:rPr>
      </w:pPr>
    </w:p>
    <w:p>
      <w:pPr>
        <w:pStyle w:val="13"/>
        <w:jc w:val="center"/>
        <w:rPr>
          <w:sz w:val="84"/>
          <w:szCs w:val="84"/>
          <w:highlight w:val="none"/>
        </w:rPr>
      </w:pPr>
    </w:p>
    <w:p>
      <w:pPr>
        <w:pStyle w:val="13"/>
        <w:jc w:val="center"/>
        <w:rPr>
          <w:sz w:val="84"/>
          <w:szCs w:val="84"/>
          <w:highlight w:val="none"/>
        </w:rPr>
      </w:pPr>
    </w:p>
    <w:p>
      <w:pPr>
        <w:pStyle w:val="13"/>
        <w:jc w:val="center"/>
        <w:rPr>
          <w:sz w:val="84"/>
          <w:szCs w:val="84"/>
          <w:highlight w:val="none"/>
        </w:rPr>
      </w:pPr>
      <w:r>
        <w:rPr>
          <w:rFonts w:hint="eastAsia"/>
          <w:sz w:val="84"/>
          <w:szCs w:val="84"/>
          <w:highlight w:val="none"/>
        </w:rPr>
        <w:t>2021年度</w:t>
      </w:r>
    </w:p>
    <w:p>
      <w:pPr>
        <w:pStyle w:val="13"/>
        <w:jc w:val="center"/>
        <w:rPr>
          <w:rFonts w:hint="eastAsia"/>
          <w:sz w:val="84"/>
          <w:szCs w:val="84"/>
          <w:highlight w:val="none"/>
          <w:lang w:eastAsia="zh-CN"/>
        </w:rPr>
      </w:pPr>
      <w:r>
        <w:rPr>
          <w:rFonts w:hint="eastAsia"/>
          <w:sz w:val="84"/>
          <w:szCs w:val="84"/>
          <w:highlight w:val="none"/>
          <w:lang w:eastAsia="zh-CN"/>
        </w:rPr>
        <w:t>岳阳县卫生计生综合监督</w:t>
      </w:r>
    </w:p>
    <w:p>
      <w:pPr>
        <w:pStyle w:val="13"/>
        <w:jc w:val="center"/>
        <w:rPr>
          <w:rFonts w:hint="eastAsia"/>
          <w:sz w:val="84"/>
          <w:szCs w:val="84"/>
          <w:highlight w:val="none"/>
          <w:lang w:eastAsia="zh-CN"/>
        </w:rPr>
      </w:pPr>
      <w:r>
        <w:rPr>
          <w:rFonts w:hint="eastAsia"/>
          <w:sz w:val="84"/>
          <w:szCs w:val="84"/>
          <w:highlight w:val="none"/>
          <w:lang w:eastAsia="zh-CN"/>
        </w:rPr>
        <w:t>执法局</w:t>
      </w:r>
    </w:p>
    <w:p>
      <w:pPr>
        <w:pStyle w:val="13"/>
        <w:jc w:val="center"/>
        <w:rPr>
          <w:sz w:val="84"/>
          <w:szCs w:val="84"/>
          <w:highlight w:val="none"/>
        </w:rPr>
      </w:pPr>
      <w:r>
        <w:rPr>
          <w:rFonts w:hint="eastAsia"/>
          <w:sz w:val="84"/>
          <w:szCs w:val="84"/>
          <w:highlight w:val="none"/>
        </w:rPr>
        <w:t>部门（单位）部门决算</w:t>
      </w:r>
    </w:p>
    <w:p>
      <w:pPr>
        <w:pStyle w:val="13"/>
        <w:jc w:val="center"/>
        <w:rPr>
          <w:sz w:val="56"/>
          <w:szCs w:val="56"/>
          <w:highlight w:val="none"/>
        </w:rPr>
      </w:pPr>
    </w:p>
    <w:p>
      <w:pPr>
        <w:pStyle w:val="13"/>
        <w:jc w:val="center"/>
        <w:rPr>
          <w:sz w:val="56"/>
          <w:szCs w:val="56"/>
          <w:highlight w:val="none"/>
        </w:rPr>
      </w:pPr>
    </w:p>
    <w:p>
      <w:pPr>
        <w:pStyle w:val="13"/>
        <w:jc w:val="center"/>
        <w:rPr>
          <w:sz w:val="56"/>
          <w:szCs w:val="56"/>
          <w:highlight w:val="none"/>
        </w:rPr>
      </w:pPr>
    </w:p>
    <w:p>
      <w:pPr>
        <w:pStyle w:val="13"/>
        <w:jc w:val="center"/>
        <w:rPr>
          <w:sz w:val="56"/>
          <w:szCs w:val="56"/>
          <w:highlight w:val="none"/>
        </w:rPr>
      </w:pPr>
    </w:p>
    <w:p>
      <w:pPr>
        <w:pStyle w:val="13"/>
        <w:jc w:val="center"/>
        <w:rPr>
          <w:sz w:val="32"/>
          <w:szCs w:val="32"/>
          <w:highlight w:val="none"/>
        </w:rPr>
      </w:pPr>
    </w:p>
    <w:p>
      <w:pPr>
        <w:pStyle w:val="13"/>
        <w:jc w:val="center"/>
        <w:rPr>
          <w:sz w:val="32"/>
          <w:szCs w:val="32"/>
          <w:highlight w:val="none"/>
        </w:rPr>
      </w:pPr>
    </w:p>
    <w:p>
      <w:pPr>
        <w:pStyle w:val="13"/>
        <w:jc w:val="center"/>
        <w:rPr>
          <w:sz w:val="32"/>
          <w:szCs w:val="32"/>
          <w:highlight w:val="none"/>
        </w:rPr>
      </w:pPr>
    </w:p>
    <w:p>
      <w:pPr>
        <w:pStyle w:val="13"/>
        <w:jc w:val="center"/>
        <w:rPr>
          <w:sz w:val="32"/>
          <w:szCs w:val="32"/>
          <w:highlight w:val="none"/>
        </w:rPr>
      </w:pPr>
    </w:p>
    <w:p>
      <w:pPr>
        <w:pStyle w:val="13"/>
        <w:jc w:val="center"/>
        <w:rPr>
          <w:sz w:val="32"/>
          <w:szCs w:val="32"/>
          <w:highlight w:val="none"/>
        </w:rPr>
      </w:pPr>
    </w:p>
    <w:p>
      <w:pPr>
        <w:pStyle w:val="13"/>
        <w:spacing w:line="540" w:lineRule="exact"/>
        <w:jc w:val="center"/>
        <w:rPr>
          <w:sz w:val="56"/>
          <w:szCs w:val="56"/>
          <w:highlight w:val="none"/>
        </w:rPr>
      </w:pPr>
    </w:p>
    <w:p>
      <w:pPr>
        <w:pStyle w:val="13"/>
        <w:spacing w:line="500" w:lineRule="exact"/>
        <w:jc w:val="center"/>
        <w:rPr>
          <w:b/>
          <w:sz w:val="36"/>
          <w:szCs w:val="28"/>
          <w:highlight w:val="none"/>
        </w:rPr>
      </w:pPr>
    </w:p>
    <w:p>
      <w:pPr>
        <w:pStyle w:val="13"/>
        <w:spacing w:line="500" w:lineRule="exact"/>
        <w:jc w:val="center"/>
        <w:rPr>
          <w:b/>
          <w:sz w:val="36"/>
          <w:szCs w:val="28"/>
          <w:highlight w:val="none"/>
        </w:rPr>
      </w:pPr>
    </w:p>
    <w:p>
      <w:pPr>
        <w:pStyle w:val="13"/>
        <w:spacing w:line="500" w:lineRule="exact"/>
        <w:jc w:val="center"/>
        <w:rPr>
          <w:b/>
          <w:sz w:val="36"/>
          <w:szCs w:val="28"/>
          <w:highlight w:val="none"/>
        </w:rPr>
      </w:pPr>
      <w:r>
        <w:rPr>
          <w:rFonts w:hint="eastAsia"/>
          <w:b/>
          <w:sz w:val="36"/>
          <w:szCs w:val="28"/>
          <w:highlight w:val="none"/>
        </w:rPr>
        <w:t>目录</w:t>
      </w:r>
    </w:p>
    <w:p>
      <w:pPr>
        <w:pStyle w:val="13"/>
        <w:spacing w:line="500" w:lineRule="exact"/>
        <w:outlineLvl w:val="0"/>
        <w:rPr>
          <w:rFonts w:ascii="仿宋_GB2312" w:hAnsi="仿宋_GB2312" w:cs="仿宋_GB2312"/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第一部分XX单位概况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一、部门职责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二、机构设置</w:t>
      </w:r>
    </w:p>
    <w:p>
      <w:pPr>
        <w:pStyle w:val="13"/>
        <w:spacing w:line="500" w:lineRule="exact"/>
        <w:ind w:firstLine="700" w:firstLineChars="250"/>
        <w:rPr>
          <w:rFonts w:hint="eastAsia" w:cs="仿宋_GB2312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highlight w:val="none"/>
          <w:lang w:val="en-US" w:eastAsia="zh-CN"/>
        </w:rPr>
        <w:t>三</w:t>
      </w: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>部门决算单位构成</w:t>
      </w:r>
    </w:p>
    <w:p>
      <w:pPr>
        <w:pStyle w:val="13"/>
        <w:spacing w:line="500" w:lineRule="exact"/>
        <w:outlineLvl w:val="0"/>
        <w:rPr>
          <w:rFonts w:ascii="仿宋_GB2312" w:hAnsi="仿宋_GB2312" w:cs="仿宋_GB2312"/>
          <w:b/>
          <w:sz w:val="28"/>
          <w:szCs w:val="28"/>
          <w:highlight w:val="none"/>
        </w:rPr>
      </w:pPr>
      <w:r>
        <w:rPr>
          <w:rFonts w:hint="eastAsia" w:hAnsi="仿宋_GB2312"/>
          <w:b/>
          <w:sz w:val="28"/>
          <w:szCs w:val="28"/>
          <w:highlight w:val="none"/>
        </w:rPr>
        <w:t>第二部分</w:t>
      </w:r>
      <w:r>
        <w:rPr>
          <w:rFonts w:hAnsi="仿宋_GB2312"/>
          <w:b/>
          <w:sz w:val="28"/>
          <w:szCs w:val="28"/>
          <w:highlight w:val="none"/>
        </w:rPr>
        <w:t>20</w:t>
      </w:r>
      <w:r>
        <w:rPr>
          <w:rFonts w:hint="eastAsia" w:hAnsi="仿宋_GB2312"/>
          <w:b/>
          <w:sz w:val="28"/>
          <w:szCs w:val="28"/>
          <w:highlight w:val="none"/>
        </w:rPr>
        <w:t>21年度部门决算表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一、收入支出决算总表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二、收入决算表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三、支出决算表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四、财政拨款收入支出决算总表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五、一般公共预算财政拨款支出决算表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sz w:val="28"/>
          <w:szCs w:val="28"/>
          <w:highlight w:val="none"/>
        </w:rPr>
        <w:t>明细</w:t>
      </w: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表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七、一般公共预算财政拨款“三公”经费支出决算表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八、政府性基金预算财政拨款收入支出决算表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highlight w:val="none"/>
        </w:rPr>
        <w:t>九、国有资本经营预算财政拨款支出决算表</w:t>
      </w:r>
    </w:p>
    <w:p>
      <w:pPr>
        <w:pStyle w:val="13"/>
        <w:spacing w:line="500" w:lineRule="exact"/>
        <w:outlineLvl w:val="0"/>
        <w:rPr>
          <w:rFonts w:ascii="仿宋_GB2312" w:hAnsi="仿宋_GB2312" w:cs="仿宋_GB2312"/>
          <w:b/>
          <w:sz w:val="28"/>
          <w:szCs w:val="28"/>
          <w:highlight w:val="none"/>
        </w:rPr>
      </w:pPr>
      <w:r>
        <w:rPr>
          <w:rFonts w:hint="eastAsia" w:hAnsi="仿宋_GB2312"/>
          <w:b/>
          <w:sz w:val="28"/>
          <w:szCs w:val="28"/>
          <w:highlight w:val="none"/>
        </w:rPr>
        <w:t>第三部分</w:t>
      </w:r>
      <w:r>
        <w:rPr>
          <w:rFonts w:hAnsi="仿宋_GB2312"/>
          <w:b/>
          <w:sz w:val="28"/>
          <w:szCs w:val="28"/>
          <w:highlight w:val="none"/>
        </w:rPr>
        <w:t>20</w:t>
      </w:r>
      <w:r>
        <w:rPr>
          <w:rFonts w:hint="eastAsia" w:hAnsi="仿宋_GB2312"/>
          <w:b/>
          <w:sz w:val="28"/>
          <w:szCs w:val="28"/>
          <w:highlight w:val="none"/>
        </w:rPr>
        <w:t>21年度部门决算情况说明</w:t>
      </w:r>
    </w:p>
    <w:p>
      <w:pPr>
        <w:pStyle w:val="13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  <w:highlight w:val="none"/>
        </w:rPr>
      </w:pPr>
      <w:r>
        <w:rPr>
          <w:rFonts w:cs="仿宋_GB2312" w:asciiTheme="minorEastAsia" w:hAnsiTheme="minorEastAsia" w:eastAsiaTheme="minorEastAsia"/>
          <w:sz w:val="28"/>
          <w:szCs w:val="28"/>
          <w:highlight w:val="none"/>
        </w:rPr>
        <w:t>一、收入支出决算总体情况说明</w:t>
      </w:r>
    </w:p>
    <w:p>
      <w:pPr>
        <w:spacing w:line="500" w:lineRule="exact"/>
        <w:ind w:firstLine="700" w:firstLineChars="250"/>
        <w:jc w:val="left"/>
        <w:rPr>
          <w:rFonts w:ascii="仿宋_GB2312" w:hAnsi="仿宋_GB2312" w:cs="仿宋_GB2312"/>
          <w:sz w:val="28"/>
          <w:szCs w:val="28"/>
          <w:highlight w:val="none"/>
        </w:rPr>
      </w:pPr>
      <w:r>
        <w:rPr>
          <w:rFonts w:ascii="仿宋_GB2312" w:hAnsi="仿宋_GB2312" w:cs="仿宋_GB2312"/>
          <w:sz w:val="28"/>
          <w:szCs w:val="28"/>
          <w:highlight w:val="none"/>
        </w:rPr>
        <w:t>二、收入决算情况说明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  <w:t>三、支出决算情况说明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  <w:t>四、财政拨款收入支出决算总体情况说明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  <w:t>七、一般公共预算财政拨款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  <w:highlight w:val="none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  <w:t>三公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  <w:highlight w:val="none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  <w:t>经费支出决算情况说明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仿宋_GB2312" w:hAnsi="仿宋_GB2312" w:cs="仿宋_GB2312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  <w:highlight w:val="none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  <w:highlight w:val="none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  <w:highlight w:val="none"/>
        </w:rPr>
        <w:t>政府性基金预算收入支出决算情况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  <w:lang w:eastAsia="zh-CN"/>
        </w:rPr>
        <w:t>九、预算绩效情况说明</w:t>
      </w:r>
    </w:p>
    <w:p>
      <w:pPr>
        <w:autoSpaceDE w:val="0"/>
        <w:autoSpaceDN w:val="0"/>
        <w:adjustRightInd w:val="0"/>
        <w:spacing w:line="600" w:lineRule="exact"/>
        <w:ind w:firstLine="700" w:firstLineChars="250"/>
        <w:jc w:val="left"/>
        <w:rPr>
          <w:rFonts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  <w:lang w:eastAsia="zh-CN"/>
        </w:rPr>
        <w:t>十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其他重要事项情况说明</w:t>
      </w:r>
    </w:p>
    <w:p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黑体" w:hAnsi="黑体" w:eastAsia="黑体" w:cs="黑体"/>
          <w:b/>
          <w:color w:val="000000"/>
          <w:kern w:val="0"/>
          <w:sz w:val="28"/>
          <w:szCs w:val="28"/>
          <w:highlight w:val="none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  <w:highlight w:val="none"/>
        </w:rPr>
        <w:t>第四部分名词解释</w:t>
      </w:r>
    </w:p>
    <w:p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黑体" w:hAnsi="黑体" w:eastAsia="黑体" w:cs="仿宋_GB2312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highlight w:val="none"/>
        </w:rPr>
        <w:t>第五部分附件</w:t>
      </w:r>
    </w:p>
    <w:p>
      <w:pPr>
        <w:jc w:val="center"/>
        <w:rPr>
          <w:sz w:val="72"/>
          <w:szCs w:val="72"/>
          <w:highlight w:val="none"/>
        </w:rPr>
      </w:pPr>
    </w:p>
    <w:p>
      <w:pPr>
        <w:jc w:val="center"/>
        <w:rPr>
          <w:sz w:val="72"/>
          <w:szCs w:val="72"/>
          <w:highlight w:val="none"/>
        </w:rPr>
      </w:pPr>
    </w:p>
    <w:p>
      <w:pPr>
        <w:jc w:val="center"/>
        <w:rPr>
          <w:sz w:val="72"/>
          <w:szCs w:val="72"/>
          <w:highlight w:val="none"/>
        </w:rPr>
      </w:pPr>
    </w:p>
    <w:p>
      <w:pPr>
        <w:jc w:val="center"/>
        <w:rPr>
          <w:sz w:val="72"/>
          <w:szCs w:val="72"/>
          <w:highlight w:val="none"/>
        </w:rPr>
      </w:pPr>
    </w:p>
    <w:p>
      <w:pPr>
        <w:rPr>
          <w:sz w:val="72"/>
          <w:szCs w:val="72"/>
          <w:highlight w:val="none"/>
        </w:rPr>
      </w:pPr>
    </w:p>
    <w:p>
      <w:pPr>
        <w:pStyle w:val="13"/>
        <w:jc w:val="center"/>
        <w:rPr>
          <w:sz w:val="84"/>
          <w:szCs w:val="84"/>
          <w:highlight w:val="none"/>
        </w:rPr>
      </w:pPr>
      <w:r>
        <w:rPr>
          <w:rFonts w:hint="eastAsia"/>
          <w:sz w:val="84"/>
          <w:szCs w:val="84"/>
          <w:highlight w:val="none"/>
        </w:rPr>
        <w:t>第一部分</w:t>
      </w:r>
      <w:r>
        <w:rPr>
          <w:sz w:val="84"/>
          <w:szCs w:val="84"/>
          <w:highlight w:val="none"/>
        </w:rPr>
        <w:t xml:space="preserve"> </w:t>
      </w:r>
    </w:p>
    <w:p>
      <w:pPr>
        <w:pStyle w:val="13"/>
        <w:jc w:val="center"/>
        <w:rPr>
          <w:sz w:val="84"/>
          <w:szCs w:val="84"/>
          <w:highlight w:val="none"/>
        </w:rPr>
      </w:pPr>
    </w:p>
    <w:p>
      <w:pPr>
        <w:pStyle w:val="13"/>
        <w:jc w:val="center"/>
        <w:outlineLvl w:val="0"/>
        <w:rPr>
          <w:rFonts w:hint="eastAsia"/>
          <w:sz w:val="84"/>
          <w:szCs w:val="84"/>
          <w:highlight w:val="none"/>
          <w:lang w:eastAsia="zh-CN"/>
        </w:rPr>
      </w:pPr>
      <w:r>
        <w:rPr>
          <w:rFonts w:hint="eastAsia"/>
          <w:sz w:val="84"/>
          <w:szCs w:val="84"/>
          <w:highlight w:val="none"/>
          <w:lang w:eastAsia="zh-CN"/>
        </w:rPr>
        <w:t>卫生计生综合监督执法局</w:t>
      </w:r>
    </w:p>
    <w:p>
      <w:pPr>
        <w:pStyle w:val="13"/>
        <w:jc w:val="center"/>
        <w:outlineLvl w:val="0"/>
        <w:rPr>
          <w:sz w:val="84"/>
          <w:szCs w:val="84"/>
          <w:highlight w:val="none"/>
        </w:rPr>
      </w:pPr>
      <w:r>
        <w:rPr>
          <w:rFonts w:hint="eastAsia"/>
          <w:sz w:val="84"/>
          <w:szCs w:val="84"/>
          <w:highlight w:val="none"/>
        </w:rPr>
        <w:t>单位概况</w:t>
      </w:r>
    </w:p>
    <w:p>
      <w:pPr>
        <w:jc w:val="center"/>
        <w:rPr>
          <w:sz w:val="72"/>
          <w:szCs w:val="72"/>
          <w:highlight w:val="none"/>
        </w:rPr>
      </w:pPr>
    </w:p>
    <w:p>
      <w:pPr>
        <w:jc w:val="center"/>
        <w:rPr>
          <w:sz w:val="72"/>
          <w:szCs w:val="72"/>
          <w:highlight w:val="none"/>
        </w:rPr>
      </w:pPr>
    </w:p>
    <w:p>
      <w:pPr>
        <w:pStyle w:val="2"/>
        <w:rPr>
          <w:sz w:val="72"/>
          <w:szCs w:val="72"/>
          <w:highlight w:val="none"/>
        </w:rPr>
      </w:pPr>
    </w:p>
    <w:p/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rPr>
          <w:rFonts w:ascii="黑体" w:hAnsi="黑体" w:eastAsia="黑体"/>
          <w:sz w:val="32"/>
          <w:szCs w:val="32"/>
          <w:highlight w:val="none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4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</w:t>
      </w:r>
      <w:r>
        <w:rPr>
          <w:rFonts w:ascii="黑体" w:hAnsi="黑体" w:eastAsia="黑体"/>
          <w:sz w:val="32"/>
          <w:szCs w:val="32"/>
          <w:highlight w:val="none"/>
        </w:rPr>
        <w:t>部门职责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4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岳阳县卫生计生综合监督执法局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为岳阳县卫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局下属全额拨款的二级机构，现有在编在岗人员2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人，退休人员9人。主要职能为：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1、负责实施卫生计生专项整治和常监督检查工作;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2、对公共场所卫生、生活饮用水卫生、学校卫生及消毒产品和涉及饮用水安全产品的监督检查，查处违法行为;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3、对医疗机构、采供血机构及其从业人员的执业活动进行监督检查，查处违法行为;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4、打击非法行医和非法采供血;整顿和规范医疗服务秩序;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5、对医疗机构的放射诊疗、职业健康检查诊断工作进行监督，查处违法行为;对医疗机构、采供血机构、疾病预防控制机构的传染病疫情报告、疫情控制措施、消毒隔离制度执行情况、医疗废物处置和菌种管理情况进行监督检查，查处违法行为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6、对母婴保健机构、计划生育技术服务机构内容和从业人员的行为规范进行监督，依法打击“非医学需要的胎儿性别鉴定和非医学需要选择性别的人工终止妊娠”行为，做好计划生育社会抚养费征收及违法违纪案件的督查督办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7、对乡镇卫生计生综合监督执法进行指导和督查;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8、负责行政区域内卫生计生监督的信息收集、核实和上报;受理对卫生计生卫生行为的投诉、举报;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9、开展卫生计生法律法规宣传教育和执法检查;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10、承办上级主管部门交办的其他事项。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highlight w:val="none"/>
        </w:rPr>
        <w:t>二、机构设置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宋体" w:hAnsi="宋体" w:eastAsiaTheme="minorEastAsia" w:cstheme="minorBidi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/>
          <w:bCs/>
          <w:kern w:val="0"/>
          <w:sz w:val="32"/>
          <w:szCs w:val="32"/>
          <w:highlight w:val="none"/>
        </w:rPr>
        <w:t>内设机构设置。</w:t>
      </w:r>
      <w:r>
        <w:rPr>
          <w:rFonts w:hint="eastAsia" w:ascii="宋体" w:hAnsi="宋体" w:eastAsiaTheme="minorEastAsia" w:cstheme="minorBidi"/>
          <w:bCs/>
          <w:kern w:val="0"/>
          <w:sz w:val="32"/>
          <w:szCs w:val="32"/>
          <w:lang w:val="en-US" w:eastAsia="zh-CN" w:bidi="ar"/>
        </w:rPr>
        <w:t>本单位内设机构包括：1、办公室；2、公共卫生管理股；3、职业病防治股；4、卫生监督执法大队；5、医疗执业股</w:t>
      </w:r>
      <w:r>
        <w:rPr>
          <w:rFonts w:hint="eastAsia" w:ascii="宋体" w:hAnsi="宋体" w:cstheme="minorBidi"/>
          <w:bCs/>
          <w:kern w:val="0"/>
          <w:sz w:val="32"/>
          <w:szCs w:val="32"/>
          <w:lang w:val="en-US" w:eastAsia="zh-CN" w:bidi="ar"/>
        </w:rPr>
        <w:t>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highlight w:val="none"/>
        </w:rPr>
        <w:t>三、部门决算单位构成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Theme="minorEastAsia" w:cstheme="minorBidi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Theme="minorEastAsia" w:cstheme="minorBidi"/>
          <w:bCs/>
          <w:kern w:val="0"/>
          <w:sz w:val="32"/>
          <w:szCs w:val="32"/>
          <w:lang w:val="en-US" w:eastAsia="zh-CN" w:bidi="ar"/>
        </w:rPr>
        <w:t>卫计综合执法局</w:t>
      </w:r>
      <w:r>
        <w:rPr>
          <w:rFonts w:ascii="宋体" w:hAnsi="宋体"/>
          <w:bCs/>
          <w:kern w:val="0"/>
          <w:sz w:val="32"/>
          <w:szCs w:val="32"/>
        </w:rPr>
        <w:t>20</w:t>
      </w:r>
      <w:r>
        <w:rPr>
          <w:rFonts w:hint="eastAsia" w:ascii="宋体" w:hAnsi="宋体"/>
          <w:bCs/>
          <w:kern w:val="0"/>
          <w:sz w:val="32"/>
          <w:szCs w:val="32"/>
        </w:rPr>
        <w:t>2</w:t>
      </w:r>
      <w:r>
        <w:rPr>
          <w:rFonts w:hint="eastAsia" w:ascii="宋体" w:hAnsi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Cs/>
          <w:kern w:val="0"/>
          <w:sz w:val="32"/>
          <w:szCs w:val="32"/>
        </w:rPr>
        <w:t>年部门决算汇总公开单位构成包括：</w:t>
      </w:r>
      <w:r>
        <w:rPr>
          <w:rFonts w:hint="eastAsia" w:ascii="宋体" w:hAnsi="宋体" w:eastAsiaTheme="minorEastAsia" w:cstheme="minorBidi"/>
          <w:bCs/>
          <w:kern w:val="0"/>
          <w:sz w:val="32"/>
          <w:szCs w:val="32"/>
          <w:lang w:val="en-US" w:eastAsia="zh-CN" w:bidi="ar"/>
        </w:rPr>
        <w:t>卫计综合执法局本级，没有其他预算单位，因此本部门预算仅含本级预算。</w:t>
      </w:r>
    </w:p>
    <w:p>
      <w:pPr>
        <w:jc w:val="center"/>
        <w:rPr>
          <w:rFonts w:ascii="黑体" w:hAnsi="黑体" w:eastAsia="黑体"/>
          <w:sz w:val="28"/>
          <w:szCs w:val="28"/>
          <w:highlight w:val="none"/>
        </w:rPr>
      </w:pPr>
    </w:p>
    <w:p>
      <w:pPr>
        <w:jc w:val="both"/>
        <w:rPr>
          <w:rFonts w:hint="eastAsia"/>
          <w:sz w:val="72"/>
          <w:szCs w:val="72"/>
          <w:highlight w:val="none"/>
        </w:rPr>
      </w:pPr>
    </w:p>
    <w:p>
      <w:pPr>
        <w:rPr>
          <w:rFonts w:hint="eastAsia"/>
          <w:sz w:val="72"/>
          <w:szCs w:val="72"/>
          <w:highlight w:val="none"/>
        </w:rPr>
      </w:pPr>
      <w:r>
        <w:rPr>
          <w:rFonts w:hint="eastAsia"/>
          <w:sz w:val="72"/>
          <w:szCs w:val="72"/>
          <w:highlight w:val="none"/>
        </w:rPr>
        <w:br w:type="page"/>
      </w:r>
    </w:p>
    <w:p>
      <w:pPr>
        <w:ind w:firstLine="3600" w:firstLineChars="500"/>
        <w:jc w:val="both"/>
        <w:rPr>
          <w:rFonts w:hint="eastAsia"/>
          <w:sz w:val="72"/>
          <w:szCs w:val="72"/>
          <w:highlight w:val="none"/>
        </w:rPr>
      </w:pPr>
    </w:p>
    <w:p>
      <w:pPr>
        <w:ind w:firstLine="3600" w:firstLineChars="500"/>
        <w:jc w:val="both"/>
        <w:rPr>
          <w:rFonts w:hint="eastAsia"/>
          <w:sz w:val="72"/>
          <w:szCs w:val="72"/>
          <w:highlight w:val="none"/>
        </w:rPr>
      </w:pPr>
    </w:p>
    <w:p>
      <w:pPr>
        <w:ind w:firstLine="3600" w:firstLineChars="500"/>
        <w:jc w:val="both"/>
        <w:rPr>
          <w:sz w:val="72"/>
          <w:szCs w:val="72"/>
          <w:highlight w:val="none"/>
        </w:rPr>
      </w:pPr>
      <w:r>
        <w:rPr>
          <w:rFonts w:hint="eastAsia"/>
          <w:sz w:val="72"/>
          <w:szCs w:val="72"/>
          <w:highlight w:val="none"/>
        </w:rPr>
        <w:t>第二部分</w:t>
      </w:r>
    </w:p>
    <w:p>
      <w:pPr>
        <w:jc w:val="center"/>
        <w:rPr>
          <w:sz w:val="72"/>
          <w:szCs w:val="72"/>
          <w:highlight w:val="none"/>
        </w:rPr>
      </w:pPr>
    </w:p>
    <w:p>
      <w:pPr>
        <w:jc w:val="center"/>
        <w:outlineLvl w:val="0"/>
        <w:rPr>
          <w:sz w:val="72"/>
          <w:szCs w:val="72"/>
          <w:highlight w:val="none"/>
        </w:rPr>
      </w:pPr>
      <w:r>
        <w:rPr>
          <w:rFonts w:hint="eastAsia"/>
          <w:sz w:val="72"/>
          <w:szCs w:val="72"/>
          <w:highlight w:val="none"/>
        </w:rPr>
        <w:t>部门决算表</w:t>
      </w:r>
    </w:p>
    <w:p>
      <w:pPr>
        <w:jc w:val="center"/>
        <w:rPr>
          <w:rFonts w:hint="eastAsia" w:eastAsiaTheme="minorEastAsia"/>
          <w:sz w:val="72"/>
          <w:szCs w:val="72"/>
          <w:highlight w:val="none"/>
          <w:lang w:eastAsia="zh-CN"/>
        </w:rPr>
      </w:pPr>
      <w:r>
        <w:rPr>
          <w:rFonts w:hint="eastAsia"/>
          <w:sz w:val="72"/>
          <w:szCs w:val="72"/>
          <w:highlight w:val="none"/>
          <w:lang w:eastAsia="zh-CN"/>
        </w:rPr>
        <w:t>（见附件）</w:t>
      </w:r>
    </w:p>
    <w:p>
      <w:pPr>
        <w:jc w:val="center"/>
        <w:rPr>
          <w:sz w:val="72"/>
          <w:szCs w:val="72"/>
          <w:highlight w:val="none"/>
        </w:rPr>
      </w:pPr>
    </w:p>
    <w:p>
      <w:pPr>
        <w:jc w:val="center"/>
        <w:rPr>
          <w:sz w:val="72"/>
          <w:szCs w:val="72"/>
          <w:highlight w:val="none"/>
        </w:rPr>
      </w:pPr>
    </w:p>
    <w:p>
      <w:pPr>
        <w:jc w:val="center"/>
        <w:rPr>
          <w:sz w:val="72"/>
          <w:szCs w:val="72"/>
          <w:highlight w:val="none"/>
        </w:rPr>
      </w:pPr>
    </w:p>
    <w:p>
      <w:pPr>
        <w:jc w:val="center"/>
        <w:rPr>
          <w:sz w:val="72"/>
          <w:szCs w:val="72"/>
          <w:highlight w:val="none"/>
        </w:rPr>
      </w:pPr>
    </w:p>
    <w:p>
      <w:pPr>
        <w:jc w:val="center"/>
        <w:rPr>
          <w:sz w:val="72"/>
          <w:szCs w:val="72"/>
          <w:highlight w:val="none"/>
        </w:rPr>
      </w:pPr>
    </w:p>
    <w:p>
      <w:pPr>
        <w:jc w:val="left"/>
        <w:rPr>
          <w:sz w:val="32"/>
          <w:szCs w:val="32"/>
          <w:highlight w:val="none"/>
        </w:rPr>
      </w:pPr>
    </w:p>
    <w:p>
      <w:pPr>
        <w:jc w:val="left"/>
        <w:rPr>
          <w:rFonts w:asciiTheme="minorEastAsia" w:hAnsiTheme="minorEastAsia"/>
          <w:sz w:val="32"/>
          <w:szCs w:val="32"/>
          <w:highlight w:val="none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13"/>
        <w:rPr>
          <w:sz w:val="72"/>
          <w:szCs w:val="72"/>
          <w:highlight w:val="none"/>
        </w:rPr>
      </w:pPr>
    </w:p>
    <w:p>
      <w:pPr>
        <w:pStyle w:val="13"/>
        <w:rPr>
          <w:sz w:val="72"/>
          <w:szCs w:val="72"/>
          <w:highlight w:val="none"/>
        </w:rPr>
      </w:pPr>
    </w:p>
    <w:p>
      <w:pPr>
        <w:pStyle w:val="13"/>
        <w:rPr>
          <w:sz w:val="72"/>
          <w:szCs w:val="72"/>
          <w:highlight w:val="none"/>
        </w:rPr>
      </w:pPr>
    </w:p>
    <w:p>
      <w:pPr>
        <w:pStyle w:val="13"/>
        <w:rPr>
          <w:sz w:val="72"/>
          <w:szCs w:val="72"/>
          <w:highlight w:val="none"/>
        </w:rPr>
      </w:pPr>
    </w:p>
    <w:p>
      <w:pPr>
        <w:pStyle w:val="13"/>
        <w:jc w:val="center"/>
        <w:rPr>
          <w:sz w:val="72"/>
          <w:szCs w:val="72"/>
          <w:highlight w:val="none"/>
        </w:rPr>
      </w:pPr>
    </w:p>
    <w:p>
      <w:pPr>
        <w:pStyle w:val="13"/>
        <w:jc w:val="center"/>
        <w:rPr>
          <w:sz w:val="72"/>
          <w:szCs w:val="72"/>
          <w:highlight w:val="none"/>
        </w:rPr>
      </w:pPr>
    </w:p>
    <w:p>
      <w:pPr>
        <w:pStyle w:val="13"/>
        <w:jc w:val="center"/>
        <w:rPr>
          <w:sz w:val="72"/>
          <w:szCs w:val="72"/>
          <w:highlight w:val="none"/>
        </w:rPr>
      </w:pPr>
      <w:r>
        <w:rPr>
          <w:rFonts w:hint="eastAsia"/>
          <w:sz w:val="72"/>
          <w:szCs w:val="72"/>
          <w:highlight w:val="none"/>
        </w:rPr>
        <w:t>第三部分</w:t>
      </w:r>
    </w:p>
    <w:p>
      <w:pPr>
        <w:pStyle w:val="13"/>
        <w:jc w:val="center"/>
        <w:rPr>
          <w:sz w:val="70"/>
          <w:szCs w:val="70"/>
          <w:highlight w:val="none"/>
        </w:rPr>
      </w:pPr>
    </w:p>
    <w:p>
      <w:pPr>
        <w:pStyle w:val="13"/>
        <w:jc w:val="center"/>
        <w:outlineLvl w:val="0"/>
        <w:rPr>
          <w:sz w:val="70"/>
          <w:szCs w:val="70"/>
          <w:highlight w:val="none"/>
        </w:rPr>
      </w:pPr>
      <w:r>
        <w:rPr>
          <w:sz w:val="70"/>
          <w:szCs w:val="70"/>
          <w:highlight w:val="none"/>
        </w:rPr>
        <w:t>20</w:t>
      </w:r>
      <w:r>
        <w:rPr>
          <w:rFonts w:hint="eastAsia"/>
          <w:sz w:val="70"/>
          <w:szCs w:val="70"/>
          <w:highlight w:val="none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  <w:highlight w:val="none"/>
        </w:rPr>
      </w:pPr>
      <w:r>
        <w:rPr>
          <w:sz w:val="70"/>
          <w:szCs w:val="70"/>
          <w:highlight w:val="none"/>
        </w:rPr>
        <w:br w:type="page"/>
      </w:r>
    </w:p>
    <w:p>
      <w:pPr>
        <w:pStyle w:val="13"/>
        <w:rPr>
          <w:rFonts w:asciiTheme="minorEastAsia" w:hAnsiTheme="minorEastAsia" w:eastAsiaTheme="minorEastAsia"/>
          <w:sz w:val="32"/>
          <w:szCs w:val="32"/>
          <w:highlight w:val="none"/>
        </w:rPr>
      </w:pPr>
    </w:p>
    <w:p>
      <w:pPr>
        <w:pStyle w:val="13"/>
        <w:outlineLvl w:val="0"/>
        <w:rPr>
          <w:rFonts w:hAnsi="黑体"/>
          <w:b/>
          <w:sz w:val="32"/>
          <w:szCs w:val="32"/>
          <w:highlight w:val="none"/>
        </w:rPr>
      </w:pPr>
      <w:r>
        <w:rPr>
          <w:rFonts w:hint="eastAsia" w:hAnsi="黑体"/>
          <w:b/>
          <w:sz w:val="32"/>
          <w:szCs w:val="32"/>
          <w:highlight w:val="none"/>
        </w:rPr>
        <w:t>一、收入支出决算总体情况说明</w:t>
      </w:r>
    </w:p>
    <w:p>
      <w:pPr>
        <w:pStyle w:val="13"/>
        <w:ind w:firstLine="640" w:firstLineChars="200"/>
        <w:rPr>
          <w:rFonts w:ascii="宋体" w:hAnsi="宋体" w:eastAsia="宋体"/>
          <w:sz w:val="32"/>
          <w:szCs w:val="32"/>
          <w:highlight w:val="none"/>
        </w:rPr>
      </w:pPr>
      <w:r>
        <w:rPr>
          <w:rFonts w:hint="eastAsia" w:ascii="宋体" w:hAnsi="宋体" w:eastAsia="宋体"/>
          <w:sz w:val="32"/>
          <w:szCs w:val="32"/>
          <w:highlight w:val="none"/>
        </w:rPr>
        <w:t>2021年度收入总计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365.63</w:t>
      </w:r>
      <w:r>
        <w:rPr>
          <w:rFonts w:hint="eastAsia" w:ascii="宋体" w:hAnsi="宋体" w:eastAsia="宋体"/>
          <w:sz w:val="32"/>
          <w:szCs w:val="32"/>
          <w:highlight w:val="none"/>
        </w:rPr>
        <w:t>万元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（含年初结转和结余资金75.96万元）</w:t>
      </w:r>
      <w:r>
        <w:rPr>
          <w:rFonts w:hint="eastAsia" w:ascii="宋体" w:hAnsi="宋体" w:eastAsia="宋体"/>
          <w:sz w:val="32"/>
          <w:szCs w:val="32"/>
          <w:highlight w:val="none"/>
        </w:rPr>
        <w:t>，与上年相比减少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59</w:t>
      </w:r>
      <w:r>
        <w:rPr>
          <w:rFonts w:hint="eastAsia" w:ascii="宋体" w:hAnsi="宋体" w:eastAsia="宋体"/>
          <w:sz w:val="32"/>
          <w:szCs w:val="32"/>
          <w:highlight w:val="none"/>
        </w:rPr>
        <w:t>万元</w:t>
      </w:r>
      <w:r>
        <w:rPr>
          <w:rFonts w:hint="eastAsia" w:ascii="宋体" w:hAnsi="宋体" w:eastAsia="宋体"/>
          <w:sz w:val="32"/>
          <w:szCs w:val="32"/>
          <w:highlight w:val="none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  <w:highlight w:val="none"/>
        </w:rPr>
        <w:t>减少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13.9</w:t>
      </w:r>
      <w:r>
        <w:rPr>
          <w:rFonts w:hint="eastAsia" w:ascii="宋体" w:hAnsi="宋体" w:eastAsia="宋体"/>
          <w:sz w:val="32"/>
          <w:szCs w:val="32"/>
          <w:highlight w:val="none"/>
        </w:rPr>
        <w:t>%，主要是因为</w:t>
      </w:r>
      <w:r>
        <w:rPr>
          <w:rFonts w:hint="eastAsia" w:ascii="宋体" w:hAnsi="宋体" w:eastAsia="宋体"/>
          <w:sz w:val="32"/>
          <w:szCs w:val="32"/>
          <w:highlight w:val="none"/>
          <w:lang w:eastAsia="zh-CN"/>
        </w:rPr>
        <w:t>调出人员减少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2人，其他商品服务支出减少</w:t>
      </w:r>
      <w:r>
        <w:rPr>
          <w:rFonts w:hint="eastAsia" w:ascii="宋体" w:hAnsi="宋体" w:eastAsia="宋体"/>
          <w:sz w:val="32"/>
          <w:szCs w:val="32"/>
          <w:highlight w:val="none"/>
        </w:rPr>
        <w:t>。</w:t>
      </w:r>
    </w:p>
    <w:p>
      <w:pPr>
        <w:pStyle w:val="13"/>
        <w:ind w:firstLine="640" w:firstLineChars="200"/>
        <w:rPr>
          <w:rFonts w:ascii="宋体" w:hAnsi="宋体" w:eastAsia="宋体"/>
          <w:sz w:val="32"/>
          <w:szCs w:val="32"/>
          <w:highlight w:val="none"/>
        </w:rPr>
      </w:pPr>
      <w:r>
        <w:rPr>
          <w:rFonts w:hint="eastAsia" w:ascii="宋体" w:hAnsi="宋体" w:eastAsia="宋体"/>
          <w:sz w:val="32"/>
          <w:szCs w:val="32"/>
          <w:highlight w:val="none"/>
        </w:rPr>
        <w:t>2021年度支出总计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365.63</w:t>
      </w:r>
      <w:r>
        <w:rPr>
          <w:rFonts w:hint="eastAsia" w:ascii="宋体" w:hAnsi="宋体" w:eastAsia="宋体"/>
          <w:sz w:val="32"/>
          <w:szCs w:val="32"/>
          <w:highlight w:val="none"/>
        </w:rPr>
        <w:t>万元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（含结余分配6.69和年末结转和结余资金6.88万元），与上年相比减少59万元，</w:t>
      </w:r>
      <w:r>
        <w:rPr>
          <w:rFonts w:hint="eastAsia" w:ascii="宋体" w:hAnsi="宋体" w:eastAsia="宋体"/>
          <w:sz w:val="32"/>
          <w:szCs w:val="32"/>
          <w:highlight w:val="none"/>
        </w:rPr>
        <w:t>减少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13.9</w:t>
      </w:r>
      <w:r>
        <w:rPr>
          <w:rFonts w:hint="eastAsia" w:ascii="宋体" w:hAnsi="宋体" w:eastAsia="宋体"/>
          <w:sz w:val="32"/>
          <w:szCs w:val="32"/>
          <w:highlight w:val="none"/>
        </w:rPr>
        <w:t>%，主要是因为</w:t>
      </w:r>
      <w:r>
        <w:rPr>
          <w:rFonts w:hint="eastAsia" w:ascii="宋体" w:hAnsi="宋体" w:eastAsia="宋体"/>
          <w:sz w:val="32"/>
          <w:szCs w:val="32"/>
          <w:highlight w:val="none"/>
          <w:lang w:eastAsia="zh-CN"/>
        </w:rPr>
        <w:t>调出人员减少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2人，其他商品服务支出减少</w:t>
      </w:r>
      <w:r>
        <w:rPr>
          <w:rFonts w:hint="eastAsia" w:ascii="宋体" w:hAnsi="宋体" w:eastAsia="宋体"/>
          <w:sz w:val="32"/>
          <w:szCs w:val="32"/>
          <w:highlight w:val="none"/>
        </w:rPr>
        <w:t>。</w:t>
      </w:r>
    </w:p>
    <w:p>
      <w:pPr>
        <w:pStyle w:val="13"/>
        <w:outlineLvl w:val="0"/>
        <w:rPr>
          <w:rFonts w:hAnsi="黑体"/>
          <w:b/>
          <w:sz w:val="32"/>
          <w:szCs w:val="32"/>
          <w:highlight w:val="none"/>
        </w:rPr>
      </w:pPr>
      <w:r>
        <w:rPr>
          <w:rFonts w:hint="eastAsia" w:hAnsi="黑体"/>
          <w:b/>
          <w:sz w:val="32"/>
          <w:szCs w:val="32"/>
          <w:highlight w:val="none"/>
        </w:rPr>
        <w:t>二、收入决算情况说明</w:t>
      </w:r>
    </w:p>
    <w:p>
      <w:pPr>
        <w:pStyle w:val="13"/>
        <w:ind w:firstLine="640" w:firstLineChars="200"/>
        <w:rPr>
          <w:rFonts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2021年度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收入合计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289.67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（不含年初结转和结余资金），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其中：财政拨款收入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240.62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83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%；其他收入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49.05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%。</w:t>
      </w:r>
    </w:p>
    <w:p>
      <w:pPr>
        <w:pStyle w:val="13"/>
        <w:outlineLvl w:val="0"/>
        <w:rPr>
          <w:rFonts w:hAnsi="黑体"/>
          <w:b/>
          <w:sz w:val="32"/>
          <w:szCs w:val="32"/>
          <w:highlight w:val="none"/>
        </w:rPr>
      </w:pPr>
      <w:r>
        <w:rPr>
          <w:rFonts w:hint="eastAsia" w:hAnsi="黑体"/>
          <w:b/>
          <w:sz w:val="32"/>
          <w:szCs w:val="32"/>
          <w:highlight w:val="none"/>
        </w:rPr>
        <w:t>三、支出决算情况说明</w:t>
      </w:r>
    </w:p>
    <w:p>
      <w:pPr>
        <w:pStyle w:val="13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2021年度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支出合计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352.06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（不含年末结转和结余资金）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，其中：基本支出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309.69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88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%；经营支出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42.37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。</w:t>
      </w:r>
    </w:p>
    <w:p>
      <w:pPr>
        <w:pStyle w:val="13"/>
        <w:rPr>
          <w:rFonts w:hAnsi="黑体"/>
          <w:b/>
          <w:sz w:val="32"/>
          <w:szCs w:val="32"/>
          <w:highlight w:val="none"/>
        </w:rPr>
      </w:pPr>
      <w:r>
        <w:rPr>
          <w:rFonts w:hint="eastAsia" w:hAnsi="黑体"/>
          <w:b/>
          <w:sz w:val="32"/>
          <w:szCs w:val="32"/>
          <w:highlight w:val="none"/>
        </w:rPr>
        <w:t>四、财政拨款收入支出决算总体情况说明</w:t>
      </w:r>
    </w:p>
    <w:p>
      <w:pPr>
        <w:pStyle w:val="13"/>
        <w:ind w:firstLine="640"/>
        <w:rPr>
          <w:rFonts w:hint="eastAsia" w:ascii="宋体" w:hAnsi="宋体" w:eastAsia="宋体"/>
          <w:sz w:val="32"/>
          <w:szCs w:val="32"/>
          <w:highlight w:val="none"/>
        </w:rPr>
      </w:pPr>
      <w:r>
        <w:rPr>
          <w:rFonts w:hint="eastAsia" w:ascii="宋体" w:hAnsi="宋体" w:eastAsia="宋体"/>
          <w:sz w:val="32"/>
          <w:szCs w:val="32"/>
          <w:highlight w:val="none"/>
        </w:rPr>
        <w:t>2021年度财政拨款收入合计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240.62</w:t>
      </w:r>
      <w:r>
        <w:rPr>
          <w:rFonts w:hint="eastAsia" w:ascii="宋体" w:hAnsi="宋体" w:eastAsia="宋体"/>
          <w:sz w:val="32"/>
          <w:szCs w:val="32"/>
          <w:highlight w:val="none"/>
        </w:rPr>
        <w:t>万元（不含年初财政拨款结转和结余资金），与上年相比减少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122</w:t>
      </w:r>
      <w:r>
        <w:rPr>
          <w:rFonts w:hint="eastAsia" w:ascii="宋体" w:hAnsi="宋体" w:eastAsia="宋体"/>
          <w:sz w:val="32"/>
          <w:szCs w:val="32"/>
          <w:highlight w:val="none"/>
        </w:rPr>
        <w:t>万元,减少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33.64</w:t>
      </w:r>
      <w:r>
        <w:rPr>
          <w:rFonts w:hint="eastAsia" w:ascii="宋体" w:hAnsi="宋体" w:eastAsia="宋体"/>
          <w:sz w:val="32"/>
          <w:szCs w:val="32"/>
          <w:highlight w:val="none"/>
        </w:rPr>
        <w:t>%，主要是因为</w:t>
      </w:r>
      <w:r>
        <w:rPr>
          <w:rFonts w:hint="eastAsia" w:ascii="宋体" w:hAnsi="宋体" w:eastAsia="宋体"/>
          <w:sz w:val="32"/>
          <w:szCs w:val="32"/>
          <w:highlight w:val="none"/>
          <w:lang w:eastAsia="zh-CN"/>
        </w:rPr>
        <w:t>人员经费减少</w:t>
      </w:r>
      <w:r>
        <w:rPr>
          <w:rFonts w:hint="eastAsia" w:ascii="宋体" w:hAnsi="宋体" w:eastAsia="宋体"/>
          <w:sz w:val="32"/>
          <w:szCs w:val="32"/>
          <w:highlight w:val="none"/>
        </w:rPr>
        <w:t>。</w:t>
      </w:r>
    </w:p>
    <w:p>
      <w:pPr>
        <w:pStyle w:val="13"/>
        <w:ind w:firstLine="640"/>
        <w:rPr>
          <w:rFonts w:ascii="宋体" w:hAnsi="宋体" w:eastAsia="宋体"/>
          <w:b/>
          <w:bCs/>
          <w:color w:val="FF0000"/>
          <w:sz w:val="28"/>
          <w:szCs w:val="28"/>
          <w:highlight w:val="none"/>
        </w:rPr>
      </w:pPr>
      <w:r>
        <w:rPr>
          <w:rFonts w:hint="eastAsia" w:ascii="宋体" w:hAnsi="宋体" w:eastAsia="宋体"/>
          <w:sz w:val="32"/>
          <w:szCs w:val="32"/>
          <w:highlight w:val="none"/>
        </w:rPr>
        <w:t>2021年度财政拨款支出合计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309.7</w:t>
      </w:r>
      <w:r>
        <w:rPr>
          <w:rFonts w:hint="eastAsia" w:ascii="宋体" w:hAnsi="宋体" w:eastAsia="宋体"/>
          <w:sz w:val="32"/>
          <w:szCs w:val="32"/>
          <w:highlight w:val="none"/>
        </w:rPr>
        <w:t>万元（不含年末财政拨款结转和结余资金），与上年相比减少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115</w:t>
      </w:r>
      <w:r>
        <w:rPr>
          <w:rFonts w:hint="eastAsia" w:ascii="宋体" w:hAnsi="宋体" w:eastAsia="宋体"/>
          <w:sz w:val="32"/>
          <w:szCs w:val="32"/>
          <w:highlight w:val="none"/>
        </w:rPr>
        <w:t>万元,减少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27.08</w:t>
      </w:r>
      <w:r>
        <w:rPr>
          <w:rFonts w:hint="eastAsia" w:ascii="宋体" w:hAnsi="宋体" w:eastAsia="宋体"/>
          <w:sz w:val="32"/>
          <w:szCs w:val="32"/>
          <w:highlight w:val="none"/>
        </w:rPr>
        <w:t>%，主要是因为</w:t>
      </w:r>
      <w:r>
        <w:rPr>
          <w:rFonts w:hint="eastAsia" w:ascii="宋体" w:hAnsi="宋体" w:eastAsia="宋体"/>
          <w:sz w:val="32"/>
          <w:szCs w:val="32"/>
          <w:highlight w:val="none"/>
          <w:lang w:eastAsia="zh-CN"/>
        </w:rPr>
        <w:t>人员经费减少</w:t>
      </w:r>
      <w:r>
        <w:rPr>
          <w:rFonts w:hint="eastAsia" w:ascii="宋体" w:hAnsi="宋体" w:eastAsia="宋体"/>
          <w:sz w:val="32"/>
          <w:szCs w:val="32"/>
          <w:highlight w:val="none"/>
        </w:rPr>
        <w:t>。</w:t>
      </w:r>
    </w:p>
    <w:p>
      <w:pPr>
        <w:pStyle w:val="13"/>
        <w:outlineLvl w:val="0"/>
        <w:rPr>
          <w:rFonts w:hAnsi="黑体"/>
          <w:b/>
          <w:sz w:val="32"/>
          <w:szCs w:val="32"/>
          <w:highlight w:val="none"/>
        </w:rPr>
      </w:pPr>
      <w:r>
        <w:rPr>
          <w:rFonts w:hint="eastAsia" w:hAnsi="黑体"/>
          <w:b/>
          <w:sz w:val="32"/>
          <w:szCs w:val="32"/>
          <w:highlight w:val="none"/>
        </w:rPr>
        <w:t>五、一般公共预算财政拨款支出决算情况说明</w:t>
      </w:r>
    </w:p>
    <w:p>
      <w:pPr>
        <w:pStyle w:val="13"/>
        <w:ind w:firstLine="640" w:firstLineChars="200"/>
        <w:outlineLvl w:val="1"/>
        <w:rPr>
          <w:rFonts w:asciiTheme="minorEastAsia" w:hAnsiTheme="minorEastAsia" w:eastAsia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（一）财政拨款支出决算总体情况</w:t>
      </w:r>
    </w:p>
    <w:p>
      <w:pPr>
        <w:pStyle w:val="13"/>
        <w:ind w:firstLine="800" w:firstLineChars="250"/>
        <w:rPr>
          <w:rFonts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309.7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88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%，与上年相比，财政拨款支出减少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115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27.08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%，主要是因为</w:t>
      </w:r>
      <w:r>
        <w:rPr>
          <w:rFonts w:hint="eastAsia" w:ascii="宋体" w:hAnsi="宋体" w:eastAsia="宋体"/>
          <w:sz w:val="32"/>
          <w:szCs w:val="32"/>
          <w:highlight w:val="none"/>
          <w:lang w:eastAsia="zh-CN"/>
        </w:rPr>
        <w:t>人员经费减少。</w:t>
      </w:r>
    </w:p>
    <w:p>
      <w:pPr>
        <w:pStyle w:val="13"/>
        <w:ind w:firstLine="640" w:firstLineChars="200"/>
        <w:outlineLvl w:val="1"/>
        <w:rPr>
          <w:rFonts w:asciiTheme="minorEastAsia" w:hAnsiTheme="minorEastAsia" w:eastAsia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（二）财政拨款支出决算结构情况</w:t>
      </w:r>
    </w:p>
    <w:p>
      <w:pPr>
        <w:pStyle w:val="13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309.7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万元，主要用于以下方面：卫生健康支出（类）支出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309.7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。</w:t>
      </w:r>
    </w:p>
    <w:p>
      <w:pPr>
        <w:pStyle w:val="13"/>
        <w:ind w:firstLine="640" w:firstLineChars="200"/>
        <w:outlineLvl w:val="1"/>
        <w:rPr>
          <w:rFonts w:asciiTheme="minorEastAsia" w:hAnsiTheme="minorEastAsia" w:eastAsia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（三）财政拨款支出决算具体情况</w:t>
      </w:r>
    </w:p>
    <w:p>
      <w:pPr>
        <w:pStyle w:val="13"/>
        <w:ind w:firstLine="800" w:firstLineChars="250"/>
        <w:rPr>
          <w:rFonts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2021年度财政拨款支出年初预算数为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309.7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309.7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%，其中：</w:t>
      </w:r>
    </w:p>
    <w:p>
      <w:pPr>
        <w:pStyle w:val="13"/>
        <w:numPr>
          <w:ilvl w:val="0"/>
          <w:numId w:val="1"/>
        </w:numPr>
        <w:ind w:firstLine="800" w:firstLineChars="250"/>
        <w:outlineLvl w:val="2"/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卫生健康支出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-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公共卫生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-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卫生监督机构</w:t>
      </w:r>
    </w:p>
    <w:p>
      <w:pPr>
        <w:pStyle w:val="13"/>
        <w:numPr>
          <w:ilvl w:val="0"/>
          <w:numId w:val="0"/>
        </w:numPr>
        <w:ind w:firstLine="640" w:firstLineChars="200"/>
        <w:outlineLvl w:val="2"/>
        <w:rPr>
          <w:rFonts w:hint="default" w:asciiTheme="minorEastAsia" w:hAnsiTheme="minorEastAsia" w:eastAsia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年初预算的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302.84万元，支出决算数302.84万元，完成年初预算的100%，</w:t>
      </w:r>
      <w:r>
        <w:rPr>
          <w:rFonts w:hint="eastAsia" w:ascii="宋体" w:hAnsi="宋体" w:eastAsia="宋体"/>
          <w:sz w:val="32"/>
          <w:szCs w:val="32"/>
        </w:rPr>
        <w:t>决算数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等于</w:t>
      </w:r>
      <w:r>
        <w:rPr>
          <w:rFonts w:hint="eastAsia" w:ascii="宋体" w:hAnsi="宋体" w:eastAsia="宋体"/>
          <w:sz w:val="32"/>
          <w:szCs w:val="32"/>
        </w:rPr>
        <w:t>年初预算数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。</w:t>
      </w:r>
    </w:p>
    <w:p>
      <w:pPr>
        <w:pStyle w:val="13"/>
        <w:numPr>
          <w:ilvl w:val="0"/>
          <w:numId w:val="1"/>
        </w:numPr>
        <w:ind w:left="0" w:leftChars="0" w:firstLine="800" w:firstLineChars="250"/>
        <w:outlineLvl w:val="2"/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卫生健康支出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-计划生育事务-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其他计划生育事务支出</w:t>
      </w:r>
    </w:p>
    <w:p>
      <w:pPr>
        <w:pStyle w:val="13"/>
        <w:numPr>
          <w:ilvl w:val="0"/>
          <w:numId w:val="0"/>
        </w:numPr>
        <w:ind w:firstLine="640" w:firstLineChars="200"/>
        <w:outlineLvl w:val="2"/>
        <w:rPr>
          <w:rFonts w:hint="eastAsia" w:eastAsia="宋体" w:asciiTheme="minorEastAsia" w:hAnsi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年初预算的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6.86万元，支出决算数6.86万元，完成年初预算数100%，</w:t>
      </w:r>
      <w:r>
        <w:rPr>
          <w:rFonts w:hint="eastAsia" w:ascii="宋体" w:hAnsi="宋体" w:eastAsia="宋体"/>
          <w:sz w:val="32"/>
          <w:szCs w:val="32"/>
        </w:rPr>
        <w:t>决算数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等于</w:t>
      </w:r>
      <w:r>
        <w:rPr>
          <w:rFonts w:hint="eastAsia" w:ascii="宋体" w:hAnsi="宋体" w:eastAsia="宋体"/>
          <w:sz w:val="32"/>
          <w:szCs w:val="32"/>
        </w:rPr>
        <w:t>年初预算数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pStyle w:val="13"/>
        <w:outlineLvl w:val="0"/>
        <w:rPr>
          <w:rFonts w:hAnsi="黑体"/>
          <w:b/>
          <w:sz w:val="32"/>
          <w:szCs w:val="32"/>
          <w:highlight w:val="none"/>
        </w:rPr>
      </w:pPr>
      <w:r>
        <w:rPr>
          <w:rFonts w:hint="eastAsia" w:hAnsi="黑体"/>
          <w:b/>
          <w:sz w:val="32"/>
          <w:szCs w:val="32"/>
          <w:highlight w:val="none"/>
        </w:rPr>
        <w:t>六、一般公共预算财政拨款基本支出决算情况说明</w:t>
      </w:r>
    </w:p>
    <w:p>
      <w:pPr>
        <w:pStyle w:val="13"/>
        <w:ind w:firstLine="640" w:firstLineChars="200"/>
        <w:rPr>
          <w:rFonts w:asciiTheme="minorEastAsia" w:hAnsiTheme="minorEastAsia" w:eastAsiaTheme="minorEastAsia"/>
          <w:i/>
          <w:color w:val="FF000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2021年度财政拨款基本支出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309.7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243.07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78.49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主要包括基本工资、津贴补贴、机关事业单位基本养老保险缴费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、职业年金缴费、职工基本医疗保险缴费、其他社会保障缴费、住房公积金、其他工资福利支出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66.63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21.51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%，主要包括办公费、印刷费、水费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、邮电费、物业管理费、差旅费、维修（护）费、会议费、培训费、公务接待费、专用材料费、劳务费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。</w:t>
      </w:r>
    </w:p>
    <w:p>
      <w:pPr>
        <w:pStyle w:val="13"/>
        <w:outlineLvl w:val="0"/>
        <w:rPr>
          <w:rFonts w:hAnsi="黑体"/>
          <w:b/>
          <w:sz w:val="32"/>
          <w:szCs w:val="32"/>
          <w:highlight w:val="none"/>
        </w:rPr>
      </w:pPr>
      <w:r>
        <w:rPr>
          <w:rFonts w:hint="eastAsia" w:hAnsi="黑体"/>
          <w:b/>
          <w:sz w:val="32"/>
          <w:szCs w:val="32"/>
          <w:highlight w:val="none"/>
        </w:rPr>
        <w:t>七、一般公共预算财政拨款“三公”经费支出决算情况说明</w:t>
      </w:r>
    </w:p>
    <w:p>
      <w:pPr>
        <w:pStyle w:val="13"/>
        <w:outlineLvl w:val="1"/>
        <w:rPr>
          <w:rFonts w:asciiTheme="minorEastAsia" w:hAnsiTheme="minorEastAsia" w:eastAsia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（一）“三公”经费财政拨款支出决算总体情况说明</w:t>
      </w:r>
    </w:p>
    <w:p>
      <w:pPr>
        <w:pStyle w:val="13"/>
        <w:ind w:firstLine="800" w:firstLineChars="250"/>
        <w:rPr>
          <w:rFonts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2021年度“三公”经费财政拨款支出预算为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0.35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万元，完成预算的</w:t>
      </w:r>
      <w:r>
        <w:rPr>
          <w:rFonts w:hint="eastAsia" w:ascii="宋体" w:hAnsi="宋体" w:eastAsiaTheme="minorEastAsia" w:cstheme="minorBidi"/>
          <w:bCs/>
          <w:color w:val="auto"/>
          <w:kern w:val="0"/>
          <w:sz w:val="32"/>
          <w:szCs w:val="32"/>
          <w:lang w:val="en-US" w:eastAsia="zh-CN" w:bidi="ar"/>
        </w:rPr>
        <w:t>11.67%，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其中：</w:t>
      </w:r>
    </w:p>
    <w:p>
      <w:pPr>
        <w:pStyle w:val="13"/>
        <w:ind w:firstLine="800" w:firstLineChars="250"/>
        <w:rPr>
          <w:rFonts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因公出国（境）费支出预算为0万元，支出决算为0万元，完成预算的0%，决算数等于预算数的主要原因是未安排出国（境），与上年相比无变化，主要原因是今年及去年均未安排出国（境）。</w:t>
      </w:r>
    </w:p>
    <w:p>
      <w:pPr>
        <w:pStyle w:val="13"/>
        <w:ind w:firstLine="800" w:firstLineChars="250"/>
        <w:rPr>
          <w:rFonts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bCs/>
          <w:color w:val="auto"/>
          <w:kern w:val="0"/>
          <w:sz w:val="32"/>
          <w:szCs w:val="32"/>
          <w:lang w:val="en-US" w:eastAsia="zh-CN" w:bidi="ar"/>
        </w:rPr>
        <w:t>公务接待费支出预算为3万元，支出决算为0.35万元，完成预算的11.67%，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决算数小于预算数的主要原因是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单位单独设置了食堂，公务接待由食堂接待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，与上年相比无变化的主要原因是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公务接待由食堂接待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ascii="宋体" w:hAnsi="宋体" w:eastAsia="宋体"/>
          <w:sz w:val="32"/>
          <w:szCs w:val="32"/>
          <w:highlight w:val="none"/>
        </w:rPr>
        <w:t>公务用车购置费及运行维护费支出预算为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0万元，支出决算为0万元，完成预算的0%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决算数等于预算数的主要原因是本单位无公务用车，与上年相比无变化，主要原因是今年及去年均无公务用车引起的运行维护费支出。</w:t>
      </w:r>
    </w:p>
    <w:p>
      <w:pPr>
        <w:pStyle w:val="13"/>
        <w:outlineLvl w:val="1"/>
        <w:rPr>
          <w:rFonts w:asciiTheme="minorEastAsia" w:hAnsiTheme="minorEastAsia" w:eastAsia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（二）“三公”经费财政拨款支出决算具体情况说明</w:t>
      </w:r>
    </w:p>
    <w:p>
      <w:pPr>
        <w:pStyle w:val="13"/>
        <w:ind w:firstLine="640" w:firstLineChars="200"/>
        <w:rPr>
          <w:rFonts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2021年度“三公”经费财政拨款支出决算中，公务接待费支出决算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0.35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%,因公出国（境）费支出决算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%。其中：</w:t>
      </w:r>
    </w:p>
    <w:p>
      <w:pPr>
        <w:pStyle w:val="13"/>
        <w:ind w:firstLine="640" w:firstLineChars="200"/>
        <w:rPr>
          <w:rFonts w:hint="eastAsia" w:asciiTheme="minorEastAsia" w:hAnsiTheme="minorEastAsia" w:eastAsiaTheme="minorEastAsia"/>
          <w:b/>
          <w:sz w:val="32"/>
          <w:szCs w:val="32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1、因公出国（境）费支出决算为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万元，全年安排因公出国（境）团组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个，累计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人次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。</w:t>
      </w:r>
    </w:p>
    <w:p>
      <w:pPr>
        <w:pStyle w:val="13"/>
        <w:ind w:firstLine="800" w:firstLineChars="250"/>
        <w:rPr>
          <w:rFonts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2、公务接待费支出决算为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0.35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万元，全年共接待来访团组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个、来宾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人次，主要是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公务接待由单位食堂负责接待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发生的接待支出。</w:t>
      </w:r>
    </w:p>
    <w:p>
      <w:pPr>
        <w:ind w:firstLine="800" w:firstLineChars="250"/>
        <w:rPr>
          <w:rFonts w:hint="eastAsia" w:cs="黑体" w:asciiTheme="minorEastAsia" w:hAnsiTheme="minorEastAsia"/>
          <w:i/>
          <w:color w:val="FF0000"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/>
          <w:sz w:val="32"/>
          <w:szCs w:val="32"/>
          <w:highlight w:val="none"/>
        </w:rPr>
        <w:t>3、公务用车购置费及运行维护费支出决算为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  <w:highlight w:val="none"/>
        </w:rPr>
        <w:t>万元，其中：公务用车购置费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  <w:highlight w:val="none"/>
        </w:rPr>
        <w:t>万元，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  <w:highlight w:val="none"/>
        </w:rPr>
        <w:t>（单位本级或某二级机构）更新公务用车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  <w:highlight w:val="none"/>
        </w:rPr>
        <w:t>辆</w:t>
      </w:r>
      <w:r>
        <w:rPr>
          <w:rFonts w:hint="eastAsia" w:asciiTheme="minorEastAsia" w:hAnsi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  <w:sz w:val="32"/>
          <w:szCs w:val="32"/>
          <w:highlight w:val="none"/>
        </w:rPr>
        <w:t>公务用车运行维护费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  <w:highlight w:val="none"/>
        </w:rPr>
        <w:t>万元，主要是</w:t>
      </w:r>
      <w:r>
        <w:rPr>
          <w:rFonts w:hint="eastAsia" w:asciiTheme="minorEastAsia" w:hAnsiTheme="minorEastAsia"/>
          <w:sz w:val="32"/>
          <w:szCs w:val="32"/>
          <w:highlight w:val="none"/>
          <w:lang w:eastAsia="zh-CN"/>
        </w:rPr>
        <w:t>公务用车派车中心派车和差旅费</w:t>
      </w:r>
      <w:r>
        <w:rPr>
          <w:rFonts w:hint="eastAsia" w:asciiTheme="minorEastAsia" w:hAnsiTheme="minorEastAsia"/>
          <w:sz w:val="32"/>
          <w:szCs w:val="32"/>
          <w:highlight w:val="none"/>
        </w:rPr>
        <w:t>支出，截止2021年12月31日，我单位开支财政拨款的公务用车保有量为</w:t>
      </w:r>
      <w:r>
        <w:rPr>
          <w:rFonts w:hint="eastAsia" w:asciiTheme="minorEastAsia" w:hAnsi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  <w:highlight w:val="none"/>
        </w:rPr>
        <w:t>辆。</w:t>
      </w:r>
    </w:p>
    <w:p>
      <w:pPr>
        <w:pStyle w:val="13"/>
        <w:outlineLvl w:val="0"/>
        <w:rPr>
          <w:rFonts w:hAnsi="黑体"/>
          <w:b/>
          <w:sz w:val="32"/>
          <w:szCs w:val="32"/>
          <w:highlight w:val="none"/>
        </w:rPr>
      </w:pPr>
      <w:r>
        <w:rPr>
          <w:rFonts w:hint="eastAsia" w:hAnsi="黑体"/>
          <w:b/>
          <w:sz w:val="32"/>
          <w:szCs w:val="32"/>
          <w:highlight w:val="none"/>
        </w:rPr>
        <w:t>八、政府性基金预算收入支出决算情况</w:t>
      </w:r>
    </w:p>
    <w:p>
      <w:pPr>
        <w:pStyle w:val="13"/>
        <w:rPr>
          <w:rFonts w:hint="eastAsia" w:asciiTheme="minorEastAsia" w:hAnsiTheme="minorEastAsia" w:eastAsiaTheme="minorEastAsia" w:cstheme="minorBidi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 xml:space="preserve">   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本部门2021年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无政府性基金收支。</w:t>
      </w:r>
    </w:p>
    <w:p>
      <w:pPr>
        <w:pStyle w:val="13"/>
        <w:numPr>
          <w:ilvl w:val="0"/>
          <w:numId w:val="2"/>
        </w:numPr>
        <w:outlineLvl w:val="0"/>
        <w:rPr>
          <w:rFonts w:hint="eastAsia" w:hAnsi="黑体"/>
          <w:b/>
          <w:sz w:val="32"/>
          <w:szCs w:val="32"/>
          <w:highlight w:val="none"/>
          <w:lang w:eastAsia="zh-CN"/>
        </w:rPr>
      </w:pPr>
      <w:r>
        <w:rPr>
          <w:rFonts w:hint="eastAsia" w:hAnsi="黑体"/>
          <w:b/>
          <w:sz w:val="32"/>
          <w:szCs w:val="32"/>
          <w:highlight w:val="none"/>
          <w:lang w:eastAsia="zh-CN"/>
        </w:rPr>
        <w:t>关于</w:t>
      </w:r>
      <w:r>
        <w:rPr>
          <w:rFonts w:hint="default" w:hAnsi="黑体"/>
          <w:b/>
          <w:sz w:val="32"/>
          <w:szCs w:val="32"/>
          <w:highlight w:val="none"/>
          <w:lang w:eastAsia="zh-CN"/>
        </w:rPr>
        <w:t>2021</w:t>
      </w:r>
      <w:r>
        <w:rPr>
          <w:rFonts w:hint="eastAsia" w:hAnsi="黑体"/>
          <w:b/>
          <w:sz w:val="32"/>
          <w:szCs w:val="32"/>
          <w:highlight w:val="none"/>
          <w:lang w:eastAsia="zh-CN"/>
        </w:rPr>
        <w:t>年度预算绩效情况说明</w:t>
      </w:r>
    </w:p>
    <w:p>
      <w:pPr>
        <w:autoSpaceDE w:val="0"/>
        <w:autoSpaceDN w:val="0"/>
        <w:adjustRightInd w:val="0"/>
        <w:ind w:firstLine="640" w:firstLineChars="200"/>
        <w:jc w:val="left"/>
        <w:outlineLvl w:val="1"/>
        <w:rPr>
          <w:rFonts w:cs="黑体" w:asciiTheme="minorEastAsia" w:hAnsiTheme="minorEastAsia"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  <w:t>（1）绩效管理评价工作开展情况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根据预算绩效管理要求，我部门组织对</w:t>
      </w:r>
      <w:r>
        <w:rPr>
          <w:rFonts w:cs="黑体" w:asciiTheme="minorEastAsia" w:hAnsiTheme="minorEastAsia"/>
          <w:color w:val="000000"/>
          <w:kern w:val="0"/>
          <w:sz w:val="32"/>
          <w:szCs w:val="32"/>
          <w:highlight w:val="none"/>
        </w:rPr>
        <w:t>2021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年度一般公共预算项目支出全面开展绩效自评，其中，一级项目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个，二级项目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  <w:highlight w:val="none"/>
        </w:rPr>
        <w:t xml:space="preserve">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个，共涉及资金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万元，占一般公共预算项目支出总额的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  <w:highlight w:val="none"/>
        </w:rPr>
        <w:t>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。组织对</w:t>
      </w:r>
      <w:r>
        <w:rPr>
          <w:rFonts w:cs="黑体" w:asciiTheme="minorEastAsia" w:hAnsiTheme="minorEastAsia"/>
          <w:color w:val="000000"/>
          <w:kern w:val="0"/>
          <w:sz w:val="32"/>
          <w:szCs w:val="32"/>
          <w:highlight w:val="none"/>
        </w:rPr>
        <w:t>2021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年度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等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个政府性基金预算项目支出开展绩效自评，共涉及资金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万元，占政府性基金预算项目支出总额的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  <w:highlight w:val="none"/>
        </w:rPr>
        <w:t>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。组织对</w:t>
      </w:r>
      <w:r>
        <w:rPr>
          <w:rFonts w:cs="黑体" w:asciiTheme="minorEastAsia" w:hAnsiTheme="minorEastAsia"/>
          <w:color w:val="000000"/>
          <w:kern w:val="0"/>
          <w:sz w:val="32"/>
          <w:szCs w:val="32"/>
          <w:highlight w:val="none"/>
        </w:rPr>
        <w:t>2021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年度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个国有资本经营预算项目支出开展绩效自评，共涉及资金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万元，占国有资本经营预算项目支出总额的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  <w:highlight w:val="none"/>
        </w:rPr>
        <w:t>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组织对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个项目开展了部门评价，涉及一般公共预算支出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万元，政府性基金预算支出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万元，国有资本经营预算支出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万元。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组织对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“岳阳县卫生计生综合监督执法局”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个单位开展整体支出绩效评价，涉及一般公共预算支出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309.7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万元，政府性基金预算支出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万元，其他资金支出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42.36万元，计划生育事务支出6.86万元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(卫生健康支出包括卫生监督支出、其他支出和计划生育支出）；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从评价情况来看，我单位整体支出内容规范，支出进度平稳，保障了本单位各项工作的正常开展，评价得分为9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分，评价等级为优秀。</w:t>
      </w:r>
    </w:p>
    <w:p>
      <w:pPr>
        <w:numPr>
          <w:ilvl w:val="0"/>
          <w:numId w:val="3"/>
        </w:numPr>
        <w:autoSpaceDE w:val="0"/>
        <w:autoSpaceDN w:val="0"/>
        <w:adjustRightInd w:val="0"/>
        <w:ind w:firstLine="640" w:firstLineChars="200"/>
        <w:jc w:val="left"/>
        <w:outlineLvl w:val="1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  <w:t>部门决算中项目绩效自评结果。</w:t>
      </w:r>
    </w:p>
    <w:p>
      <w:pPr>
        <w:pStyle w:val="2"/>
        <w:numPr>
          <w:ilvl w:val="0"/>
          <w:numId w:val="0"/>
        </w:numPr>
        <w:ind w:firstLine="1200" w:firstLineChars="500"/>
        <w:rPr>
          <w:rFonts w:hint="eastAsia" w:eastAsiaTheme="minorEastAsia"/>
          <w:b/>
          <w:bCs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无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0" w:leftChars="0" w:firstLine="640" w:firstLineChars="200"/>
        <w:jc w:val="left"/>
        <w:outlineLvl w:val="1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  <w:t>部门评价项目绩效评价结果。</w:t>
      </w:r>
    </w:p>
    <w:p>
      <w:pPr>
        <w:pStyle w:val="2"/>
        <w:numPr>
          <w:ilvl w:val="0"/>
          <w:numId w:val="0"/>
        </w:numPr>
        <w:ind w:leftChars="200" w:firstLine="960" w:firstLineChars="400"/>
        <w:rPr>
          <w:rFonts w:hint="eastAsia" w:eastAsiaTheme="minorEastAsia"/>
          <w:b/>
          <w:bCs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无</w:t>
      </w:r>
    </w:p>
    <w:p>
      <w:pPr>
        <w:pStyle w:val="13"/>
        <w:outlineLvl w:val="0"/>
        <w:rPr>
          <w:rFonts w:hint="eastAsia" w:hAnsi="黑体"/>
          <w:b/>
          <w:sz w:val="32"/>
          <w:szCs w:val="32"/>
          <w:highlight w:val="none"/>
        </w:rPr>
      </w:pPr>
      <w:r>
        <w:rPr>
          <w:rFonts w:hint="eastAsia" w:hAnsi="黑体"/>
          <w:b/>
          <w:sz w:val="32"/>
          <w:szCs w:val="32"/>
          <w:highlight w:val="none"/>
          <w:lang w:eastAsia="zh-CN"/>
        </w:rPr>
        <w:t>十</w:t>
      </w:r>
      <w:r>
        <w:rPr>
          <w:rFonts w:hint="eastAsia" w:hAnsi="黑体"/>
          <w:b/>
          <w:sz w:val="32"/>
          <w:szCs w:val="32"/>
          <w:highlight w:val="none"/>
        </w:rPr>
        <w:t>、</w:t>
      </w:r>
      <w:r>
        <w:rPr>
          <w:rFonts w:hAnsi="黑体" w:cs="Times New Roman"/>
          <w:color w:val="auto"/>
          <w:sz w:val="32"/>
          <w:szCs w:val="32"/>
        </w:rPr>
        <w:t>其他重要事项情况说明</w:t>
      </w:r>
    </w:p>
    <w:p>
      <w:pPr>
        <w:pStyle w:val="13"/>
        <w:outlineLvl w:val="0"/>
        <w:rPr>
          <w:rFonts w:hAnsi="黑体"/>
          <w:b/>
          <w:sz w:val="32"/>
          <w:szCs w:val="32"/>
          <w:highlight w:val="none"/>
        </w:rPr>
      </w:pPr>
      <w:r>
        <w:rPr>
          <w:rFonts w:hint="default" w:hAnsi="黑体"/>
          <w:b/>
          <w:sz w:val="32"/>
          <w:szCs w:val="32"/>
          <w:highlight w:val="none"/>
        </w:rPr>
        <w:t>（</w:t>
      </w:r>
      <w:r>
        <w:rPr>
          <w:rFonts w:hint="eastAsia" w:hAnsi="黑体"/>
          <w:b/>
          <w:sz w:val="32"/>
          <w:szCs w:val="32"/>
          <w:highlight w:val="none"/>
          <w:lang w:val="en-US" w:eastAsia="zh-Hans"/>
        </w:rPr>
        <w:t>一</w:t>
      </w:r>
      <w:r>
        <w:rPr>
          <w:rFonts w:hint="default" w:hAnsi="黑体"/>
          <w:b/>
          <w:sz w:val="32"/>
          <w:szCs w:val="32"/>
          <w:highlight w:val="none"/>
          <w:lang w:eastAsia="zh-Hans"/>
        </w:rPr>
        <w:t>）</w:t>
      </w:r>
      <w:r>
        <w:rPr>
          <w:rFonts w:hint="eastAsia" w:hAnsi="黑体"/>
          <w:b/>
          <w:sz w:val="32"/>
          <w:szCs w:val="32"/>
          <w:highlight w:val="none"/>
        </w:rPr>
        <w:t>机关运行经费支出说明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Theme="minorEastAsia" w:hAnsiTheme="minorEastAsia" w:eastAsia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Theme="minorEastAsia" w:cstheme="minorBidi"/>
          <w:bCs/>
          <w:color w:val="auto"/>
          <w:kern w:val="0"/>
          <w:sz w:val="32"/>
          <w:szCs w:val="32"/>
          <w:lang w:val="en-US" w:eastAsia="zh-CN" w:bidi="ar"/>
        </w:rPr>
        <w:t>本部门2021年度机关运行经费支出66.63万元，比上年减少5万元，降低6.98%。</w:t>
      </w:r>
      <w:r>
        <w:rPr>
          <w:rFonts w:hint="eastAsia" w:ascii="宋体" w:hAnsi="宋体" w:eastAsia="宋体"/>
          <w:sz w:val="32"/>
          <w:szCs w:val="32"/>
        </w:rPr>
        <w:t>主要原因是：</w:t>
      </w:r>
      <w:r>
        <w:rPr>
          <w:rFonts w:hint="eastAsia" w:ascii="宋体" w:hAnsi="宋体" w:eastAsia="宋体"/>
          <w:sz w:val="32"/>
          <w:szCs w:val="32"/>
          <w:lang w:eastAsia="zh-CN"/>
        </w:rPr>
        <w:t>因为疫情原因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  <w:lang w:eastAsia="zh-CN"/>
        </w:rPr>
        <w:t>减少压缩日常公用经费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。</w:t>
      </w:r>
    </w:p>
    <w:p>
      <w:pPr>
        <w:pStyle w:val="13"/>
        <w:outlineLvl w:val="0"/>
        <w:rPr>
          <w:rFonts w:hAnsi="黑体"/>
          <w:b/>
          <w:sz w:val="32"/>
          <w:szCs w:val="32"/>
          <w:highlight w:val="none"/>
        </w:rPr>
      </w:pPr>
      <w:r>
        <w:rPr>
          <w:rFonts w:hint="default" w:hAnsi="黑体"/>
          <w:b/>
          <w:sz w:val="32"/>
          <w:szCs w:val="32"/>
          <w:highlight w:val="none"/>
          <w:lang w:eastAsia="zh-CN"/>
        </w:rPr>
        <w:t>（</w:t>
      </w:r>
      <w:r>
        <w:rPr>
          <w:rFonts w:hint="eastAsia" w:hAnsi="黑体"/>
          <w:b/>
          <w:sz w:val="32"/>
          <w:szCs w:val="32"/>
          <w:highlight w:val="none"/>
          <w:lang w:val="en-US" w:eastAsia="zh-Hans"/>
        </w:rPr>
        <w:t>二</w:t>
      </w:r>
      <w:r>
        <w:rPr>
          <w:rFonts w:hint="default" w:hAnsi="黑体"/>
          <w:b/>
          <w:sz w:val="32"/>
          <w:szCs w:val="32"/>
          <w:highlight w:val="none"/>
          <w:lang w:eastAsia="zh-Hans"/>
        </w:rPr>
        <w:t>）</w:t>
      </w:r>
      <w:r>
        <w:rPr>
          <w:rFonts w:hint="eastAsia" w:hAnsi="黑体"/>
          <w:b/>
          <w:sz w:val="32"/>
          <w:szCs w:val="32"/>
          <w:highlight w:val="none"/>
        </w:rPr>
        <w:t>一般性支出情况说明</w:t>
      </w:r>
    </w:p>
    <w:p>
      <w:pPr>
        <w:pStyle w:val="13"/>
        <w:ind w:firstLine="640" w:firstLineChars="200"/>
        <w:rPr>
          <w:rFonts w:hint="eastAsia" w:asciiTheme="minorEastAsia" w:hAnsiTheme="minorEastAsia" w:eastAsiaTheme="minorEastAsia"/>
          <w:color w:val="FF0000"/>
          <w:sz w:val="32"/>
          <w:szCs w:val="32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2021年本部门开支会议费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0.1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万元，用于召开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卫生监督协管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会议，人数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人，内容为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卫生监督协管培训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；开支培训费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0.2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万元，用于开展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执法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培训，人数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人，内容为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卫生监督执法案件评比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；举办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等节庆、晚会、论坛、赛事活动，开支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。</w:t>
      </w:r>
    </w:p>
    <w:p>
      <w:pPr>
        <w:pStyle w:val="13"/>
        <w:outlineLvl w:val="0"/>
        <w:rPr>
          <w:rFonts w:hint="eastAsia" w:ascii="宋体" w:hAnsi="宋体" w:eastAsiaTheme="minorEastAsia" w:cstheme="minorBidi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hAnsi="黑体"/>
          <w:b/>
          <w:sz w:val="32"/>
          <w:szCs w:val="32"/>
        </w:rPr>
        <w:t>（</w:t>
      </w:r>
      <w:r>
        <w:rPr>
          <w:rFonts w:hint="eastAsia" w:hAnsi="黑体"/>
          <w:b/>
          <w:sz w:val="32"/>
          <w:szCs w:val="32"/>
          <w:lang w:val="en-US" w:eastAsia="zh-Hans"/>
        </w:rPr>
        <w:t>三</w:t>
      </w:r>
      <w:r>
        <w:rPr>
          <w:rFonts w:hint="default" w:hAnsi="黑体"/>
          <w:b/>
          <w:sz w:val="32"/>
          <w:szCs w:val="32"/>
          <w:lang w:eastAsia="zh-Hans"/>
        </w:rPr>
        <w:t>）</w:t>
      </w:r>
      <w:r>
        <w:rPr>
          <w:rFonts w:hint="eastAsia" w:hAnsi="黑体"/>
          <w:b/>
          <w:sz w:val="32"/>
          <w:szCs w:val="32"/>
          <w:highlight w:val="none"/>
        </w:rPr>
        <w:t>政府采购支出说明</w:t>
      </w:r>
    </w:p>
    <w:p>
      <w:pPr>
        <w:pStyle w:val="13"/>
        <w:ind w:firstLine="640" w:firstLineChars="200"/>
        <w:rPr>
          <w:rFonts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ascii="宋体" w:hAnsi="宋体" w:eastAsiaTheme="minorEastAsia" w:cstheme="minorBidi"/>
          <w:bCs/>
          <w:color w:val="auto"/>
          <w:kern w:val="0"/>
          <w:sz w:val="32"/>
          <w:szCs w:val="32"/>
          <w:lang w:val="en-US" w:eastAsia="zh-CN" w:bidi="ar"/>
        </w:rPr>
        <w:t>本部门2021年度政府采购支出总额0万元，其中：政府采购货物支出0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万元、政府采购工程支出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万元、政府采购服务支出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万元。授予中小企业合同金额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%，其中：授予小微企业合同金额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万元，占政府采购支出总额的0%；货物采购授予中小企业合同金额占货物支出金额的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%，工程采购授予中小企业合同金额占工程支出金额的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%，服务采购授予中小企业合同金额占服务支出金额的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%。</w:t>
      </w:r>
    </w:p>
    <w:p>
      <w:pPr>
        <w:pStyle w:val="13"/>
        <w:outlineLvl w:val="0"/>
        <w:rPr>
          <w:rFonts w:hAnsi="黑体"/>
          <w:b/>
          <w:sz w:val="32"/>
          <w:szCs w:val="32"/>
          <w:highlight w:val="none"/>
        </w:rPr>
      </w:pPr>
      <w:r>
        <w:rPr>
          <w:rFonts w:hint="default" w:hAnsi="黑体"/>
          <w:b/>
          <w:sz w:val="32"/>
          <w:szCs w:val="32"/>
        </w:rPr>
        <w:t>（</w:t>
      </w:r>
      <w:r>
        <w:rPr>
          <w:rFonts w:hint="eastAsia" w:hAnsi="黑体"/>
          <w:b/>
          <w:sz w:val="32"/>
          <w:szCs w:val="32"/>
          <w:lang w:val="en-US" w:eastAsia="zh-Hans"/>
        </w:rPr>
        <w:t>四</w:t>
      </w:r>
      <w:r>
        <w:rPr>
          <w:rFonts w:hint="default" w:hAnsi="黑体"/>
          <w:b/>
          <w:sz w:val="32"/>
          <w:szCs w:val="32"/>
          <w:lang w:eastAsia="zh-Hans"/>
        </w:rPr>
        <w:t>）</w:t>
      </w:r>
      <w:r>
        <w:rPr>
          <w:rFonts w:hint="eastAsia" w:hAnsi="黑体"/>
          <w:b/>
          <w:sz w:val="32"/>
          <w:szCs w:val="32"/>
          <w:highlight w:val="none"/>
        </w:rPr>
        <w:t>国有资产占用情况说明</w:t>
      </w:r>
    </w:p>
    <w:p>
      <w:pPr>
        <w:pStyle w:val="13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截至2021年12月31日，部门（单位）共有车辆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辆，其他用车主要是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公务用车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；单位价值50万元以上通用设备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台（套）。</w:t>
      </w:r>
    </w:p>
    <w:p>
      <w:pPr>
        <w:pStyle w:val="13"/>
        <w:ind w:firstLine="3600" w:firstLineChars="500"/>
        <w:jc w:val="both"/>
        <w:rPr>
          <w:rFonts w:hint="eastAsia"/>
          <w:sz w:val="72"/>
          <w:szCs w:val="72"/>
          <w:highlight w:val="none"/>
        </w:rPr>
      </w:pPr>
    </w:p>
    <w:p>
      <w:pPr>
        <w:pStyle w:val="13"/>
        <w:ind w:firstLine="3600" w:firstLineChars="500"/>
        <w:jc w:val="both"/>
        <w:rPr>
          <w:rFonts w:hint="eastAsia"/>
          <w:sz w:val="72"/>
          <w:szCs w:val="72"/>
          <w:highlight w:val="none"/>
        </w:rPr>
      </w:pPr>
    </w:p>
    <w:p>
      <w:pPr>
        <w:pStyle w:val="13"/>
        <w:ind w:firstLine="3600" w:firstLineChars="500"/>
        <w:jc w:val="both"/>
        <w:rPr>
          <w:rFonts w:hint="eastAsia"/>
          <w:sz w:val="72"/>
          <w:szCs w:val="72"/>
          <w:highlight w:val="none"/>
        </w:rPr>
      </w:pPr>
    </w:p>
    <w:p>
      <w:pPr>
        <w:pStyle w:val="13"/>
        <w:ind w:firstLine="3600" w:firstLineChars="500"/>
        <w:jc w:val="both"/>
        <w:rPr>
          <w:sz w:val="72"/>
          <w:szCs w:val="72"/>
          <w:highlight w:val="none"/>
        </w:rPr>
      </w:pPr>
      <w:r>
        <w:rPr>
          <w:rFonts w:hint="eastAsia"/>
          <w:sz w:val="72"/>
          <w:szCs w:val="72"/>
          <w:highlight w:val="none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  <w:highlight w:val="none"/>
        </w:rPr>
      </w:pPr>
    </w:p>
    <w:p>
      <w:pPr>
        <w:jc w:val="center"/>
        <w:outlineLvl w:val="0"/>
        <w:rPr>
          <w:rFonts w:ascii="黑体" w:eastAsia="黑体" w:cs="黑体"/>
          <w:color w:val="000000"/>
          <w:kern w:val="0"/>
          <w:sz w:val="70"/>
          <w:szCs w:val="70"/>
          <w:highlight w:val="none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  <w:highlight w:val="none"/>
        </w:rPr>
        <w:t>名词解释</w:t>
      </w:r>
    </w:p>
    <w:p>
      <w:pPr>
        <w:widowControl/>
        <w:spacing w:line="480" w:lineRule="auto"/>
        <w:ind w:firstLine="640" w:firstLineChars="200"/>
        <w:rPr>
          <w:rFonts w:hint="eastAsia" w:ascii="宋体" w:hAnsi="宋体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  <w:highlight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480" w:lineRule="auto"/>
        <w:ind w:firstLine="640" w:firstLineChars="200"/>
        <w:rPr>
          <w:rFonts w:hint="eastAsia" w:ascii="宋体" w:hAnsi="宋体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  <w:highlight w:val="none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  <w:highlight w:val="none"/>
        </w:rPr>
        <w:t>附件：岳阳县（单位名称）20</w:t>
      </w:r>
      <w:r>
        <w:rPr>
          <w:rFonts w:hint="eastAsia" w:ascii="宋体" w:hAnsi="宋体" w:cs="宋体"/>
          <w:color w:val="333333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宋体" w:hAnsi="宋体" w:cs="宋体"/>
          <w:color w:val="333333"/>
          <w:kern w:val="0"/>
          <w:sz w:val="32"/>
          <w:szCs w:val="32"/>
          <w:highlight w:val="none"/>
        </w:rPr>
        <w:t>年度部门</w:t>
      </w:r>
      <w:r>
        <w:rPr>
          <w:rFonts w:hint="eastAsia" w:ascii="宋体" w:hAnsi="宋体" w:cs="宋体"/>
          <w:color w:val="333333"/>
          <w:kern w:val="0"/>
          <w:sz w:val="32"/>
          <w:szCs w:val="32"/>
          <w:highlight w:val="none"/>
          <w:lang w:eastAsia="zh-CN"/>
        </w:rPr>
        <w:t>决</w:t>
      </w:r>
      <w:r>
        <w:rPr>
          <w:rFonts w:hint="eastAsia" w:ascii="宋体" w:hAnsi="宋体" w:cs="宋体"/>
          <w:color w:val="333333"/>
          <w:kern w:val="0"/>
          <w:sz w:val="32"/>
          <w:szCs w:val="32"/>
          <w:highlight w:val="none"/>
        </w:rPr>
        <w:t>算公开表</w:t>
      </w:r>
    </w:p>
    <w:p>
      <w:pPr>
        <w:widowControl/>
        <w:jc w:val="left"/>
        <w:rPr>
          <w:rFonts w:eastAsia="黑体" w:cs="黑体" w:asciiTheme="minorEastAsia" w:hAnsiTheme="minorEastAsia"/>
          <w:color w:val="000000"/>
          <w:kern w:val="0"/>
          <w:sz w:val="28"/>
          <w:szCs w:val="32"/>
          <w:highlight w:val="none"/>
        </w:rPr>
      </w:pPr>
      <w:r>
        <w:rPr>
          <w:rFonts w:hint="eastAsia" w:asciiTheme="minorEastAsia" w:hAnsiTheme="minorEastAsia"/>
          <w:sz w:val="28"/>
          <w:szCs w:val="32"/>
          <w:highlight w:val="none"/>
        </w:rPr>
        <w:t>（名词解释应包含本部门专有名词，如省财政厅应有对“财政事务”科目的解释）</w:t>
      </w:r>
    </w:p>
    <w:p>
      <w:pPr>
        <w:pStyle w:val="13"/>
        <w:jc w:val="center"/>
        <w:rPr>
          <w:sz w:val="72"/>
          <w:szCs w:val="72"/>
          <w:highlight w:val="none"/>
        </w:rPr>
      </w:pPr>
    </w:p>
    <w:p>
      <w:pPr>
        <w:pStyle w:val="13"/>
        <w:jc w:val="center"/>
        <w:rPr>
          <w:sz w:val="72"/>
          <w:szCs w:val="72"/>
          <w:highlight w:val="none"/>
        </w:rPr>
      </w:pPr>
    </w:p>
    <w:p>
      <w:pPr>
        <w:pStyle w:val="13"/>
        <w:jc w:val="center"/>
        <w:rPr>
          <w:sz w:val="72"/>
          <w:szCs w:val="72"/>
          <w:highlight w:val="none"/>
        </w:rPr>
      </w:pPr>
    </w:p>
    <w:p>
      <w:pPr>
        <w:pStyle w:val="13"/>
        <w:jc w:val="center"/>
        <w:rPr>
          <w:sz w:val="72"/>
          <w:szCs w:val="72"/>
          <w:highlight w:val="none"/>
        </w:rPr>
      </w:pPr>
    </w:p>
    <w:p>
      <w:pPr>
        <w:pStyle w:val="13"/>
        <w:ind w:firstLine="3600" w:firstLineChars="500"/>
        <w:jc w:val="both"/>
        <w:rPr>
          <w:sz w:val="72"/>
          <w:szCs w:val="72"/>
          <w:highlight w:val="none"/>
        </w:rPr>
      </w:pPr>
      <w:r>
        <w:rPr>
          <w:rFonts w:hint="eastAsia"/>
          <w:sz w:val="72"/>
          <w:szCs w:val="72"/>
          <w:highlight w:val="none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  <w:highlight w:val="none"/>
        </w:rPr>
      </w:pPr>
    </w:p>
    <w:p>
      <w:pPr>
        <w:jc w:val="center"/>
        <w:outlineLvl w:val="0"/>
        <w:rPr>
          <w:rFonts w:ascii="黑体" w:eastAsia="黑体" w:cs="黑体"/>
          <w:color w:val="000000"/>
          <w:kern w:val="0"/>
          <w:sz w:val="70"/>
          <w:szCs w:val="70"/>
          <w:highlight w:val="none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  <w:highlight w:val="none"/>
        </w:rPr>
        <w:t>附件</w:t>
      </w:r>
    </w:p>
    <w:p>
      <w:pPr>
        <w:widowControl/>
        <w:ind w:firstLine="1920" w:firstLineChars="600"/>
        <w:jc w:val="left"/>
        <w:rPr>
          <w:rFonts w:cs="黑体" w:asciiTheme="minorEastAsia" w:hAnsiTheme="minorEastAsia"/>
          <w:b/>
          <w:color w:val="000000"/>
          <w:kern w:val="0"/>
          <w:sz w:val="32"/>
          <w:szCs w:val="32"/>
          <w:highlight w:val="none"/>
        </w:rPr>
      </w:pPr>
    </w:p>
    <w:p>
      <w:pPr>
        <w:ind w:firstLine="3200" w:firstLineChars="1000"/>
        <w:jc w:val="left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  <w:t>2021年度部门决算公开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  <w:lang w:eastAsia="zh-CN"/>
        </w:rPr>
        <w:t>表</w:t>
      </w:r>
    </w:p>
    <w:p>
      <w:pPr>
        <w:ind w:firstLine="2560" w:firstLineChars="800"/>
        <w:jc w:val="left"/>
        <w:rPr>
          <w:rFonts w:cs="黑体" w:asciiTheme="minorEastAsia" w:hAnsiTheme="minorEastAsia"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  <w:t>2021年度部门整体支出绩效评价报告</w:t>
      </w: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6CB5F"/>
    <w:multiLevelType w:val="singleLevel"/>
    <w:tmpl w:val="F3F6CB5F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548322"/>
    <w:multiLevelType w:val="singleLevel"/>
    <w:tmpl w:val="11548322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2A86EC14"/>
    <w:multiLevelType w:val="singleLevel"/>
    <w:tmpl w:val="2A86EC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mQwNzMwNGUzN2NjYjhkODJmYTIxYmVkOWU2OTgifQ=="/>
  </w:docVars>
  <w:rsids>
    <w:rsidRoot w:val="004506F9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31677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1D3349E"/>
    <w:rsid w:val="04996D6F"/>
    <w:rsid w:val="04D22DFA"/>
    <w:rsid w:val="0C2E145C"/>
    <w:rsid w:val="0E284374"/>
    <w:rsid w:val="0F927BB6"/>
    <w:rsid w:val="115F7498"/>
    <w:rsid w:val="16BB3841"/>
    <w:rsid w:val="1A4B61EF"/>
    <w:rsid w:val="1AF52CED"/>
    <w:rsid w:val="2B2A3C65"/>
    <w:rsid w:val="2E7B0EC8"/>
    <w:rsid w:val="2ECF2456"/>
    <w:rsid w:val="35EF4EA0"/>
    <w:rsid w:val="38FD77E2"/>
    <w:rsid w:val="398E6B02"/>
    <w:rsid w:val="39BB0378"/>
    <w:rsid w:val="3DE660BB"/>
    <w:rsid w:val="43683D5F"/>
    <w:rsid w:val="4D6D5452"/>
    <w:rsid w:val="52ED230C"/>
    <w:rsid w:val="54B651D8"/>
    <w:rsid w:val="58CC06AF"/>
    <w:rsid w:val="5B94286C"/>
    <w:rsid w:val="6659611C"/>
    <w:rsid w:val="66744B8E"/>
    <w:rsid w:val="67433D02"/>
    <w:rsid w:val="6B811A72"/>
    <w:rsid w:val="6D452AF7"/>
    <w:rsid w:val="6E0315EF"/>
    <w:rsid w:val="70344547"/>
    <w:rsid w:val="7E7B5402"/>
    <w:rsid w:val="F77F8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首行缩进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 w:firstLine="480" w:firstLineChars="20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4235</Words>
  <Characters>4575</Characters>
  <Lines>69</Lines>
  <Paragraphs>19</Paragraphs>
  <TotalTime>1</TotalTime>
  <ScaleCrop>false</ScaleCrop>
  <LinksUpToDate>false</LinksUpToDate>
  <CharactersWithSpaces>4581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2020-07-02T10:32:00Z</dcterms:created>
  <dc:creator>李航 null</dc:creator>
  <cp:lastModifiedBy>Blau</cp:lastModifiedBy>
  <cp:lastPrinted>2022-10-19T15:31:00Z</cp:lastPrinted>
  <dcterms:modified xsi:type="dcterms:W3CDTF">2023-09-15T14:28:51Z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3CD7970917FB73A7A3F9036592F0BA0B_43</vt:lpwstr>
  </property>
</Properties>
</file>