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r>
        <w:rPr>
          <w:rFonts w:ascii="方正小标宋简体" w:hAnsi="华文中宋" w:eastAsia="方正小标宋简体"/>
          <w:bCs/>
          <w:sz w:val="44"/>
          <w:szCs w:val="44"/>
        </w:rPr>
        <w:t xml:space="preserve"> </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eastAsia="zh-CN"/>
        </w:rPr>
        <w:t>2021年</w:t>
      </w:r>
      <w:r>
        <w:rPr>
          <w:rFonts w:hint="eastAsia" w:eastAsia="方正小标宋简体"/>
          <w:bCs/>
          <w:sz w:val="46"/>
          <w:szCs w:val="46"/>
        </w:rPr>
        <w:t>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u w:val="single"/>
        </w:rPr>
        <w:t>岳阳县交通运输综合行政执法大队</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rPr>
        <w:t>414006</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eastAsia="zh-CN"/>
        </w:rPr>
        <w:t>2022年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周亚军</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13974049666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1、宣传贯彻执行国家、省、市、县和上级交通主管 部门有关交通运输行政执法（含公路路政、道路运政、水路运政、航道行政、港口行政、地方海事行政、交通工程质量监督管理、渔船检验和监督管理等）的方针、政策和法律法规规章；参与拟订全县交通运输综合行政执法相关的地方性法规、规章和规范性文件草案；参与编制全县交通运输综合行政执法规划；拟定全县交通运输综合行政执法工作计划，并组织实施。</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依法行使有关法律法规赋予的公路路政、道路运政、水路运政、航道行政、港口行政、地方海事行政、交通工程质量监督管理、渔船检验和监督管理等交通运输领域的行政处罚权以及与行政强制处罚相关的行政检查、行政强制 权等行政执法职能。</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3、负责全县交通运输综合行政执法的组织、指挥、协调；依法制定全县交通运输综合行政执法的程序、标准、规定并组织实施；负责全县重大复杂交通运输违法案件、跨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4、负责依法对交通运输市场主体及从业人员的经营行为实施监督检查，纠正违章违规经营行为，治理货运车辆 超限运输，联合整治非法营运，维护交通运输市场秩序。</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5、组织或参与跨行业、跨地区联合执法行动。</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6、参与交通运输行业诚信体系建设，做好道路运输、城市客运行业质量信誉考核工作。</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7、参与全县节假曰运输、重大物资运输、抢险救灾、交通战备等应急运输保障工作；配合相关部门做好联合运输工作</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8、承办县委、县政府和县交通运输局交办的其他工作。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工作内容</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1</w:t>
            </w:r>
            <w:r>
              <w:rPr>
                <w:rFonts w:hint="eastAsia" w:ascii="仿宋_GB2312" w:hAnsi="仿宋_GB2312" w:eastAsia="仿宋_GB2312" w:cs="仿宋_GB2312"/>
                <w:sz w:val="24"/>
              </w:rPr>
              <w:t>：加强路政政策法规宣传教育</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2</w:t>
            </w:r>
            <w:r>
              <w:rPr>
                <w:rFonts w:hint="eastAsia" w:ascii="仿宋_GB2312" w:hAnsi="仿宋_GB2312" w:eastAsia="仿宋_GB2312" w:cs="仿宋_GB2312"/>
                <w:sz w:val="24"/>
              </w:rPr>
              <w:t>：强化农村公路路政执法监督</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3</w:t>
            </w:r>
            <w:r>
              <w:rPr>
                <w:rFonts w:hint="eastAsia" w:ascii="仿宋_GB2312" w:hAnsi="仿宋_GB2312" w:eastAsia="仿宋_GB2312" w:cs="仿宋_GB2312"/>
                <w:sz w:val="24"/>
              </w:rPr>
              <w:t>：完成上级部门交办的其他工作</w:t>
            </w:r>
          </w:p>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一、坚持党的领导，服从服务大局</w:t>
            </w:r>
            <w:r>
              <w:rPr>
                <w:rFonts w:ascii="仿宋_GB2312" w:hAnsi="仿宋_GB2312" w:eastAsia="仿宋_GB2312" w:cs="仿宋_GB2312"/>
                <w:sz w:val="24"/>
              </w:rPr>
              <w:t>;</w:t>
            </w:r>
          </w:p>
          <w:p>
            <w:pPr>
              <w:autoSpaceDN w:val="0"/>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二、全县治理超限超载宣传常态化，深入乡镇社区，为治超工作开展营造了良好的與论氛围。</w:t>
            </w:r>
          </w:p>
          <w:p>
            <w:pPr>
              <w:autoSpaceDN w:val="0"/>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三、对货车超载，非法改装车辆在重点区域、重点路段、重点时段重拳出击，采取节假日与正常工作日、白天与晚上、流动与固守等工作作法开展专项整治行动，形成了“零容忍，全覆盖”的治超态势，真正做到了对照清单逐一消号，从根本上保证了我县治超工作的持续有效开展。</w:t>
            </w:r>
          </w:p>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四、强化自身建设，展示良好形象，党建及其他各项工作完满完成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公共财</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324.26</w:t>
            </w:r>
          </w:p>
        </w:tc>
        <w:tc>
          <w:tcPr>
            <w:tcW w:w="1355" w:type="dxa"/>
            <w:gridSpan w:val="2"/>
            <w:tcBorders>
              <w:left w:val="single" w:color="auto" w:sz="4" w:space="0"/>
            </w:tcBorders>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203.41</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120.85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324.26</w:t>
            </w:r>
          </w:p>
        </w:tc>
        <w:tc>
          <w:tcPr>
            <w:tcW w:w="1355" w:type="dxa"/>
            <w:gridSpan w:val="2"/>
            <w:tcBorders>
              <w:left w:val="single" w:color="auto" w:sz="4" w:space="0"/>
            </w:tcBorders>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203.41</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120.85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324.26</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323.54</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58.31</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265.23</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0.72</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324.26</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323.54</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58.31</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265.23</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0.72</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8.76</w:t>
            </w:r>
          </w:p>
        </w:tc>
        <w:tc>
          <w:tcPr>
            <w:tcW w:w="1355" w:type="dxa"/>
            <w:gridSpan w:val="2"/>
            <w:tcBorders>
              <w:left w:val="single" w:color="auto" w:sz="4" w:space="0"/>
            </w:tcBorders>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8.76</w:t>
            </w: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8.76</w:t>
            </w:r>
          </w:p>
        </w:tc>
        <w:tc>
          <w:tcPr>
            <w:tcW w:w="1355" w:type="dxa"/>
            <w:gridSpan w:val="2"/>
            <w:tcBorders>
              <w:left w:val="single" w:color="auto" w:sz="4" w:space="0"/>
            </w:tcBorders>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8.76</w:t>
            </w: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固定资产</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270.81</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270.81</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270.81</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270.81</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3774" w:type="dxa"/>
            <w:gridSpan w:val="6"/>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1</w:t>
            </w:r>
            <w:r>
              <w:rPr>
                <w:rFonts w:hint="eastAsia" w:ascii="仿宋_GB2312" w:hAnsi="仿宋_GB2312" w:eastAsia="仿宋_GB2312" w:cs="仿宋_GB2312"/>
                <w:sz w:val="24"/>
              </w:rPr>
              <w:t>：路政政策法规宣传教育取得实效</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2</w:t>
            </w:r>
            <w:r>
              <w:rPr>
                <w:rFonts w:hint="eastAsia" w:ascii="仿宋_GB2312" w:hAnsi="仿宋_GB2312" w:eastAsia="仿宋_GB2312" w:cs="仿宋_GB2312"/>
                <w:sz w:val="24"/>
              </w:rPr>
              <w:t>：农村公路路政执法监督水平全面提升</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3</w:t>
            </w:r>
            <w:r>
              <w:rPr>
                <w:rFonts w:hint="eastAsia" w:ascii="仿宋_GB2312" w:hAnsi="仿宋_GB2312" w:eastAsia="仿宋_GB2312" w:cs="仿宋_GB2312"/>
                <w:sz w:val="24"/>
              </w:rPr>
              <w:t>：完党建及其他各项工作完满完成</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产出目标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hint="eastAsia" w:ascii="仿宋" w:hAnsi="仿宋" w:eastAsia="仿宋"/>
                <w:szCs w:val="32"/>
              </w:rPr>
              <w:t>非停车检测系统建设达到国家标准</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“三公经费”变动率≤</w:t>
            </w:r>
            <w:r>
              <w:rPr>
                <w:rFonts w:ascii="仿宋_GB2312" w:hAnsi="仿宋_GB2312" w:eastAsia="仿宋_GB2312" w:cs="仿宋_GB2312"/>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督促县内58家企业建设地磅</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在202</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财政年度内全面提升超限超载监管水平</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全年财政整体支出</w:t>
            </w:r>
            <w:r>
              <w:rPr>
                <w:rFonts w:hint="eastAsia" w:ascii="仿宋_GB2312" w:hAnsi="仿宋_GB2312" w:eastAsia="仿宋_GB2312" w:cs="仿宋_GB2312"/>
                <w:sz w:val="24"/>
                <w:lang w:val="en-US" w:eastAsia="zh-CN"/>
              </w:rPr>
              <w:t>324.26</w:t>
            </w:r>
            <w:r>
              <w:rPr>
                <w:rFonts w:hint="eastAsia" w:ascii="仿宋_GB2312" w:hAnsi="仿宋_GB2312" w:eastAsia="仿宋_GB2312" w:cs="仿宋_GB2312"/>
                <w:sz w:val="24"/>
              </w:rPr>
              <w:t>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lang w:val="en-US" w:eastAsia="zh-CN"/>
              </w:rPr>
              <w:t>324.26</w:t>
            </w:r>
            <w:r>
              <w:rPr>
                <w:rFonts w:hint="eastAsia" w:ascii="仿宋_GB2312" w:hAnsi="仿宋_GB2312" w:eastAsia="仿宋_GB2312" w:cs="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：治理好超限超载，保障公路桥梁安全</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：为全县创造了良好的招商引资环境</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：预防超限超载，避免货车发生生态泄漏</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没有发生一超生态泄漏事故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r>
              <w:rPr>
                <w:rFonts w:hint="eastAsia" w:ascii="仿宋_GB2312" w:hAnsi="仿宋_GB2312" w:eastAsia="仿宋_GB2312" w:cs="仿宋_GB2312"/>
                <w:sz w:val="24"/>
              </w:rPr>
              <w:t>以上</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w:t>
            </w:r>
            <w:r>
              <w:rPr>
                <w:rFonts w:ascii="仿宋_GB2312" w:hAnsi="仿宋_GB2312" w:eastAsia="仿宋_GB2312" w:cs="仿宋_GB2312"/>
                <w:sz w:val="24"/>
              </w:rPr>
              <w:t xml:space="preserve">  </w:t>
            </w:r>
            <w:r>
              <w:rPr>
                <w:rFonts w:hint="eastAsia" w:ascii="仿宋_GB2312" w:hAnsi="仿宋_GB2312" w:eastAsia="仿宋_GB2312" w:cs="仿宋_GB2312"/>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单</w:t>
            </w:r>
            <w:r>
              <w:rPr>
                <w:rFonts w:ascii="仿宋_GB2312" w:hAnsi="仿宋_GB2312" w:eastAsia="仿宋_GB2312" w:cs="仿宋_GB2312"/>
                <w:sz w:val="24"/>
              </w:rPr>
              <w:t xml:space="preserve">  </w:t>
            </w:r>
            <w:r>
              <w:rPr>
                <w:rFonts w:hint="eastAsia" w:ascii="仿宋_GB2312" w:hAnsi="仿宋_GB2312" w:eastAsia="仿宋_GB2312" w:cs="仿宋_GB2312"/>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签</w:t>
            </w:r>
            <w:r>
              <w:rPr>
                <w:rFonts w:ascii="仿宋_GB2312" w:hAnsi="仿宋_GB2312" w:eastAsia="仿宋_GB2312" w:cs="仿宋_GB2312"/>
                <w:sz w:val="24"/>
              </w:rPr>
              <w:t xml:space="preserve">  </w:t>
            </w:r>
            <w:r>
              <w:rPr>
                <w:rFonts w:hint="eastAsia" w:ascii="仿宋_GB2312" w:hAnsi="仿宋_GB2312" w:eastAsia="仿宋_GB2312" w:cs="仿宋_GB2312"/>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潘胜</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岳阳县交通运输综合行政执法大队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任朝晖</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岳阳县交通运输综合行政执法大队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任妙娟</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岳阳县交通运输综合行政执法大队</w:t>
            </w:r>
            <w:bookmarkStart w:id="0" w:name="_GoBack"/>
            <w:bookmarkEnd w:id="0"/>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部门（单位）意见：</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部门（单位）负责人（签章）：</w:t>
            </w: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bl>
    <w:p>
      <w:pPr>
        <w:rPr>
          <w:rFonts w:eastAsia="仿宋_GB2312" w:cs="仿宋_GB2312"/>
          <w:bCs/>
          <w:sz w:val="28"/>
          <w:szCs w:val="28"/>
        </w:rPr>
      </w:pPr>
      <w:r>
        <w:rPr>
          <w:rFonts w:hint="eastAsia" w:eastAsia="仿宋_GB2312" w:cs="仿宋_GB2312"/>
          <w:bCs/>
          <w:sz w:val="28"/>
          <w:szCs w:val="28"/>
        </w:rPr>
        <w:t>填报人（签名）：周亚军</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sz w:val="24"/>
        </w:rPr>
        <w:t>13974049666</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keepNext/>
              <w:keepLines/>
              <w:shd w:val="clear" w:color="auto" w:fill="FFFFFF"/>
              <w:ind w:firstLine="640"/>
              <w:jc w:val="left"/>
              <w:rPr>
                <w:rFonts w:ascii="仿宋_GB2312" w:hAnsi="仿宋_GB2312" w:eastAsia="仿宋_GB2312" w:cs="仿宋_GB2312"/>
                <w:bCs/>
                <w:sz w:val="24"/>
              </w:rPr>
            </w:pPr>
            <w:r>
              <w:rPr>
                <w:rFonts w:hint="eastAsia" w:ascii="仿宋_GB2312" w:eastAsia="仿宋_GB2312"/>
                <w:sz w:val="24"/>
              </w:rPr>
              <w:t>岳阳县交通运输综合行政执法大队负责全县交通运输综合行政执法的组织、指挥、协调；依法制定全县交通运输综合行政执法的程序、标准、规定并组织实施；负责全县重大复杂交通运输违法案件、跨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pPr>
              <w:numPr>
                <w:ilvl w:val="0"/>
                <w:numId w:val="3"/>
              </w:numPr>
              <w:spacing w:line="560" w:lineRule="exact"/>
              <w:ind w:firstLine="480" w:firstLineChars="200"/>
              <w:rPr>
                <w:rFonts w:ascii="仿宋_GB2312" w:hAnsi="仿宋_GB2312" w:eastAsia="仿宋_GB2312" w:cs="仿宋_GB2312"/>
                <w:szCs w:val="21"/>
              </w:rPr>
            </w:pPr>
            <w:r>
              <w:rPr>
                <w:rFonts w:ascii="仿宋" w:hAnsi="仿宋" w:eastAsia="仿宋" w:cs="仿宋"/>
                <w:sz w:val="24"/>
              </w:rPr>
              <w:t xml:space="preserve"> </w:t>
            </w:r>
            <w:r>
              <w:rPr>
                <w:rFonts w:hint="eastAsia" w:ascii="仿宋_GB2312" w:hAnsi="仿宋_GB2312" w:eastAsia="仿宋_GB2312" w:cs="仿宋_GB2312"/>
                <w:szCs w:val="21"/>
              </w:rPr>
              <w:t>部门（单位）整体支出规模、使用方向和主要内容、涉及范围等</w:t>
            </w:r>
          </w:p>
          <w:p>
            <w:pPr>
              <w:spacing w:line="560" w:lineRule="exac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lang w:eastAsia="zh-CN"/>
              </w:rPr>
              <w:t>2021年岳阳县交通运输综合行政执法大队</w:t>
            </w:r>
            <w:r>
              <w:rPr>
                <w:rFonts w:hint="eastAsia" w:ascii="仿宋" w:hAnsi="仿宋" w:eastAsia="仿宋" w:cs="仿宋"/>
                <w:sz w:val="24"/>
              </w:rPr>
              <w:t>整体支出为</w:t>
            </w:r>
            <w:r>
              <w:rPr>
                <w:rFonts w:hint="eastAsia" w:ascii="仿宋_GB2312" w:hAnsi="仿宋_GB2312" w:eastAsia="仿宋_GB2312" w:cs="仿宋_GB2312"/>
                <w:sz w:val="24"/>
                <w:lang w:val="en-US" w:eastAsia="zh-CN"/>
              </w:rPr>
              <w:t>324.26</w:t>
            </w:r>
            <w:r>
              <w:rPr>
                <w:rFonts w:hint="eastAsia" w:ascii="仿宋" w:hAnsi="仿宋" w:eastAsia="仿宋" w:cs="仿宋"/>
                <w:sz w:val="24"/>
              </w:rPr>
              <w:t>万元，包括基本支出</w:t>
            </w:r>
            <w:r>
              <w:rPr>
                <w:rFonts w:hint="eastAsia" w:ascii="宋体" w:hAnsi="宋体" w:eastAsia="仿宋" w:cs="宋体"/>
                <w:b/>
                <w:bCs/>
                <w:sz w:val="22"/>
                <w:szCs w:val="22"/>
                <w:lang w:val="en-US" w:eastAsia="zh-CN"/>
              </w:rPr>
              <w:t>323.54</w:t>
            </w:r>
            <w:r>
              <w:rPr>
                <w:rFonts w:hint="eastAsia" w:ascii="仿宋" w:hAnsi="仿宋" w:eastAsia="仿宋" w:cs="仿宋"/>
                <w:sz w:val="24"/>
              </w:rPr>
              <w:t>万元，主要用于人员经费支出和日常公用经费支出，项目支出</w:t>
            </w:r>
            <w:r>
              <w:rPr>
                <w:rFonts w:hint="eastAsia" w:ascii="宋体" w:hAnsi="宋体" w:eastAsia="仿宋" w:cs="宋体"/>
                <w:b/>
                <w:bCs/>
                <w:sz w:val="22"/>
                <w:szCs w:val="22"/>
                <w:lang w:val="en-US" w:eastAsia="zh-CN"/>
              </w:rPr>
              <w:t>0.72</w:t>
            </w:r>
            <w:r>
              <w:rPr>
                <w:rFonts w:hint="eastAsia" w:ascii="仿宋" w:hAnsi="仿宋" w:eastAsia="仿宋" w:cs="仿宋"/>
                <w:sz w:val="24"/>
              </w:rPr>
              <w:t>万元，主要用于治超工作经费。</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ascii="仿宋" w:hAnsi="仿宋" w:eastAsia="仿宋" w:cs="仿宋"/>
                <w:sz w:val="24"/>
              </w:rPr>
            </w:pPr>
            <w:r>
              <w:rPr>
                <w:rFonts w:hint="eastAsia" w:ascii="仿宋" w:hAnsi="仿宋" w:eastAsia="仿宋" w:cs="仿宋"/>
                <w:sz w:val="24"/>
                <w:lang w:eastAsia="zh-CN"/>
              </w:rPr>
              <w:t>2021年岳阳县交通运输综合行政执法大队</w:t>
            </w:r>
            <w:r>
              <w:rPr>
                <w:rFonts w:hint="eastAsia" w:ascii="仿宋" w:hAnsi="仿宋" w:eastAsia="仿宋" w:cs="仿宋"/>
                <w:sz w:val="24"/>
              </w:rPr>
              <w:t>基本支出</w:t>
            </w:r>
            <w:r>
              <w:rPr>
                <w:rFonts w:hint="eastAsia" w:ascii="宋体" w:hAnsi="宋体" w:eastAsia="仿宋" w:cs="宋体"/>
                <w:b/>
                <w:bCs/>
                <w:sz w:val="22"/>
                <w:szCs w:val="22"/>
                <w:lang w:val="en-US" w:eastAsia="zh-CN"/>
              </w:rPr>
              <w:t>323.54</w:t>
            </w:r>
            <w:r>
              <w:rPr>
                <w:rFonts w:hint="eastAsia" w:ascii="仿宋" w:hAnsi="仿宋" w:eastAsia="仿宋" w:cs="仿宋"/>
                <w:sz w:val="24"/>
              </w:rPr>
              <w:t>万元，包括人员支出</w:t>
            </w:r>
            <w:r>
              <w:rPr>
                <w:rFonts w:hint="eastAsia" w:ascii="仿宋_GB2312" w:hAnsi="仿宋_GB2312" w:eastAsia="仿宋_GB2312" w:cs="仿宋_GB2312"/>
                <w:sz w:val="24"/>
                <w:lang w:val="en-US" w:eastAsia="zh-CN"/>
              </w:rPr>
              <w:t>58.31</w:t>
            </w:r>
            <w:r>
              <w:rPr>
                <w:rFonts w:hint="eastAsia" w:ascii="仿宋" w:hAnsi="仿宋" w:eastAsia="仿宋" w:cs="仿宋"/>
                <w:sz w:val="24"/>
              </w:rPr>
              <w:t>万元，公用支出</w:t>
            </w:r>
            <w:r>
              <w:rPr>
                <w:rFonts w:hint="eastAsia" w:ascii="仿宋_GB2312" w:hAnsi="仿宋_GB2312" w:eastAsia="仿宋_GB2312" w:cs="仿宋_GB2312"/>
                <w:sz w:val="24"/>
                <w:lang w:val="en-US" w:eastAsia="zh-CN"/>
              </w:rPr>
              <w:t>265.23</w:t>
            </w:r>
            <w:r>
              <w:rPr>
                <w:rFonts w:hint="eastAsia" w:ascii="仿宋" w:hAnsi="仿宋" w:eastAsia="仿宋" w:cs="仿宋"/>
                <w:sz w:val="24"/>
              </w:rPr>
              <w:t>万元，其中“三公”经费合计8.76万元，包括公务接待费</w:t>
            </w:r>
            <w:r>
              <w:rPr>
                <w:rFonts w:hint="eastAsia" w:ascii="仿宋_GB2312" w:hAnsi="仿宋_GB2312" w:eastAsia="仿宋_GB2312" w:cs="仿宋_GB2312"/>
                <w:sz w:val="24"/>
              </w:rPr>
              <w:t>0</w:t>
            </w:r>
            <w:r>
              <w:rPr>
                <w:rFonts w:hint="eastAsia" w:ascii="仿宋" w:hAnsi="仿宋" w:eastAsia="仿宋" w:cs="仿宋"/>
                <w:sz w:val="24"/>
              </w:rPr>
              <w:t>万元和公务用车运行维护费8.76万元。</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县财政安排我单位项目经费</w:t>
            </w:r>
            <w:r>
              <w:rPr>
                <w:rFonts w:hint="eastAsia" w:ascii="宋体" w:hAnsi="宋体" w:eastAsia="仿宋_GB2312" w:cs="宋体"/>
                <w:b/>
                <w:bCs/>
                <w:sz w:val="22"/>
                <w:szCs w:val="22"/>
                <w:lang w:val="en-US" w:eastAsia="zh-CN"/>
              </w:rPr>
              <w:t>0.72</w:t>
            </w:r>
            <w:r>
              <w:rPr>
                <w:rFonts w:hint="eastAsia" w:ascii="仿宋_GB2312" w:hAnsi="仿宋_GB2312" w:eastAsia="仿宋_GB2312" w:cs="仿宋_GB2312"/>
                <w:bCs/>
                <w:sz w:val="24"/>
              </w:rPr>
              <w:t>万元，主要用于</w:t>
            </w:r>
            <w:r>
              <w:rPr>
                <w:rFonts w:hint="eastAsia" w:ascii="仿宋" w:hAnsi="仿宋" w:eastAsia="仿宋" w:cs="仿宋"/>
                <w:sz w:val="24"/>
              </w:rPr>
              <w:t>治超工作经费</w:t>
            </w:r>
            <w:r>
              <w:rPr>
                <w:rFonts w:hint="eastAsia" w:ascii="仿宋_GB2312" w:hAnsi="仿宋_GB2312" w:eastAsia="仿宋_GB2312" w:cs="仿宋_GB2312"/>
                <w:bCs/>
                <w:sz w:val="24"/>
              </w:rPr>
              <w:t>，我单位实际发生项目支出</w:t>
            </w:r>
            <w:r>
              <w:rPr>
                <w:rFonts w:hint="eastAsia" w:ascii="宋体" w:hAnsi="宋体" w:eastAsia="仿宋_GB2312" w:cs="宋体"/>
                <w:b/>
                <w:bCs/>
                <w:sz w:val="22"/>
                <w:szCs w:val="22"/>
                <w:lang w:val="en-US" w:eastAsia="zh-CN"/>
              </w:rPr>
              <w:t>0.72</w:t>
            </w:r>
            <w:r>
              <w:rPr>
                <w:rFonts w:hint="eastAsia" w:ascii="仿宋_GB2312" w:hAnsi="仿宋_GB2312" w:eastAsia="仿宋_GB2312" w:cs="仿宋_GB2312"/>
                <w:bCs/>
                <w:sz w:val="24"/>
              </w:rPr>
              <w:t>万元，项目支出安排率</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4"/>
              </w:numPr>
              <w:spacing w:line="560" w:lineRule="exact"/>
              <w:ind w:firstLine="48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autoSpaceDN w:val="0"/>
              <w:spacing w:line="320" w:lineRule="exact"/>
              <w:jc w:val="left"/>
              <w:textAlignment w:val="center"/>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我单位专项资金主要用于治超专项工作经费开支，营造了良好的與论氛围，形成了“零容忍，全覆盖”的治超态势，确保公路桥梁安全平稳运行，保障经济社会正常发展提供了坚实支持</w:t>
            </w:r>
            <w:r>
              <w:rPr>
                <w:rFonts w:hint="eastAsia" w:ascii="仿宋_GB2312" w:hAnsi="仿宋_GB2312" w:eastAsia="仿宋_GB2312" w:cs="仿宋_GB2312"/>
                <w:sz w:val="24"/>
                <w:shd w:val="clear" w:color="auto" w:fill="FFFFFF"/>
              </w:rPr>
              <w:t>。</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我单位专项资金实行专款专用、专项核算，费用支出严格按财务审批程序和会议进程等进行支付。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1、健全组织领导及机制，我单位成立了以潘胜为组长的岳阳县治理超限超载领导小组，专项负责全县超限超载治理工作。</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autoSpaceDN w:val="0"/>
              <w:spacing w:line="320" w:lineRule="exact"/>
              <w:ind w:firstLine="840" w:firstLineChars="350"/>
              <w:jc w:val="left"/>
              <w:textAlignment w:val="center"/>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，我单位营造了良好的公路路政宣传與论氛围，形成了“零容忍，全覆盖”的治超态势，专项资金的使用对于确保公路桥梁安全平稳运行，保障经济社会正常发展提供了坚实支持</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bCs/>
                <w:sz w:val="24"/>
              </w:rPr>
              <w:t>各专项工作按上级要求完满完成。</w:t>
            </w:r>
          </w:p>
          <w:p>
            <w:pPr>
              <w:spacing w:line="600" w:lineRule="exact"/>
              <w:ind w:firstLine="482" w:firstLineChars="200"/>
              <w:rPr>
                <w:rFonts w:ascii="仿宋_GB2312" w:hAnsi="仿宋_GB2312" w:eastAsia="仿宋_GB2312" w:cs="仿宋_GB2312"/>
                <w:b/>
                <w:bCs/>
                <w:sz w:val="24"/>
                <w:shd w:val="clear" w:color="auto" w:fill="FFFFFF"/>
              </w:rPr>
            </w:pPr>
            <w:r>
              <w:rPr>
                <w:rFonts w:hint="eastAsia" w:ascii="仿宋_GB2312" w:hAnsi="仿宋_GB2312" w:eastAsia="仿宋_GB2312" w:cs="仿宋_GB2312"/>
                <w:b/>
                <w:bCs/>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我县公路路政政策宣讲范围进一步扩大，宣传工作常态化，形成了“零容忍，全覆盖”的治超态势，社会公众对于良好的公路秩序满意度很高，这对于提高岳阳县文明形象，促进旅游事业和招商引资工作发挥了重要作用，单位整体支出取得了良好的社会效益和经济效益。</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（三）会计基础工作还需要不断完善，报表数据与实际情况存在小误差。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（三）财务工作人员的业务能力要与时俱进，不断加强学习，县财政局多组织业务方面的培训，包括“走出去”，到异地专业院校封闭培训</w:t>
            </w:r>
            <w:r>
              <w:rPr>
                <w:rFonts w:ascii="仿宋_GB2312" w:hAnsi="仿宋_GB2312" w:eastAsia="仿宋_GB2312"/>
                <w:sz w:val="24"/>
              </w:rPr>
              <w:t>,</w:t>
            </w:r>
            <w:r>
              <w:rPr>
                <w:rFonts w:hint="eastAsia" w:ascii="仿宋_GB2312" w:hAnsi="仿宋_GB2312" w:eastAsia="仿宋_GB2312"/>
                <w:sz w:val="24"/>
              </w:rPr>
              <w:t>同时可去外地预算单位学习好的账务经验。</w:t>
            </w:r>
          </w:p>
          <w:p>
            <w:pPr>
              <w:rPr>
                <w:rFonts w:ascii="黑体" w:hAnsi="黑体" w:eastAsia="黑体" w:cs="黑体"/>
                <w:sz w:val="24"/>
              </w:rPr>
            </w:pPr>
          </w:p>
          <w:p>
            <w:pPr>
              <w:spacing w:line="560" w:lineRule="exact"/>
              <w:rPr>
                <w:rFonts w:eastAsia="楷体_GB2312"/>
                <w:bCs/>
                <w:sz w:val="28"/>
                <w:szCs w:val="28"/>
              </w:rPr>
            </w:pPr>
            <w:r>
              <w:rPr>
                <w:rFonts w:ascii="黑体" w:hAnsi="黑体" w:eastAsia="黑体" w:cs="黑体"/>
                <w:sz w:val="24"/>
              </w:rPr>
              <w:t xml:space="preserve"> </w:t>
            </w:r>
            <w:r>
              <w:rPr>
                <w:rFonts w:ascii="仿宋_GB2312" w:hAnsi="仿宋_GB2312" w:eastAsia="仿宋_GB2312"/>
                <w:sz w:val="24"/>
              </w:rPr>
              <w:t xml:space="preserve">                                </w:t>
            </w:r>
            <w:r>
              <w:rPr>
                <w:rFonts w:hint="eastAsia" w:ascii="仿宋_GB2312" w:hAnsi="仿宋_GB2312" w:eastAsia="仿宋_GB2312"/>
                <w:sz w:val="24"/>
                <w:lang w:eastAsia="zh-CN"/>
              </w:rPr>
              <w:t>2022年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tc>
      </w:tr>
    </w:tbl>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人员编制数14人，在职人数14人，在职人员控制率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，未超编，根据评分标准，得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本年度三公经费</w:t>
            </w:r>
            <w:r>
              <w:rPr>
                <w:rFonts w:ascii="仿宋_GB2312" w:eastAsia="仿宋_GB2312"/>
                <w:sz w:val="18"/>
                <w:szCs w:val="18"/>
              </w:rPr>
              <w:t xml:space="preserve"> </w:t>
            </w:r>
            <w:r>
              <w:rPr>
                <w:rFonts w:hint="eastAsia" w:ascii="仿宋_GB2312" w:eastAsia="仿宋_GB2312"/>
                <w:sz w:val="18"/>
                <w:szCs w:val="18"/>
              </w:rPr>
              <w:t>8.76万元，上年度三公经费8.76万元。</w:t>
            </w:r>
          </w:p>
          <w:p>
            <w:pPr>
              <w:rPr>
                <w:rFonts w:ascii="仿宋_GB2312" w:eastAsia="仿宋_GB2312"/>
                <w:sz w:val="18"/>
                <w:szCs w:val="18"/>
              </w:rPr>
            </w:pPr>
            <w:r>
              <w:rPr>
                <w:rFonts w:hint="eastAsia" w:ascii="仿宋_GB2312" w:eastAsia="仿宋_GB2312"/>
                <w:sz w:val="18"/>
                <w:szCs w:val="18"/>
              </w:rPr>
              <w:t>“三公经费”变动率0</w:t>
            </w:r>
          </w:p>
          <w:p>
            <w:pPr>
              <w:rPr>
                <w:rFonts w:ascii="仿宋_GB2312" w:hAnsi="宋体" w:eastAsia="仿宋_GB2312" w:cs="宋体"/>
                <w:sz w:val="18"/>
                <w:szCs w:val="18"/>
              </w:rPr>
            </w:pPr>
            <w:r>
              <w:rPr>
                <w:rFonts w:hint="eastAsia" w:ascii="仿宋_GB2312" w:eastAsia="仿宋_GB2312"/>
                <w:sz w:val="18"/>
                <w:szCs w:val="18"/>
              </w:rPr>
              <w:t>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三公经费预算数9万元，实际支出8.76万元，三公经费控制率</w:t>
            </w:r>
            <w:r>
              <w:rPr>
                <w:rFonts w:ascii="仿宋_GB2312" w:eastAsia="仿宋_GB2312"/>
                <w:sz w:val="18"/>
                <w:szCs w:val="18"/>
              </w:rPr>
              <w:t>100%</w:t>
            </w:r>
            <w:r>
              <w:rPr>
                <w:rFonts w:hint="eastAsia" w:ascii="仿宋_GB2312" w:eastAsia="仿宋_GB2312"/>
                <w:sz w:val="18"/>
                <w:szCs w:val="18"/>
              </w:rPr>
              <w:t>，三公经费控制率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，得</w:t>
            </w:r>
            <w:r>
              <w:rPr>
                <w:rFonts w:ascii="仿宋_GB2312" w:eastAsia="仿宋_GB2312"/>
                <w:sz w:val="18"/>
                <w:szCs w:val="18"/>
              </w:rPr>
              <w:t>6</w:t>
            </w:r>
            <w:r>
              <w:rPr>
                <w:rFonts w:hint="eastAsia" w:ascii="仿宋_GB2312" w:eastAsia="仿宋_GB2312"/>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bl>
    <w:p>
      <w:r>
        <w:t xml:space="preserve">     </w:t>
      </w:r>
    </w:p>
    <w:p/>
    <w:p/>
    <w:p/>
    <w:p/>
    <w:p/>
    <w:p/>
    <w:p/>
    <w:p/>
    <w:p/>
    <w:p/>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根据岳县办发（</w:t>
            </w:r>
            <w:r>
              <w:rPr>
                <w:rFonts w:ascii="仿宋_GB2312" w:hAnsi="宋体" w:eastAsia="仿宋_GB2312" w:cs="宋体"/>
                <w:kern w:val="0"/>
                <w:sz w:val="18"/>
                <w:szCs w:val="18"/>
              </w:rPr>
              <w:t>2019</w:t>
            </w:r>
            <w:r>
              <w:rPr>
                <w:rFonts w:hint="eastAsia" w:ascii="仿宋_GB2312" w:hAnsi="宋体" w:eastAsia="仿宋_GB2312" w:cs="宋体"/>
                <w:kern w:val="0"/>
                <w:sz w:val="18"/>
                <w:szCs w:val="18"/>
              </w:rPr>
              <w:t>年）</w:t>
            </w:r>
            <w:r>
              <w:rPr>
                <w:rFonts w:ascii="仿宋_GB2312" w:hAnsi="宋体" w:eastAsia="仿宋_GB2312" w:cs="宋体"/>
                <w:kern w:val="0"/>
                <w:sz w:val="18"/>
                <w:szCs w:val="18"/>
              </w:rPr>
              <w:t>1</w:t>
            </w:r>
            <w:r>
              <w:rPr>
                <w:rFonts w:hint="eastAsia" w:ascii="仿宋_GB2312" w:hAnsi="宋体" w:eastAsia="仿宋_GB2312" w:cs="宋体"/>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1MDU0NmQwMTBkNjg1NjNhMTU0MTU2MzBkYjk2MjQ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D27AA"/>
    <w:rsid w:val="000E3309"/>
    <w:rsid w:val="00100175"/>
    <w:rsid w:val="00107CC6"/>
    <w:rsid w:val="00111448"/>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603E9"/>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61395"/>
    <w:rsid w:val="00466871"/>
    <w:rsid w:val="00477933"/>
    <w:rsid w:val="00494D0C"/>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210"/>
    <w:rsid w:val="00684E4B"/>
    <w:rsid w:val="00690485"/>
    <w:rsid w:val="00696545"/>
    <w:rsid w:val="006A5D82"/>
    <w:rsid w:val="006B6330"/>
    <w:rsid w:val="006D5DB1"/>
    <w:rsid w:val="006D65AD"/>
    <w:rsid w:val="006E7307"/>
    <w:rsid w:val="006F5735"/>
    <w:rsid w:val="006F5FD4"/>
    <w:rsid w:val="007204BA"/>
    <w:rsid w:val="00720E8F"/>
    <w:rsid w:val="007225D2"/>
    <w:rsid w:val="00735258"/>
    <w:rsid w:val="00742DAE"/>
    <w:rsid w:val="007461B3"/>
    <w:rsid w:val="00764B34"/>
    <w:rsid w:val="00774D83"/>
    <w:rsid w:val="00781D85"/>
    <w:rsid w:val="007829F0"/>
    <w:rsid w:val="007865A2"/>
    <w:rsid w:val="007C77EE"/>
    <w:rsid w:val="007D5B9F"/>
    <w:rsid w:val="007E1392"/>
    <w:rsid w:val="007E6513"/>
    <w:rsid w:val="007F487F"/>
    <w:rsid w:val="00815FBF"/>
    <w:rsid w:val="00840351"/>
    <w:rsid w:val="00841CD0"/>
    <w:rsid w:val="00847D60"/>
    <w:rsid w:val="00860AFD"/>
    <w:rsid w:val="008669D1"/>
    <w:rsid w:val="00873CD8"/>
    <w:rsid w:val="008A2E6B"/>
    <w:rsid w:val="008A7515"/>
    <w:rsid w:val="008C039F"/>
    <w:rsid w:val="008C05A4"/>
    <w:rsid w:val="008E1F76"/>
    <w:rsid w:val="008E2ACB"/>
    <w:rsid w:val="008E57E1"/>
    <w:rsid w:val="008F5E0B"/>
    <w:rsid w:val="009006A1"/>
    <w:rsid w:val="00900E3F"/>
    <w:rsid w:val="00925486"/>
    <w:rsid w:val="00952065"/>
    <w:rsid w:val="00954621"/>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38BD"/>
    <w:rsid w:val="00A76673"/>
    <w:rsid w:val="00A87BCE"/>
    <w:rsid w:val="00A94900"/>
    <w:rsid w:val="00A96DDC"/>
    <w:rsid w:val="00AA3FFE"/>
    <w:rsid w:val="00AA565C"/>
    <w:rsid w:val="00AA68AE"/>
    <w:rsid w:val="00AB7085"/>
    <w:rsid w:val="00AC649C"/>
    <w:rsid w:val="00AD4448"/>
    <w:rsid w:val="00AE1B6C"/>
    <w:rsid w:val="00AE1CEC"/>
    <w:rsid w:val="00AE3F46"/>
    <w:rsid w:val="00AF11BE"/>
    <w:rsid w:val="00AF1FC0"/>
    <w:rsid w:val="00AF38EC"/>
    <w:rsid w:val="00B0185B"/>
    <w:rsid w:val="00B15F92"/>
    <w:rsid w:val="00B161A4"/>
    <w:rsid w:val="00B21CFD"/>
    <w:rsid w:val="00B22ACF"/>
    <w:rsid w:val="00B37244"/>
    <w:rsid w:val="00B41813"/>
    <w:rsid w:val="00B427C3"/>
    <w:rsid w:val="00B43845"/>
    <w:rsid w:val="00B608DB"/>
    <w:rsid w:val="00B7770A"/>
    <w:rsid w:val="00B92E17"/>
    <w:rsid w:val="00B9518E"/>
    <w:rsid w:val="00BA392F"/>
    <w:rsid w:val="00BA6C31"/>
    <w:rsid w:val="00BB1C78"/>
    <w:rsid w:val="00BB378C"/>
    <w:rsid w:val="00BB3C71"/>
    <w:rsid w:val="00BB6CF4"/>
    <w:rsid w:val="00BD02C0"/>
    <w:rsid w:val="00BD1DDD"/>
    <w:rsid w:val="00C11953"/>
    <w:rsid w:val="00C12B4A"/>
    <w:rsid w:val="00C22D34"/>
    <w:rsid w:val="00C32332"/>
    <w:rsid w:val="00C3281A"/>
    <w:rsid w:val="00C33347"/>
    <w:rsid w:val="00C354BD"/>
    <w:rsid w:val="00C37D62"/>
    <w:rsid w:val="00C42B16"/>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0FF6458"/>
    <w:rsid w:val="04C12375"/>
    <w:rsid w:val="06B70F10"/>
    <w:rsid w:val="070E0998"/>
    <w:rsid w:val="073A4B74"/>
    <w:rsid w:val="0C1A7C3F"/>
    <w:rsid w:val="0D8634E3"/>
    <w:rsid w:val="0E2B6DFB"/>
    <w:rsid w:val="12B422BC"/>
    <w:rsid w:val="13DF3FBF"/>
    <w:rsid w:val="16A3408E"/>
    <w:rsid w:val="1AA876C9"/>
    <w:rsid w:val="1E577636"/>
    <w:rsid w:val="1FC9239C"/>
    <w:rsid w:val="21820F5A"/>
    <w:rsid w:val="21EE5B91"/>
    <w:rsid w:val="22E851DA"/>
    <w:rsid w:val="23BE0013"/>
    <w:rsid w:val="24455956"/>
    <w:rsid w:val="24832922"/>
    <w:rsid w:val="254A1F6B"/>
    <w:rsid w:val="28610884"/>
    <w:rsid w:val="2F0401BB"/>
    <w:rsid w:val="309F5B82"/>
    <w:rsid w:val="32C672E1"/>
    <w:rsid w:val="39BB27EC"/>
    <w:rsid w:val="3AED1D7A"/>
    <w:rsid w:val="3B6274FD"/>
    <w:rsid w:val="3BD54939"/>
    <w:rsid w:val="3BF834E8"/>
    <w:rsid w:val="3C6A6ECC"/>
    <w:rsid w:val="3D165E8C"/>
    <w:rsid w:val="3E7B4005"/>
    <w:rsid w:val="499058C0"/>
    <w:rsid w:val="4A0B218D"/>
    <w:rsid w:val="4BC62A71"/>
    <w:rsid w:val="4CDE1450"/>
    <w:rsid w:val="4F7D1499"/>
    <w:rsid w:val="51E715BD"/>
    <w:rsid w:val="51F33551"/>
    <w:rsid w:val="529822AA"/>
    <w:rsid w:val="5B074521"/>
    <w:rsid w:val="5B2A2BD4"/>
    <w:rsid w:val="5BD118C2"/>
    <w:rsid w:val="5C705F60"/>
    <w:rsid w:val="60AF7BDF"/>
    <w:rsid w:val="61354081"/>
    <w:rsid w:val="6403624E"/>
    <w:rsid w:val="66223497"/>
    <w:rsid w:val="696E4131"/>
    <w:rsid w:val="6B787F06"/>
    <w:rsid w:val="712B4B58"/>
    <w:rsid w:val="727726F6"/>
    <w:rsid w:val="731720F8"/>
    <w:rsid w:val="74AE3A4F"/>
    <w:rsid w:val="761B43D4"/>
    <w:rsid w:val="7641482E"/>
    <w:rsid w:val="77182F9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ody Text Indent 2"/>
    <w:basedOn w:val="1"/>
    <w:link w:val="14"/>
    <w:semiHidden/>
    <w:qFormat/>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4801</Words>
  <Characters>5173</Characters>
  <Lines>45</Lines>
  <Paragraphs>12</Paragraphs>
  <TotalTime>8</TotalTime>
  <ScaleCrop>false</ScaleCrop>
  <LinksUpToDate>false</LinksUpToDate>
  <CharactersWithSpaces>5729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路人甲°</cp:lastModifiedBy>
  <dcterms:modified xsi:type="dcterms:W3CDTF">2023-09-15T02:53:02Z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A540C1E62831465EB1B6D2D417B0BDC3</vt:lpwstr>
  </property>
</Properties>
</file>